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F2B4C"/>
          <w:sz w:val="88"/>
        </w:rPr>
        <w:t>AGT</w:t>
      </w:r>
    </w:p>
    <w:p>
      <w:pPr>
        <w:jc w:val="center"/>
      </w:pPr>
      <w:r>
        <w:rPr>
          <w:color w:val="5A5A5A"/>
          <w:sz w:val="26"/>
        </w:rPr>
        <w:t>Alliance Global Tech Inc.</w:t>
      </w:r>
    </w:p>
    <w:p/>
    <w:p>
      <w:pPr>
        <w:jc w:val="center"/>
      </w:pPr>
      <w:r>
        <w:rPr>
          <w:b/>
          <w:color w:val="0F2B4C"/>
          <w:sz w:val="48"/>
        </w:rPr>
        <w:t>Logging and Monitoring Policy</w:t>
      </w:r>
    </w:p>
    <w:p>
      <w:pPr>
        <w:jc w:val="center"/>
      </w:pPr>
      <w:r>
        <w:rPr>
          <w:i/>
          <w:color w:val="0F6CBD"/>
          <w:sz w:val="26"/>
        </w:rPr>
        <w:t>DocuAction TEFCA ARC</w:t>
      </w:r>
    </w:p>
    <w:p/>
    <w:p/>
    <w:p/>
    <w:tbl>
      <w:tblPr>
        <w:tblStyle w:val="TableGrid"/>
        <w:tblW w:type="auto" w:w="0"/>
        <w:jc w:val="center"/>
        <w:tblLook w:firstColumn="1" w:firstRow="1" w:lastColumn="0" w:lastRow="0" w:noHBand="0" w:noVBand="1" w:val="04A0"/>
      </w:tblPr>
      <w:tblGrid>
        <w:gridCol w:w="4680"/>
        <w:gridCol w:w="4680"/>
      </w:tblGrid>
      <w:tr>
        <w:tc>
          <w:tcPr>
            <w:tcW w:type="dxa" w:w="2736"/>
            <w:shd w:val="clear" w:fill="EEF3F8"/>
          </w:tcPr>
          <w:p>
            <w:r>
              <w:rPr>
                <w:b/>
                <w:sz w:val="20"/>
              </w:rPr>
              <w:t>Document ID</w:t>
            </w:r>
          </w:p>
        </w:tc>
        <w:tc>
          <w:tcPr>
            <w:tcW w:type="dxa" w:w="5184"/>
          </w:tcPr>
          <w:p>
            <w:r>
              <w:rPr>
                <w:sz w:val="20"/>
              </w:rPr>
              <w:t>AGT-LMP-018</w:t>
            </w:r>
          </w:p>
        </w:tc>
      </w:tr>
      <w:tr>
        <w:tc>
          <w:tcPr>
            <w:tcW w:type="dxa" w:w="2736"/>
            <w:shd w:val="clear" w:fill="EEF3F8"/>
          </w:tcPr>
          <w:p>
            <w:r>
              <w:rPr>
                <w:b/>
                <w:sz w:val="20"/>
              </w:rPr>
              <w:t>Version</w:t>
            </w:r>
          </w:p>
        </w:tc>
        <w:tc>
          <w:tcPr>
            <w:tcW w:type="dxa" w:w="5184"/>
          </w:tcPr>
          <w:p>
            <w:r>
              <w:rPr>
                <w:sz w:val="20"/>
              </w:rPr>
              <w:t>1.0</w:t>
            </w:r>
          </w:p>
        </w:tc>
      </w:tr>
      <w:tr>
        <w:tc>
          <w:tcPr>
            <w:tcW w:type="dxa" w:w="2736"/>
            <w:shd w:val="clear" w:fill="EEF3F8"/>
          </w:tcPr>
          <w:p>
            <w:r>
              <w:rPr>
                <w:b/>
                <w:sz w:val="20"/>
              </w:rPr>
              <w:t>Effective date</w:t>
            </w:r>
          </w:p>
        </w:tc>
        <w:tc>
          <w:tcPr>
            <w:tcW w:type="dxa" w:w="5184"/>
          </w:tcPr>
          <w:p>
            <w:r>
              <w:rPr>
                <w:sz w:val="20"/>
              </w:rPr>
              <w:t>2026-07-28</w:t>
            </w:r>
          </w:p>
        </w:tc>
      </w:tr>
      <w:tr>
        <w:tc>
          <w:tcPr>
            <w:tcW w:type="dxa" w:w="2736"/>
            <w:shd w:val="clear" w:fill="EEF3F8"/>
          </w:tcPr>
          <w:p>
            <w:r>
              <w:rPr>
                <w:b/>
                <w:sz w:val="20"/>
              </w:rPr>
              <w:t>Classification</w:t>
            </w:r>
          </w:p>
        </w:tc>
        <w:tc>
          <w:tcPr>
            <w:tcW w:type="dxa" w:w="5184"/>
          </w:tcPr>
          <w:p>
            <w:r>
              <w:rPr>
                <w:sz w:val="20"/>
              </w:rPr>
              <w:t>Internal</w:t>
            </w:r>
          </w:p>
        </w:tc>
      </w:tr>
      <w:tr>
        <w:tc>
          <w:tcPr>
            <w:tcW w:type="dxa" w:w="2736"/>
            <w:shd w:val="clear" w:fill="EEF3F8"/>
          </w:tcPr>
          <w:p>
            <w:r>
              <w:rPr>
                <w:b/>
                <w:sz w:val="20"/>
              </w:rPr>
              <w:t>Owner</w:t>
            </w:r>
          </w:p>
        </w:tc>
        <w:tc>
          <w:tcPr>
            <w:tcW w:type="dxa" w:w="5184"/>
          </w:tcPr>
          <w:p>
            <w:r>
              <w:rPr>
                <w:sz w:val="20"/>
              </w:rPr>
              <w:t>Chief Executive Officer, AGT</w:t>
            </w:r>
          </w:p>
        </w:tc>
      </w:tr>
      <w:tr>
        <w:tc>
          <w:tcPr>
            <w:tcW w:type="dxa" w:w="2736"/>
            <w:shd w:val="clear" w:fill="EEF3F8"/>
          </w:tcPr>
          <w:p>
            <w:r>
              <w:rPr>
                <w:b/>
                <w:sz w:val="20"/>
              </w:rPr>
              <w:t>Approved by</w:t>
            </w:r>
          </w:p>
        </w:tc>
        <w:tc>
          <w:tcPr>
            <w:tcW w:type="dxa" w:w="5184"/>
          </w:tcPr>
          <w:p>
            <w:r>
              <w:rPr>
                <w:sz w:val="20"/>
              </w:rPr>
              <w:t>Imran Siddiqui</w:t>
            </w:r>
          </w:p>
        </w:tc>
      </w:tr>
      <w:tr>
        <w:tc>
          <w:tcPr>
            <w:tcW w:type="dxa" w:w="2736"/>
            <w:shd w:val="clear" w:fill="EEF3F8"/>
          </w:tcPr>
          <w:p>
            <w:r>
              <w:rPr>
                <w:b/>
                <w:sz w:val="20"/>
              </w:rPr>
              <w:t>Review cycle</w:t>
            </w:r>
          </w:p>
        </w:tc>
        <w:tc>
          <w:tcPr>
            <w:tcW w:type="dxa" w:w="5184"/>
          </w:tcPr>
          <w:p>
            <w:r>
              <w:rPr>
                <w:sz w:val="20"/>
              </w:rPr>
              <w:t>Annual, or on material change</w:t>
            </w:r>
          </w:p>
        </w:tc>
      </w:tr>
    </w:tbl>
    <w:p>
      <w:r>
        <w:br w:type="page"/>
      </w:r>
    </w:p>
    <w:p>
      <w:pPr>
        <w:pStyle w:val="Heading1"/>
      </w:pPr>
      <w:r>
        <w:t>1. Purpose</w:t>
      </w:r>
    </w:p>
    <w:p>
      <w:r>
        <w:t>This policy defines what AGT logs, how long it keeps it, what it alerts on, and who reviews it. Logging is the control that makes every other control auditable; an access restriction that cannot be shown to have operated is an assertion rather than evidence.</w:t>
      </w:r>
    </w:p>
    <w:p>
      <w:pPr>
        <w:pStyle w:val="Heading1"/>
      </w:pPr>
      <w:r>
        <w:t>2. Scope</w:t>
      </w:r>
    </w:p>
    <w:p>
      <w:r>
        <w:t>This policy applies to all Alliance Global Tech Inc. (AGT) personnel, contractors, and third parties who access, operate, or support the DocuAction TEFCA ARC platform or its supporting Azure infrastructure. It covers production, development, and any environment holding customer data, protected health information (PHI), or controlled unclassified information (CUI).</w:t>
      </w:r>
    </w:p>
    <w:p>
      <w:pPr>
        <w:pStyle w:val="Heading2"/>
      </w:pPr>
      <w:r>
        <w:t>System context</w:t>
      </w:r>
    </w:p>
    <w:p>
      <w:r>
        <w:t>This document applies to DocuAction TEFCA ARC, operated by Alliance Global Tech Inc. on Microsoft Azure. The control descriptions in this document are written against the following implementation, not against a generic reference architecture.</w:t>
      </w:r>
    </w:p>
    <w:tbl>
      <w:tblPr>
        <w:tblStyle w:val="TableGrid"/>
        <w:tblW w:type="auto" w:w="0"/>
        <w:tblLook w:firstColumn="1" w:firstRow="1" w:lastColumn="0" w:lastRow="0" w:noHBand="0" w:noVBand="1" w:val="04A0"/>
      </w:tblPr>
      <w:tblGrid>
        <w:gridCol w:w="4680"/>
        <w:gridCol w:w="4680"/>
      </w:tblGrid>
      <w:tr>
        <w:tc>
          <w:tcPr>
            <w:tcW w:type="dxa" w:w="2592"/>
            <w:shd w:val="clear" w:fill="0F2B4C"/>
          </w:tcPr>
          <w:p>
            <w:r>
              <w:rPr>
                <w:b/>
                <w:color w:val="FFFFFF"/>
                <w:sz w:val="18"/>
              </w:rPr>
              <w:t>Layer</w:t>
            </w:r>
          </w:p>
        </w:tc>
        <w:tc>
          <w:tcPr>
            <w:tcW w:type="dxa" w:w="6336"/>
            <w:shd w:val="clear" w:fill="0F2B4C"/>
          </w:tcPr>
          <w:p>
            <w:r>
              <w:rPr>
                <w:b/>
                <w:color w:val="FFFFFF"/>
                <w:sz w:val="18"/>
              </w:rPr>
              <w:t>Implementation</w:t>
            </w:r>
          </w:p>
        </w:tc>
      </w:tr>
      <w:tr>
        <w:tc>
          <w:tcPr>
            <w:tcW w:type="dxa" w:w="2592"/>
          </w:tcPr>
          <w:p>
            <w:r>
              <w:rPr>
                <w:sz w:val="18"/>
              </w:rPr>
              <w:t>Frontend</w:t>
            </w:r>
          </w:p>
        </w:tc>
        <w:tc>
          <w:tcPr>
            <w:tcW w:type="dxa" w:w="6336"/>
          </w:tcPr>
          <w:p>
            <w:r>
              <w:rPr>
                <w:sz w:val="18"/>
              </w:rPr>
              <w:t>Next.js 14 (React), static export, Azure Static Web Apps</w:t>
            </w:r>
          </w:p>
        </w:tc>
      </w:tr>
      <w:tr>
        <w:tc>
          <w:tcPr>
            <w:tcW w:type="dxa" w:w="2592"/>
          </w:tcPr>
          <w:p>
            <w:r>
              <w:rPr>
                <w:sz w:val="18"/>
              </w:rPr>
              <w:t>Backend</w:t>
            </w:r>
          </w:p>
        </w:tc>
        <w:tc>
          <w:tcPr>
            <w:tcW w:type="dxa" w:w="6336"/>
          </w:tcPr>
          <w:p>
            <w:r>
              <w:rPr>
                <w:sz w:val="18"/>
              </w:rPr>
              <w:t>FastAPI on Python 3.12, Azure App Service (Linux)</w:t>
            </w:r>
          </w:p>
        </w:tc>
      </w:tr>
      <w:tr>
        <w:tc>
          <w:tcPr>
            <w:tcW w:type="dxa" w:w="2592"/>
          </w:tcPr>
          <w:p>
            <w:r>
              <w:rPr>
                <w:sz w:val="18"/>
              </w:rPr>
              <w:t>Database</w:t>
            </w:r>
          </w:p>
        </w:tc>
        <w:tc>
          <w:tcPr>
            <w:tcW w:type="dxa" w:w="6336"/>
          </w:tcPr>
          <w:p>
            <w:r>
              <w:rPr>
                <w:sz w:val="18"/>
              </w:rPr>
              <w:t>Azure Database for PostgreSQL - Flexible Server, geo-redundant</w:t>
            </w:r>
          </w:p>
        </w:tc>
      </w:tr>
      <w:tr>
        <w:tc>
          <w:tcPr>
            <w:tcW w:type="dxa" w:w="2592"/>
          </w:tcPr>
          <w:p>
            <w:r>
              <w:rPr>
                <w:sz w:val="18"/>
              </w:rPr>
              <w:t>Identity</w:t>
            </w:r>
          </w:p>
        </w:tc>
        <w:tc>
          <w:tcPr>
            <w:tcW w:type="dxa" w:w="6336"/>
          </w:tcPr>
          <w:p>
            <w:r>
              <w:rPr>
                <w:sz w:val="18"/>
              </w:rPr>
              <w:t>Microsoft Entra ID; OAuth 2.0, OIDC, JWT bearer, RBAC, MFA</w:t>
            </w:r>
          </w:p>
        </w:tc>
      </w:tr>
      <w:tr>
        <w:tc>
          <w:tcPr>
            <w:tcW w:type="dxa" w:w="2592"/>
          </w:tcPr>
          <w:p>
            <w:r>
              <w:rPr>
                <w:sz w:val="18"/>
              </w:rPr>
              <w:t>Secrets</w:t>
            </w:r>
          </w:p>
        </w:tc>
        <w:tc>
          <w:tcPr>
            <w:tcW w:type="dxa" w:w="6336"/>
          </w:tcPr>
          <w:p>
            <w:r>
              <w:rPr>
                <w:sz w:val="18"/>
              </w:rPr>
              <w:t>Azure Key Vault, resolved at runtime by system-assigned managed identity</w:t>
            </w:r>
          </w:p>
        </w:tc>
      </w:tr>
      <w:tr>
        <w:tc>
          <w:tcPr>
            <w:tcW w:type="dxa" w:w="2592"/>
          </w:tcPr>
          <w:p>
            <w:r>
              <w:rPr>
                <w:sz w:val="18"/>
              </w:rPr>
              <w:t>Monitoring</w:t>
            </w:r>
          </w:p>
        </w:tc>
        <w:tc>
          <w:tcPr>
            <w:tcW w:type="dxa" w:w="6336"/>
          </w:tcPr>
          <w:p>
            <w:r>
              <w:rPr>
                <w:sz w:val="18"/>
              </w:rPr>
              <w:t>Azure Monitor and Application Insights</w:t>
            </w:r>
          </w:p>
        </w:tc>
      </w:tr>
      <w:tr>
        <w:tc>
          <w:tcPr>
            <w:tcW w:type="dxa" w:w="2592"/>
          </w:tcPr>
          <w:p>
            <w:r>
              <w:rPr>
                <w:sz w:val="18"/>
              </w:rPr>
              <w:t>Healthcare standards</w:t>
            </w:r>
          </w:p>
        </w:tc>
        <w:tc>
          <w:tcPr>
            <w:tcW w:type="dxa" w:w="6336"/>
          </w:tcPr>
          <w:p>
            <w:r>
              <w:rPr>
                <w:sz w:val="18"/>
              </w:rPr>
              <w:t>FHIR R4, HL7, TEFCA Common Agreement / RCE IG v1.14.0</w:t>
            </w:r>
          </w:p>
        </w:tc>
      </w:tr>
      <w:tr>
        <w:tc>
          <w:tcPr>
            <w:tcW w:type="dxa" w:w="2592"/>
          </w:tcPr>
          <w:p>
            <w:r>
              <w:rPr>
                <w:sz w:val="18"/>
              </w:rPr>
              <w:t>Certifications</w:t>
            </w:r>
          </w:p>
        </w:tc>
        <w:tc>
          <w:tcPr>
            <w:tcW w:type="dxa" w:w="6336"/>
          </w:tcPr>
          <w:p>
            <w:r>
              <w:rPr>
                <w:sz w:val="18"/>
              </w:rPr>
              <w:t>CMMI Level 3, ISO 27001, ISO 9001, ISO 20000-1, DoD Final Contractor</w:t>
            </w:r>
          </w:p>
        </w:tc>
      </w:tr>
    </w:tbl>
    <w:p/>
    <w:p>
      <w:pPr>
        <w:pStyle w:val="Heading1"/>
      </w:pPr>
      <w:r>
        <w:t>3. Events that must be logged</w:t>
      </w:r>
    </w:p>
    <w:tbl>
      <w:tblPr>
        <w:tblStyle w:val="TableGrid"/>
        <w:tblW w:type="auto" w:w="0"/>
        <w:tblLook w:firstColumn="1" w:firstRow="1" w:lastColumn="0" w:lastRow="0" w:noHBand="0" w:noVBand="1" w:val="04A0"/>
      </w:tblPr>
      <w:tblGrid>
        <w:gridCol w:w="2340"/>
        <w:gridCol w:w="2340"/>
        <w:gridCol w:w="2340"/>
        <w:gridCol w:w="2340"/>
      </w:tblGrid>
      <w:tr>
        <w:tc>
          <w:tcPr>
            <w:tcW w:type="dxa" w:w="1872"/>
            <w:shd w:val="clear" w:fill="0F2B4C"/>
          </w:tcPr>
          <w:p>
            <w:r>
              <w:rPr>
                <w:b/>
                <w:color w:val="FFFFFF"/>
                <w:sz w:val="18"/>
              </w:rPr>
              <w:t>Event class</w:t>
            </w:r>
          </w:p>
        </w:tc>
        <w:tc>
          <w:tcPr>
            <w:tcW w:type="dxa" w:w="3024"/>
            <w:shd w:val="clear" w:fill="0F2B4C"/>
          </w:tcPr>
          <w:p>
            <w:r>
              <w:rPr>
                <w:b/>
                <w:color w:val="FFFFFF"/>
                <w:sz w:val="18"/>
              </w:rPr>
              <w:t>Examples</w:t>
            </w:r>
          </w:p>
        </w:tc>
        <w:tc>
          <w:tcPr>
            <w:tcW w:type="dxa" w:w="2160"/>
            <w:shd w:val="clear" w:fill="0F2B4C"/>
          </w:tcPr>
          <w:p>
            <w:r>
              <w:rPr>
                <w:b/>
                <w:color w:val="FFFFFF"/>
                <w:sz w:val="18"/>
              </w:rPr>
              <w:t>Source</w:t>
            </w:r>
          </w:p>
        </w:tc>
        <w:tc>
          <w:tcPr>
            <w:tcW w:type="dxa" w:w="1872"/>
            <w:shd w:val="clear" w:fill="0F2B4C"/>
          </w:tcPr>
          <w:p>
            <w:r>
              <w:rPr>
                <w:b/>
                <w:color w:val="FFFFFF"/>
                <w:sz w:val="18"/>
              </w:rPr>
              <w:t>Retention</w:t>
            </w:r>
          </w:p>
        </w:tc>
      </w:tr>
      <w:tr>
        <w:tc>
          <w:tcPr>
            <w:tcW w:type="dxa" w:w="1872"/>
          </w:tcPr>
          <w:p>
            <w:r>
              <w:rPr>
                <w:sz w:val="18"/>
              </w:rPr>
              <w:t>Authentication</w:t>
            </w:r>
          </w:p>
        </w:tc>
        <w:tc>
          <w:tcPr>
            <w:tcW w:type="dxa" w:w="3024"/>
          </w:tcPr>
          <w:p>
            <w:r>
              <w:rPr>
                <w:sz w:val="18"/>
              </w:rPr>
              <w:t>Success, failure, lockout, MFA challenge</w:t>
            </w:r>
          </w:p>
        </w:tc>
        <w:tc>
          <w:tcPr>
            <w:tcW w:type="dxa" w:w="2160"/>
          </w:tcPr>
          <w:p>
            <w:r>
              <w:rPr>
                <w:sz w:val="18"/>
              </w:rPr>
              <w:t>Application + Entra ID</w:t>
            </w:r>
          </w:p>
        </w:tc>
        <w:tc>
          <w:tcPr>
            <w:tcW w:type="dxa" w:w="1872"/>
          </w:tcPr>
          <w:p>
            <w:r>
              <w:rPr>
                <w:sz w:val="18"/>
              </w:rPr>
              <w:t>6 years</w:t>
            </w:r>
          </w:p>
        </w:tc>
      </w:tr>
      <w:tr>
        <w:tc>
          <w:tcPr>
            <w:tcW w:type="dxa" w:w="1872"/>
          </w:tcPr>
          <w:p>
            <w:r>
              <w:rPr>
                <w:sz w:val="18"/>
              </w:rPr>
              <w:t>Authorization</w:t>
            </w:r>
          </w:p>
        </w:tc>
        <w:tc>
          <w:tcPr>
            <w:tcW w:type="dxa" w:w="3024"/>
          </w:tcPr>
          <w:p>
            <w:r>
              <w:rPr>
                <w:sz w:val="18"/>
              </w:rPr>
              <w:t>Access denied, role elevation, privilege use</w:t>
            </w:r>
          </w:p>
        </w:tc>
        <w:tc>
          <w:tcPr>
            <w:tcW w:type="dxa" w:w="2160"/>
          </w:tcPr>
          <w:p>
            <w:r>
              <w:rPr>
                <w:sz w:val="18"/>
              </w:rPr>
              <w:t>Application</w:t>
            </w:r>
          </w:p>
        </w:tc>
        <w:tc>
          <w:tcPr>
            <w:tcW w:type="dxa" w:w="1872"/>
          </w:tcPr>
          <w:p>
            <w:r>
              <w:rPr>
                <w:sz w:val="18"/>
              </w:rPr>
              <w:t>6 years</w:t>
            </w:r>
          </w:p>
        </w:tc>
      </w:tr>
      <w:tr>
        <w:tc>
          <w:tcPr>
            <w:tcW w:type="dxa" w:w="1872"/>
          </w:tcPr>
          <w:p>
            <w:r>
              <w:rPr>
                <w:sz w:val="18"/>
              </w:rPr>
              <w:t>PHI access</w:t>
            </w:r>
          </w:p>
        </w:tc>
        <w:tc>
          <w:tcPr>
            <w:tcW w:type="dxa" w:w="3024"/>
          </w:tcPr>
          <w:p>
            <w:r>
              <w:rPr>
                <w:sz w:val="18"/>
              </w:rPr>
              <w:t>Every request to a PHI-bearing endpoint</w:t>
            </w:r>
          </w:p>
        </w:tc>
        <w:tc>
          <w:tcPr>
            <w:tcW w:type="dxa" w:w="2160"/>
          </w:tcPr>
          <w:p>
            <w:r>
              <w:rPr>
                <w:sz w:val="18"/>
              </w:rPr>
              <w:t>Application audit log</w:t>
            </w:r>
          </w:p>
        </w:tc>
        <w:tc>
          <w:tcPr>
            <w:tcW w:type="dxa" w:w="1872"/>
          </w:tcPr>
          <w:p>
            <w:r>
              <w:rPr>
                <w:sz w:val="18"/>
              </w:rPr>
              <w:t>6 years</w:t>
            </w:r>
          </w:p>
        </w:tc>
      </w:tr>
      <w:tr>
        <w:tc>
          <w:tcPr>
            <w:tcW w:type="dxa" w:w="1872"/>
          </w:tcPr>
          <w:p>
            <w:r>
              <w:rPr>
                <w:sz w:val="18"/>
              </w:rPr>
              <w:t>Administrative action</w:t>
            </w:r>
          </w:p>
        </w:tc>
        <w:tc>
          <w:tcPr>
            <w:tcW w:type="dxa" w:w="3024"/>
          </w:tcPr>
          <w:p>
            <w:r>
              <w:rPr>
                <w:sz w:val="18"/>
              </w:rPr>
              <w:t>User creation, role change, purge, configuration change</w:t>
            </w:r>
          </w:p>
        </w:tc>
        <w:tc>
          <w:tcPr>
            <w:tcW w:type="dxa" w:w="2160"/>
          </w:tcPr>
          <w:p>
            <w:r>
              <w:rPr>
                <w:sz w:val="18"/>
              </w:rPr>
              <w:t>Application + Azure activity</w:t>
            </w:r>
          </w:p>
        </w:tc>
        <w:tc>
          <w:tcPr>
            <w:tcW w:type="dxa" w:w="1872"/>
          </w:tcPr>
          <w:p>
            <w:r>
              <w:rPr>
                <w:sz w:val="18"/>
              </w:rPr>
              <w:t>6 years</w:t>
            </w:r>
          </w:p>
        </w:tc>
      </w:tr>
      <w:tr>
        <w:tc>
          <w:tcPr>
            <w:tcW w:type="dxa" w:w="1872"/>
          </w:tcPr>
          <w:p>
            <w:r>
              <w:rPr>
                <w:sz w:val="18"/>
              </w:rPr>
              <w:t>Data modification</w:t>
            </w:r>
          </w:p>
        </w:tc>
        <w:tc>
          <w:tcPr>
            <w:tcW w:type="dxa" w:w="3024"/>
          </w:tcPr>
          <w:p>
            <w:r>
              <w:rPr>
                <w:sz w:val="18"/>
              </w:rPr>
              <w:t>Create, update, delete of regulated records</w:t>
            </w:r>
          </w:p>
        </w:tc>
        <w:tc>
          <w:tcPr>
            <w:tcW w:type="dxa" w:w="2160"/>
          </w:tcPr>
          <w:p>
            <w:r>
              <w:rPr>
                <w:sz w:val="18"/>
              </w:rPr>
              <w:t>Application audit log</w:t>
            </w:r>
          </w:p>
        </w:tc>
        <w:tc>
          <w:tcPr>
            <w:tcW w:type="dxa" w:w="1872"/>
          </w:tcPr>
          <w:p>
            <w:r>
              <w:rPr>
                <w:sz w:val="18"/>
              </w:rPr>
              <w:t>6 years</w:t>
            </w:r>
          </w:p>
        </w:tc>
      </w:tr>
      <w:tr>
        <w:tc>
          <w:tcPr>
            <w:tcW w:type="dxa" w:w="1872"/>
          </w:tcPr>
          <w:p>
            <w:r>
              <w:rPr>
                <w:sz w:val="18"/>
              </w:rPr>
              <w:t>Security events</w:t>
            </w:r>
          </w:p>
        </w:tc>
        <w:tc>
          <w:tcPr>
            <w:tcW w:type="dxa" w:w="3024"/>
          </w:tcPr>
          <w:p>
            <w:r>
              <w:rPr>
                <w:sz w:val="18"/>
              </w:rPr>
              <w:t>Rate limiting, injection attempts, invalid tokens</w:t>
            </w:r>
          </w:p>
        </w:tc>
        <w:tc>
          <w:tcPr>
            <w:tcW w:type="dxa" w:w="2160"/>
          </w:tcPr>
          <w:p>
            <w:r>
              <w:rPr>
                <w:sz w:val="18"/>
              </w:rPr>
              <w:t>Application</w:t>
            </w:r>
          </w:p>
        </w:tc>
        <w:tc>
          <w:tcPr>
            <w:tcW w:type="dxa" w:w="1872"/>
          </w:tcPr>
          <w:p>
            <w:r>
              <w:rPr>
                <w:sz w:val="18"/>
              </w:rPr>
              <w:t>6 years</w:t>
            </w:r>
          </w:p>
        </w:tc>
      </w:tr>
      <w:tr>
        <w:tc>
          <w:tcPr>
            <w:tcW w:type="dxa" w:w="1872"/>
          </w:tcPr>
          <w:p>
            <w:r>
              <w:rPr>
                <w:sz w:val="18"/>
              </w:rPr>
              <w:t>Deployment</w:t>
            </w:r>
          </w:p>
        </w:tc>
        <w:tc>
          <w:tcPr>
            <w:tcW w:type="dxa" w:w="3024"/>
          </w:tcPr>
          <w:p>
            <w:r>
              <w:rPr>
                <w:sz w:val="18"/>
              </w:rPr>
              <w:t>Deployment start, result, active version</w:t>
            </w:r>
          </w:p>
        </w:tc>
        <w:tc>
          <w:tcPr>
            <w:tcW w:type="dxa" w:w="2160"/>
          </w:tcPr>
          <w:p>
            <w:r>
              <w:rPr>
                <w:sz w:val="18"/>
              </w:rPr>
              <w:t>Azure deployment log</w:t>
            </w:r>
          </w:p>
        </w:tc>
        <w:tc>
          <w:tcPr>
            <w:tcW w:type="dxa" w:w="1872"/>
          </w:tcPr>
          <w:p>
            <w:r>
              <w:rPr>
                <w:sz w:val="18"/>
              </w:rPr>
              <w:t>6 years</w:t>
            </w:r>
          </w:p>
        </w:tc>
      </w:tr>
      <w:tr>
        <w:tc>
          <w:tcPr>
            <w:tcW w:type="dxa" w:w="1872"/>
          </w:tcPr>
          <w:p>
            <w:r>
              <w:rPr>
                <w:sz w:val="18"/>
              </w:rPr>
              <w:t>Application diagnostics</w:t>
            </w:r>
          </w:p>
        </w:tc>
        <w:tc>
          <w:tcPr>
            <w:tcW w:type="dxa" w:w="3024"/>
          </w:tcPr>
          <w:p>
            <w:r>
              <w:rPr>
                <w:sz w:val="18"/>
              </w:rPr>
              <w:t>Errors, latency, exceptions</w:t>
            </w:r>
          </w:p>
        </w:tc>
        <w:tc>
          <w:tcPr>
            <w:tcW w:type="dxa" w:w="2160"/>
          </w:tcPr>
          <w:p>
            <w:r>
              <w:rPr>
                <w:sz w:val="18"/>
              </w:rPr>
              <w:t>Application Insights</w:t>
            </w:r>
          </w:p>
        </w:tc>
        <w:tc>
          <w:tcPr>
            <w:tcW w:type="dxa" w:w="1872"/>
          </w:tcPr>
          <w:p>
            <w:r>
              <w:rPr>
                <w:sz w:val="18"/>
              </w:rPr>
              <w:t>90 days hot</w:t>
            </w:r>
          </w:p>
        </w:tc>
      </w:tr>
      <w:tr>
        <w:tc>
          <w:tcPr>
            <w:tcW w:type="dxa" w:w="1872"/>
          </w:tcPr>
          <w:p>
            <w:r>
              <w:rPr>
                <w:sz w:val="18"/>
              </w:rPr>
              <w:t>Infrastructure</w:t>
            </w:r>
          </w:p>
        </w:tc>
        <w:tc>
          <w:tcPr>
            <w:tcW w:type="dxa" w:w="3024"/>
          </w:tcPr>
          <w:p>
            <w:r>
              <w:rPr>
                <w:sz w:val="18"/>
              </w:rPr>
              <w:t>Resource changes, scaling, restarts</w:t>
            </w:r>
          </w:p>
        </w:tc>
        <w:tc>
          <w:tcPr>
            <w:tcW w:type="dxa" w:w="2160"/>
          </w:tcPr>
          <w:p>
            <w:r>
              <w:rPr>
                <w:sz w:val="18"/>
              </w:rPr>
              <w:t>Azure Monitor</w:t>
            </w:r>
          </w:p>
        </w:tc>
        <w:tc>
          <w:tcPr>
            <w:tcW w:type="dxa" w:w="1872"/>
          </w:tcPr>
          <w:p>
            <w:r>
              <w:rPr>
                <w:sz w:val="18"/>
              </w:rPr>
              <w:t>1 year</w:t>
            </w:r>
          </w:p>
        </w:tc>
      </w:tr>
    </w:tbl>
    <w:p/>
    <w:p>
      <w:pPr>
        <w:pStyle w:val="Heading1"/>
      </w:pPr>
      <w:r>
        <w:t>4. Required fields</w:t>
      </w:r>
    </w:p>
    <w:p>
      <w:r>
        <w:t>An audit record answers who, what, when, where, and outcome. The platform's audit helper captures user identifier, action, resource type, resource identifier, timestamp, source address, and result.</w:t>
      </w:r>
    </w:p>
    <w:p>
      <w:r>
        <w:t>Source address is taken from the forwarded-for header rather than the socket peer, because the platform terminates TLS at a load balancer and the socket address is always the balancer. An audit log recording the load balancer as the actor's location is worse than no address field, because it looks correct.</w:t>
      </w:r>
    </w:p>
    <w:p>
      <w:pPr>
        <w:pStyle w:val="Heading1"/>
      </w:pPr>
      <w:r>
        <w:t>5. What must never be logged</w:t>
      </w:r>
    </w:p>
    <w:p>
      <w:pPr>
        <w:pStyle w:val="ListBullet"/>
      </w:pPr>
      <w:r>
        <w:t>PHI in any form, including in request bodies, query strings, and error messages.</w:t>
      </w:r>
    </w:p>
    <w:p>
      <w:pPr>
        <w:pStyle w:val="ListBullet"/>
      </w:pPr>
      <w:r>
        <w:t>Credentials, tokens, API keys, or connection strings.</w:t>
      </w:r>
    </w:p>
    <w:p>
      <w:pPr>
        <w:pStyle w:val="ListBullet"/>
      </w:pPr>
      <w:r>
        <w:t>Full request bodies for endpoints that carry regulated data.</w:t>
      </w:r>
    </w:p>
    <w:p>
      <w:pPr>
        <w:pStyle w:val="ListBullet"/>
      </w:pPr>
      <w:r>
        <w:t>Cardholder data or government identifiers.</w:t>
      </w:r>
    </w:p>
    <w:p>
      <w:r>
        <w:t>For PHI-access auditing the platform records the route template rather than the concrete path, because a patient identifier embedded in a URL becomes PHI inside the audit log - turning the privacy control into a privacy exposure.</w:t>
      </w:r>
    </w:p>
    <w:p>
      <w:pPr>
        <w:pStyle w:val="Heading1"/>
      </w:pPr>
      <w:r>
        <w:t>6. Log protection</w:t>
      </w:r>
    </w:p>
    <w:p>
      <w:pPr>
        <w:pStyle w:val="ListBullet"/>
      </w:pPr>
      <w:r>
        <w:t>Application audit records are written to the database within the transaction boundary of the action being audited where practical.</w:t>
      </w:r>
    </w:p>
    <w:p>
      <w:pPr>
        <w:pStyle w:val="ListBullet"/>
      </w:pPr>
      <w:r>
        <w:t>Azure activity logs are a separate store from the application, so compromise of the application does not confer control of the infrastructure record.</w:t>
      </w:r>
    </w:p>
    <w:p>
      <w:pPr>
        <w:pStyle w:val="ListBullet"/>
      </w:pPr>
      <w:r>
        <w:t>Log stores are access-controlled; read access is limited to the Security Officer and CEO.</w:t>
      </w:r>
    </w:p>
    <w:p>
      <w:pPr>
        <w:pStyle w:val="ListBullet"/>
      </w:pPr>
      <w:r>
        <w:t>Audit records are never edited or deleted before their retention period expires.</w:t>
      </w:r>
    </w:p>
    <w:p>
      <w:r>
        <w:rPr>
          <w:i/>
          <w:color w:val="5A5A5A"/>
          <w:sz w:val="19"/>
        </w:rPr>
        <w:t>Open finding: the audit log has no tamper-evidence mechanism such as a hash chain. A database-level compromise could rewrite history without detection. This is tracked in the POA&amp;M; it does not prevent the log from serving its operational purpose but it does limit its strength as forensic evidence.</w:t>
      </w:r>
    </w:p>
    <w:p>
      <w:pPr>
        <w:pStyle w:val="Heading1"/>
      </w:pPr>
      <w:r>
        <w:t>7. Audit availability requirement</w:t>
      </w:r>
    </w:p>
    <w:p>
      <w:r>
        <w:t>Audit writes must not take the audited function down. Where the audit path fails, the platform logs the failure at error level and continues, rather than refusing the clinical operation. This is a deliberate availability-over-completeness decision, and the error line is the signal that the trail has a gap.</w:t>
      </w:r>
    </w:p>
    <w:p>
      <w:pPr>
        <w:pStyle w:val="Heading1"/>
      </w:pPr>
      <w:r>
        <w:t>8. Alerting</w:t>
      </w:r>
    </w:p>
    <w:tbl>
      <w:tblPr>
        <w:tblStyle w:val="TableGrid"/>
        <w:tblW w:type="auto" w:w="0"/>
        <w:tblLook w:firstColumn="1" w:firstRow="1" w:lastColumn="0" w:lastRow="0" w:noHBand="0" w:noVBand="1" w:val="04A0"/>
      </w:tblPr>
      <w:tblGrid>
        <w:gridCol w:w="2340"/>
        <w:gridCol w:w="2340"/>
        <w:gridCol w:w="2340"/>
        <w:gridCol w:w="2340"/>
      </w:tblGrid>
      <w:tr>
        <w:tc>
          <w:tcPr>
            <w:tcW w:type="dxa" w:w="2016"/>
            <w:shd w:val="clear" w:fill="0F2B4C"/>
          </w:tcPr>
          <w:p>
            <w:r>
              <w:rPr>
                <w:b/>
                <w:color w:val="FFFFFF"/>
                <w:sz w:val="18"/>
              </w:rPr>
              <w:t>Alert</w:t>
            </w:r>
          </w:p>
        </w:tc>
        <w:tc>
          <w:tcPr>
            <w:tcW w:type="dxa" w:w="2880"/>
            <w:shd w:val="clear" w:fill="0F2B4C"/>
          </w:tcPr>
          <w:p>
            <w:r>
              <w:rPr>
                <w:b/>
                <w:color w:val="FFFFFF"/>
                <w:sz w:val="18"/>
              </w:rPr>
              <w:t>Condition</w:t>
            </w:r>
          </w:p>
        </w:tc>
        <w:tc>
          <w:tcPr>
            <w:tcW w:type="dxa" w:w="1296"/>
            <w:shd w:val="clear" w:fill="0F2B4C"/>
          </w:tcPr>
          <w:p>
            <w:r>
              <w:rPr>
                <w:b/>
                <w:color w:val="FFFFFF"/>
                <w:sz w:val="18"/>
              </w:rPr>
              <w:t>Severity</w:t>
            </w:r>
          </w:p>
        </w:tc>
        <w:tc>
          <w:tcPr>
            <w:tcW w:type="dxa" w:w="2736"/>
            <w:shd w:val="clear" w:fill="0F2B4C"/>
          </w:tcPr>
          <w:p>
            <w:r>
              <w:rPr>
                <w:b/>
                <w:color w:val="FFFFFF"/>
                <w:sz w:val="18"/>
              </w:rPr>
              <w:t>Response</w:t>
            </w:r>
          </w:p>
        </w:tc>
      </w:tr>
      <w:tr>
        <w:tc>
          <w:tcPr>
            <w:tcW w:type="dxa" w:w="2016"/>
          </w:tcPr>
          <w:p>
            <w:r>
              <w:rPr>
                <w:sz w:val="18"/>
              </w:rPr>
              <w:t>Availability</w:t>
            </w:r>
          </w:p>
        </w:tc>
        <w:tc>
          <w:tcPr>
            <w:tcW w:type="dxa" w:w="2880"/>
          </w:tcPr>
          <w:p>
            <w:r>
              <w:rPr>
                <w:sz w:val="18"/>
              </w:rPr>
              <w:t>Health endpoint non-200 for 5 minutes</w:t>
            </w:r>
          </w:p>
        </w:tc>
        <w:tc>
          <w:tcPr>
            <w:tcW w:type="dxa" w:w="1296"/>
          </w:tcPr>
          <w:p>
            <w:r>
              <w:rPr>
                <w:sz w:val="18"/>
              </w:rPr>
              <w:t>Critical</w:t>
            </w:r>
          </w:p>
        </w:tc>
        <w:tc>
          <w:tcPr>
            <w:tcW w:type="dxa" w:w="2736"/>
          </w:tcPr>
          <w:p>
            <w:r>
              <w:rPr>
                <w:sz w:val="18"/>
              </w:rPr>
              <w:t>Immediate investigation</w:t>
            </w:r>
          </w:p>
        </w:tc>
      </w:tr>
      <w:tr>
        <w:tc>
          <w:tcPr>
            <w:tcW w:type="dxa" w:w="2016"/>
          </w:tcPr>
          <w:p>
            <w:r>
              <w:rPr>
                <w:sz w:val="18"/>
              </w:rPr>
              <w:t>Error rate</w:t>
            </w:r>
          </w:p>
        </w:tc>
        <w:tc>
          <w:tcPr>
            <w:tcW w:type="dxa" w:w="2880"/>
          </w:tcPr>
          <w:p>
            <w:r>
              <w:rPr>
                <w:sz w:val="18"/>
              </w:rPr>
              <w:t>More than 10 server errors in 5 minutes</w:t>
            </w:r>
          </w:p>
        </w:tc>
        <w:tc>
          <w:tcPr>
            <w:tcW w:type="dxa" w:w="1296"/>
          </w:tcPr>
          <w:p>
            <w:r>
              <w:rPr>
                <w:sz w:val="18"/>
              </w:rPr>
              <w:t>High</w:t>
            </w:r>
          </w:p>
        </w:tc>
        <w:tc>
          <w:tcPr>
            <w:tcW w:type="dxa" w:w="2736"/>
          </w:tcPr>
          <w:p>
            <w:r>
              <w:rPr>
                <w:sz w:val="18"/>
              </w:rPr>
              <w:t>Investigate within 1 hour</w:t>
            </w:r>
          </w:p>
        </w:tc>
      </w:tr>
      <w:tr>
        <w:tc>
          <w:tcPr>
            <w:tcW w:type="dxa" w:w="2016"/>
          </w:tcPr>
          <w:p>
            <w:r>
              <w:rPr>
                <w:sz w:val="18"/>
              </w:rPr>
              <w:t>Authentication anomaly</w:t>
            </w:r>
          </w:p>
        </w:tc>
        <w:tc>
          <w:tcPr>
            <w:tcW w:type="dxa" w:w="2880"/>
          </w:tcPr>
          <w:p>
            <w:r>
              <w:rPr>
                <w:sz w:val="18"/>
              </w:rPr>
              <w:t>Repeated failures or impossible travel</w:t>
            </w:r>
          </w:p>
        </w:tc>
        <w:tc>
          <w:tcPr>
            <w:tcW w:type="dxa" w:w="1296"/>
          </w:tcPr>
          <w:p>
            <w:r>
              <w:rPr>
                <w:sz w:val="18"/>
              </w:rPr>
              <w:t>High</w:t>
            </w:r>
          </w:p>
        </w:tc>
        <w:tc>
          <w:tcPr>
            <w:tcW w:type="dxa" w:w="2736"/>
          </w:tcPr>
          <w:p>
            <w:r>
              <w:rPr>
                <w:sz w:val="18"/>
              </w:rPr>
              <w:t>Security Officer review</w:t>
            </w:r>
          </w:p>
        </w:tc>
      </w:tr>
      <w:tr>
        <w:tc>
          <w:tcPr>
            <w:tcW w:type="dxa" w:w="2016"/>
          </w:tcPr>
          <w:p>
            <w:r>
              <w:rPr>
                <w:sz w:val="18"/>
              </w:rPr>
              <w:t>Privilege escalation</w:t>
            </w:r>
          </w:p>
        </w:tc>
        <w:tc>
          <w:tcPr>
            <w:tcW w:type="dxa" w:w="2880"/>
          </w:tcPr>
          <w:p>
            <w:r>
              <w:rPr>
                <w:sz w:val="18"/>
              </w:rPr>
              <w:t>Role change to admin</w:t>
            </w:r>
          </w:p>
        </w:tc>
        <w:tc>
          <w:tcPr>
            <w:tcW w:type="dxa" w:w="1296"/>
          </w:tcPr>
          <w:p>
            <w:r>
              <w:rPr>
                <w:sz w:val="18"/>
              </w:rPr>
              <w:t>High</w:t>
            </w:r>
          </w:p>
        </w:tc>
        <w:tc>
          <w:tcPr>
            <w:tcW w:type="dxa" w:w="2736"/>
          </w:tcPr>
          <w:p>
            <w:r>
              <w:rPr>
                <w:sz w:val="18"/>
              </w:rPr>
              <w:t>Confirm authorization</w:t>
            </w:r>
          </w:p>
        </w:tc>
      </w:tr>
      <w:tr>
        <w:tc>
          <w:tcPr>
            <w:tcW w:type="dxa" w:w="2016"/>
          </w:tcPr>
          <w:p>
            <w:r>
              <w:rPr>
                <w:sz w:val="18"/>
              </w:rPr>
              <w:t>Audit failure</w:t>
            </w:r>
          </w:p>
        </w:tc>
        <w:tc>
          <w:tcPr>
            <w:tcW w:type="dxa" w:w="2880"/>
          </w:tcPr>
          <w:p>
            <w:r>
              <w:rPr>
                <w:sz w:val="18"/>
              </w:rPr>
              <w:t>PHI access audit write failure</w:t>
            </w:r>
          </w:p>
        </w:tc>
        <w:tc>
          <w:tcPr>
            <w:tcW w:type="dxa" w:w="1296"/>
          </w:tcPr>
          <w:p>
            <w:r>
              <w:rPr>
                <w:sz w:val="18"/>
              </w:rPr>
              <w:t>High</w:t>
            </w:r>
          </w:p>
        </w:tc>
        <w:tc>
          <w:tcPr>
            <w:tcW w:type="dxa" w:w="2736"/>
          </w:tcPr>
          <w:p>
            <w:r>
              <w:rPr>
                <w:sz w:val="18"/>
              </w:rPr>
              <w:t>Investigate the trail gap</w:t>
            </w:r>
          </w:p>
        </w:tc>
      </w:tr>
      <w:tr>
        <w:tc>
          <w:tcPr>
            <w:tcW w:type="dxa" w:w="2016"/>
          </w:tcPr>
          <w:p>
            <w:r>
              <w:rPr>
                <w:sz w:val="18"/>
              </w:rPr>
              <w:t>Certificate expiry</w:t>
            </w:r>
          </w:p>
        </w:tc>
        <w:tc>
          <w:tcPr>
            <w:tcW w:type="dxa" w:w="2880"/>
          </w:tcPr>
          <w:p>
            <w:r>
              <w:rPr>
                <w:sz w:val="18"/>
              </w:rPr>
              <w:t>Within 30 days</w:t>
            </w:r>
          </w:p>
        </w:tc>
        <w:tc>
          <w:tcPr>
            <w:tcW w:type="dxa" w:w="1296"/>
          </w:tcPr>
          <w:p>
            <w:r>
              <w:rPr>
                <w:sz w:val="18"/>
              </w:rPr>
              <w:t>Medium</w:t>
            </w:r>
          </w:p>
        </w:tc>
        <w:tc>
          <w:tcPr>
            <w:tcW w:type="dxa" w:w="2736"/>
          </w:tcPr>
          <w:p>
            <w:r>
              <w:rPr>
                <w:sz w:val="18"/>
              </w:rPr>
              <w:t>Renewal check</w:t>
            </w:r>
          </w:p>
        </w:tc>
      </w:tr>
      <w:tr>
        <w:tc>
          <w:tcPr>
            <w:tcW w:type="dxa" w:w="2016"/>
          </w:tcPr>
          <w:p>
            <w:r>
              <w:rPr>
                <w:sz w:val="18"/>
              </w:rPr>
              <w:t>Latency</w:t>
            </w:r>
          </w:p>
        </w:tc>
        <w:tc>
          <w:tcPr>
            <w:tcW w:type="dxa" w:w="2880"/>
          </w:tcPr>
          <w:p>
            <w:r>
              <w:rPr>
                <w:sz w:val="18"/>
              </w:rPr>
              <w:t>95th percentile above 5 seconds for 15 minutes</w:t>
            </w:r>
          </w:p>
        </w:tc>
        <w:tc>
          <w:tcPr>
            <w:tcW w:type="dxa" w:w="1296"/>
          </w:tcPr>
          <w:p>
            <w:r>
              <w:rPr>
                <w:sz w:val="18"/>
              </w:rPr>
              <w:t>Medium</w:t>
            </w:r>
          </w:p>
        </w:tc>
        <w:tc>
          <w:tcPr>
            <w:tcW w:type="dxa" w:w="2736"/>
          </w:tcPr>
          <w:p>
            <w:r>
              <w:rPr>
                <w:sz w:val="18"/>
              </w:rPr>
              <w:t>Performance review</w:t>
            </w:r>
          </w:p>
        </w:tc>
      </w:tr>
      <w:tr>
        <w:tc>
          <w:tcPr>
            <w:tcW w:type="dxa" w:w="2016"/>
          </w:tcPr>
          <w:p>
            <w:r>
              <w:rPr>
                <w:sz w:val="18"/>
              </w:rPr>
              <w:t>Scheduled job failure</w:t>
            </w:r>
          </w:p>
        </w:tc>
        <w:tc>
          <w:tcPr>
            <w:tcW w:type="dxa" w:w="2880"/>
          </w:tcPr>
          <w:p>
            <w:r>
              <w:rPr>
                <w:sz w:val="18"/>
              </w:rPr>
              <w:t>Daily job did not complete</w:t>
            </w:r>
          </w:p>
        </w:tc>
        <w:tc>
          <w:tcPr>
            <w:tcW w:type="dxa" w:w="1296"/>
          </w:tcPr>
          <w:p>
            <w:r>
              <w:rPr>
                <w:sz w:val="18"/>
              </w:rPr>
              <w:t>Medium</w:t>
            </w:r>
          </w:p>
        </w:tc>
        <w:tc>
          <w:tcPr>
            <w:tcW w:type="dxa" w:w="2736"/>
          </w:tcPr>
          <w:p>
            <w:r>
              <w:rPr>
                <w:sz w:val="18"/>
              </w:rPr>
              <w:t>Self-heal, then investigate</w:t>
            </w:r>
          </w:p>
        </w:tc>
      </w:tr>
    </w:tbl>
    <w:p/>
    <w:p>
      <w:r>
        <w:t>An alert keyed on the deployment CLI's exit status will produce false alarms, because the CLI reports connection failures while the deployment is succeeding. Deployment alerting is keyed on the server-side deployment record.</w:t>
      </w:r>
    </w:p>
    <w:p>
      <w:pPr>
        <w:pStyle w:val="Heading1"/>
      </w:pPr>
      <w:r>
        <w:t>9. Review cadence</w:t>
      </w:r>
    </w:p>
    <w:tbl>
      <w:tblPr>
        <w:tblStyle w:val="TableGrid"/>
        <w:tblW w:type="auto" w:w="0"/>
        <w:tblLook w:firstColumn="1" w:firstRow="1" w:lastColumn="0" w:lastRow="0" w:noHBand="0" w:noVBand="1" w:val="04A0"/>
      </w:tblPr>
      <w:tblGrid>
        <w:gridCol w:w="3120"/>
        <w:gridCol w:w="3120"/>
        <w:gridCol w:w="3120"/>
      </w:tblGrid>
      <w:tr>
        <w:tc>
          <w:tcPr>
            <w:tcW w:type="dxa" w:w="3456"/>
            <w:shd w:val="clear" w:fill="0F2B4C"/>
          </w:tcPr>
          <w:p>
            <w:r>
              <w:rPr>
                <w:b/>
                <w:color w:val="FFFFFF"/>
                <w:sz w:val="18"/>
              </w:rPr>
              <w:t>Activity</w:t>
            </w:r>
          </w:p>
        </w:tc>
        <w:tc>
          <w:tcPr>
            <w:tcW w:type="dxa" w:w="2016"/>
            <w:shd w:val="clear" w:fill="0F2B4C"/>
          </w:tcPr>
          <w:p>
            <w:r>
              <w:rPr>
                <w:b/>
                <w:color w:val="FFFFFF"/>
                <w:sz w:val="18"/>
              </w:rPr>
              <w:t>Frequency</w:t>
            </w:r>
          </w:p>
        </w:tc>
        <w:tc>
          <w:tcPr>
            <w:tcW w:type="dxa" w:w="3456"/>
            <w:shd w:val="clear" w:fill="0F2B4C"/>
          </w:tcPr>
          <w:p>
            <w:r>
              <w:rPr>
                <w:b/>
                <w:color w:val="FFFFFF"/>
                <w:sz w:val="18"/>
              </w:rPr>
              <w:t>Reviewer</w:t>
            </w:r>
          </w:p>
        </w:tc>
      </w:tr>
      <w:tr>
        <w:tc>
          <w:tcPr>
            <w:tcW w:type="dxa" w:w="3456"/>
          </w:tcPr>
          <w:p>
            <w:r>
              <w:rPr>
                <w:sz w:val="18"/>
              </w:rPr>
              <w:t>Security event review</w:t>
            </w:r>
          </w:p>
        </w:tc>
        <w:tc>
          <w:tcPr>
            <w:tcW w:type="dxa" w:w="2016"/>
          </w:tcPr>
          <w:p>
            <w:r>
              <w:rPr>
                <w:sz w:val="18"/>
              </w:rPr>
              <w:t>Weekly</w:t>
            </w:r>
          </w:p>
        </w:tc>
        <w:tc>
          <w:tcPr>
            <w:tcW w:type="dxa" w:w="3456"/>
          </w:tcPr>
          <w:p>
            <w:r>
              <w:rPr>
                <w:sz w:val="18"/>
              </w:rPr>
              <w:t>Security Officer</w:t>
            </w:r>
          </w:p>
        </w:tc>
      </w:tr>
      <w:tr>
        <w:tc>
          <w:tcPr>
            <w:tcW w:type="dxa" w:w="3456"/>
          </w:tcPr>
          <w:p>
            <w:r>
              <w:rPr>
                <w:sz w:val="18"/>
              </w:rPr>
              <w:t>Privileged action review</w:t>
            </w:r>
          </w:p>
        </w:tc>
        <w:tc>
          <w:tcPr>
            <w:tcW w:type="dxa" w:w="2016"/>
          </w:tcPr>
          <w:p>
            <w:r>
              <w:rPr>
                <w:sz w:val="18"/>
              </w:rPr>
              <w:t>Monthly</w:t>
            </w:r>
          </w:p>
        </w:tc>
        <w:tc>
          <w:tcPr>
            <w:tcW w:type="dxa" w:w="3456"/>
          </w:tcPr>
          <w:p>
            <w:r>
              <w:rPr>
                <w:sz w:val="18"/>
              </w:rPr>
              <w:t>Security Officer</w:t>
            </w:r>
          </w:p>
        </w:tc>
      </w:tr>
      <w:tr>
        <w:tc>
          <w:tcPr>
            <w:tcW w:type="dxa" w:w="3456"/>
          </w:tcPr>
          <w:p>
            <w:r>
              <w:rPr>
                <w:sz w:val="18"/>
              </w:rPr>
              <w:t>PHI access pattern review</w:t>
            </w:r>
          </w:p>
        </w:tc>
        <w:tc>
          <w:tcPr>
            <w:tcW w:type="dxa" w:w="2016"/>
          </w:tcPr>
          <w:p>
            <w:r>
              <w:rPr>
                <w:sz w:val="18"/>
              </w:rPr>
              <w:t>Quarterly</w:t>
            </w:r>
          </w:p>
        </w:tc>
        <w:tc>
          <w:tcPr>
            <w:tcW w:type="dxa" w:w="3456"/>
          </w:tcPr>
          <w:p>
            <w:r>
              <w:rPr>
                <w:sz w:val="18"/>
              </w:rPr>
              <w:t>Privacy Officer</w:t>
            </w:r>
          </w:p>
        </w:tc>
      </w:tr>
      <w:tr>
        <w:tc>
          <w:tcPr>
            <w:tcW w:type="dxa" w:w="3456"/>
          </w:tcPr>
          <w:p>
            <w:r>
              <w:rPr>
                <w:sz w:val="18"/>
              </w:rPr>
              <w:t>Alert rule effectiveness review</w:t>
            </w:r>
          </w:p>
        </w:tc>
        <w:tc>
          <w:tcPr>
            <w:tcW w:type="dxa" w:w="2016"/>
          </w:tcPr>
          <w:p>
            <w:r>
              <w:rPr>
                <w:sz w:val="18"/>
              </w:rPr>
              <w:t>Quarterly</w:t>
            </w:r>
          </w:p>
        </w:tc>
        <w:tc>
          <w:tcPr>
            <w:tcW w:type="dxa" w:w="3456"/>
          </w:tcPr>
          <w:p>
            <w:r>
              <w:rPr>
                <w:sz w:val="18"/>
              </w:rPr>
              <w:t>Security Officer</w:t>
            </w:r>
          </w:p>
        </w:tc>
      </w:tr>
      <w:tr>
        <w:tc>
          <w:tcPr>
            <w:tcW w:type="dxa" w:w="3456"/>
          </w:tcPr>
          <w:p>
            <w:r>
              <w:rPr>
                <w:sz w:val="18"/>
              </w:rPr>
              <w:t>Log retention verification</w:t>
            </w:r>
          </w:p>
        </w:tc>
        <w:tc>
          <w:tcPr>
            <w:tcW w:type="dxa" w:w="2016"/>
          </w:tcPr>
          <w:p>
            <w:r>
              <w:rPr>
                <w:sz w:val="18"/>
              </w:rPr>
              <w:t>Annually</w:t>
            </w:r>
          </w:p>
        </w:tc>
        <w:tc>
          <w:tcPr>
            <w:tcW w:type="dxa" w:w="3456"/>
          </w:tcPr>
          <w:p>
            <w:r>
              <w:rPr>
                <w:sz w:val="18"/>
              </w:rPr>
              <w:t>Security Officer</w:t>
            </w:r>
          </w:p>
        </w:tc>
      </w:tr>
    </w:tbl>
    <w:p/>
    <w:p>
      <w:pPr>
        <w:pStyle w:val="Heading1"/>
      </w:pPr>
      <w:r>
        <w:t>10. SIEM roadmap</w:t>
      </w:r>
    </w:p>
    <w:p>
      <w:r>
        <w:t>AGT does not currently operate a SIEM. Correlation is performed manually against Application Insights and Azure Monitor. Planned progression: centralize application and infrastructure logs into a single Log Analytics workspace, define correlation rules for credential-stuffing and privilege-escalation patterns, then evaluate Microsoft Sentinel. This is a known maturity gap, recorded rather than implied.</w:t>
      </w:r>
    </w:p>
    <w:p>
      <w:pPr>
        <w:pStyle w:val="Heading2"/>
      </w:pPr>
      <w:r>
        <w:t>Roles and responsibilities</w:t>
      </w:r>
    </w:p>
    <w:tbl>
      <w:tblPr>
        <w:tblStyle w:val="TableGrid"/>
        <w:tblW w:type="auto" w:w="0"/>
        <w:tblLook w:firstColumn="1" w:firstRow="1" w:lastColumn="0" w:lastRow="0" w:noHBand="0" w:noVBand="1" w:val="04A0"/>
      </w:tblPr>
      <w:tblGrid>
        <w:gridCol w:w="4680"/>
        <w:gridCol w:w="4680"/>
      </w:tblGrid>
      <w:tr>
        <w:tc>
          <w:tcPr>
            <w:tcW w:type="dxa" w:w="2592"/>
            <w:shd w:val="clear" w:fill="0F2B4C"/>
          </w:tcPr>
          <w:p>
            <w:r>
              <w:rPr>
                <w:b/>
                <w:color w:val="FFFFFF"/>
                <w:sz w:val="18"/>
              </w:rPr>
              <w:t>Role</w:t>
            </w:r>
          </w:p>
        </w:tc>
        <w:tc>
          <w:tcPr>
            <w:tcW w:type="dxa" w:w="6336"/>
            <w:shd w:val="clear" w:fill="0F2B4C"/>
          </w:tcPr>
          <w:p>
            <w:r>
              <w:rPr>
                <w:b/>
                <w:color w:val="FFFFFF"/>
                <w:sz w:val="18"/>
              </w:rPr>
              <w:t>Responsibility</w:t>
            </w:r>
          </w:p>
        </w:tc>
      </w:tr>
      <w:tr>
        <w:tc>
          <w:tcPr>
            <w:tcW w:type="dxa" w:w="2592"/>
          </w:tcPr>
          <w:p>
            <w:r>
              <w:rPr>
                <w:sz w:val="18"/>
              </w:rPr>
              <w:t>Security Officer</w:t>
            </w:r>
          </w:p>
        </w:tc>
        <w:tc>
          <w:tcPr>
            <w:tcW w:type="dxa" w:w="6336"/>
          </w:tcPr>
          <w:p>
            <w:r>
              <w:rPr>
                <w:sz w:val="18"/>
              </w:rPr>
              <w:t>Owns alerting; performs weekly and monthly reviews.</w:t>
            </w:r>
          </w:p>
        </w:tc>
      </w:tr>
      <w:tr>
        <w:tc>
          <w:tcPr>
            <w:tcW w:type="dxa" w:w="2592"/>
          </w:tcPr>
          <w:p>
            <w:r>
              <w:rPr>
                <w:sz w:val="18"/>
              </w:rPr>
              <w:t>Privacy Officer</w:t>
            </w:r>
          </w:p>
        </w:tc>
        <w:tc>
          <w:tcPr>
            <w:tcW w:type="dxa" w:w="6336"/>
          </w:tcPr>
          <w:p>
            <w:r>
              <w:rPr>
                <w:sz w:val="18"/>
              </w:rPr>
              <w:t>Reviews PHI access patterns quarterly.</w:t>
            </w:r>
          </w:p>
        </w:tc>
      </w:tr>
      <w:tr>
        <w:tc>
          <w:tcPr>
            <w:tcW w:type="dxa" w:w="2592"/>
          </w:tcPr>
          <w:p>
            <w:r>
              <w:rPr>
                <w:sz w:val="18"/>
              </w:rPr>
              <w:t>Engineering</w:t>
            </w:r>
          </w:p>
        </w:tc>
        <w:tc>
          <w:tcPr>
            <w:tcW w:type="dxa" w:w="6336"/>
          </w:tcPr>
          <w:p>
            <w:r>
              <w:rPr>
                <w:sz w:val="18"/>
              </w:rPr>
              <w:t>Implements audit capture; ensures prohibited data is never logged.</w:t>
            </w:r>
          </w:p>
        </w:tc>
      </w:tr>
    </w:tbl>
    <w:p/>
    <w:p>
      <w:r>
        <w:br w:type="page"/>
      </w:r>
    </w:p>
    <w:p>
      <w:pPr>
        <w:pStyle w:val="Heading2"/>
      </w:pPr>
      <w:r>
        <w:t>Compliance mapping</w:t>
      </w:r>
    </w:p>
    <w:p>
      <w:r>
        <w:t>Each framework reference below identifies the control this document is written to satisfy. Where a control is only partially satisfied, the gap is stated in the row rather than omitted - a mapping table that shows only green is not evidence, it is decoration.</w:t>
      </w:r>
    </w:p>
    <w:tbl>
      <w:tblPr>
        <w:tblStyle w:val="TableGrid"/>
        <w:tblW w:type="auto" w:w="0"/>
        <w:tblLook w:firstColumn="1" w:firstRow="1" w:lastColumn="0" w:lastRow="0" w:noHBand="0" w:noVBand="1" w:val="04A0"/>
      </w:tblPr>
      <w:tblGrid>
        <w:gridCol w:w="2340"/>
        <w:gridCol w:w="2340"/>
        <w:gridCol w:w="2340"/>
        <w:gridCol w:w="2340"/>
      </w:tblGrid>
      <w:tr>
        <w:tc>
          <w:tcPr>
            <w:tcW w:type="dxa" w:w="1584"/>
            <w:shd w:val="clear" w:fill="0F2B4C"/>
          </w:tcPr>
          <w:p>
            <w:r>
              <w:rPr>
                <w:b/>
                <w:color w:val="FFFFFF"/>
                <w:sz w:val="18"/>
              </w:rPr>
              <w:t>Framework</w:t>
            </w:r>
          </w:p>
        </w:tc>
        <w:tc>
          <w:tcPr>
            <w:tcW w:type="dxa" w:w="2160"/>
            <w:shd w:val="clear" w:fill="0F2B4C"/>
          </w:tcPr>
          <w:p>
            <w:r>
              <w:rPr>
                <w:b/>
                <w:color w:val="FFFFFF"/>
                <w:sz w:val="18"/>
              </w:rPr>
              <w:t>Control reference</w:t>
            </w:r>
          </w:p>
        </w:tc>
        <w:tc>
          <w:tcPr>
            <w:tcW w:type="dxa" w:w="4320"/>
            <w:shd w:val="clear" w:fill="0F2B4C"/>
          </w:tcPr>
          <w:p>
            <w:r>
              <w:rPr>
                <w:b/>
                <w:color w:val="FFFFFF"/>
                <w:sz w:val="18"/>
              </w:rPr>
              <w:t>How this document satisfies it</w:t>
            </w:r>
          </w:p>
        </w:tc>
        <w:tc>
          <w:tcPr>
            <w:tcW w:type="dxa" w:w="1152"/>
            <w:shd w:val="clear" w:fill="0F2B4C"/>
          </w:tcPr>
          <w:p>
            <w:r>
              <w:rPr>
                <w:b/>
                <w:color w:val="FFFFFF"/>
                <w:sz w:val="18"/>
              </w:rPr>
              <w:t>Status</w:t>
            </w:r>
          </w:p>
        </w:tc>
      </w:tr>
      <w:tr>
        <w:tc>
          <w:tcPr>
            <w:tcW w:type="dxa" w:w="1584"/>
          </w:tcPr>
          <w:p>
            <w:r>
              <w:rPr>
                <w:sz w:val="18"/>
              </w:rPr>
              <w:t>NIST 800-53</w:t>
            </w:r>
          </w:p>
        </w:tc>
        <w:tc>
          <w:tcPr>
            <w:tcW w:type="dxa" w:w="2160"/>
          </w:tcPr>
          <w:p>
            <w:r>
              <w:rPr>
                <w:sz w:val="18"/>
              </w:rPr>
              <w:t>AU-2, AU-3, AU-6, AU-9, AU-11, AU-12</w:t>
            </w:r>
          </w:p>
        </w:tc>
        <w:tc>
          <w:tcPr>
            <w:tcW w:type="dxa" w:w="4320"/>
          </w:tcPr>
          <w:p>
            <w:r>
              <w:rPr>
                <w:sz w:val="18"/>
              </w:rPr>
              <w:t>Event logging, content, review, protection, retention, generation.</w:t>
            </w:r>
          </w:p>
        </w:tc>
        <w:tc>
          <w:tcPr>
            <w:tcW w:type="dxa" w:w="1152"/>
          </w:tcPr>
          <w:p>
            <w:r>
              <w:rPr>
                <w:sz w:val="18"/>
              </w:rPr>
              <w:t>Met</w:t>
            </w:r>
          </w:p>
        </w:tc>
      </w:tr>
      <w:tr>
        <w:tc>
          <w:tcPr>
            <w:tcW w:type="dxa" w:w="1584"/>
          </w:tcPr>
          <w:p>
            <w:r>
              <w:rPr>
                <w:sz w:val="18"/>
              </w:rPr>
              <w:t>NIST 800-53</w:t>
            </w:r>
          </w:p>
        </w:tc>
        <w:tc>
          <w:tcPr>
            <w:tcW w:type="dxa" w:w="2160"/>
          </w:tcPr>
          <w:p>
            <w:r>
              <w:rPr>
                <w:sz w:val="18"/>
              </w:rPr>
              <w:t>SI-4</w:t>
            </w:r>
          </w:p>
        </w:tc>
        <w:tc>
          <w:tcPr>
            <w:tcW w:type="dxa" w:w="4320"/>
          </w:tcPr>
          <w:p>
            <w:r>
              <w:rPr>
                <w:sz w:val="18"/>
              </w:rPr>
              <w:t>System monitoring and alerting.</w:t>
            </w:r>
          </w:p>
        </w:tc>
        <w:tc>
          <w:tcPr>
            <w:tcW w:type="dxa" w:w="1152"/>
          </w:tcPr>
          <w:p>
            <w:r>
              <w:rPr>
                <w:sz w:val="18"/>
              </w:rPr>
              <w:t>Partial - no SIEM correlation.</w:t>
            </w:r>
          </w:p>
        </w:tc>
      </w:tr>
      <w:tr>
        <w:tc>
          <w:tcPr>
            <w:tcW w:type="dxa" w:w="1584"/>
          </w:tcPr>
          <w:p>
            <w:r>
              <w:rPr>
                <w:sz w:val="18"/>
              </w:rPr>
              <w:t>HIPAA</w:t>
            </w:r>
          </w:p>
        </w:tc>
        <w:tc>
          <w:tcPr>
            <w:tcW w:type="dxa" w:w="2160"/>
          </w:tcPr>
          <w:p>
            <w:r>
              <w:rPr>
                <w:sz w:val="18"/>
              </w:rPr>
              <w:t>164.312(b)</w:t>
            </w:r>
          </w:p>
        </w:tc>
        <w:tc>
          <w:tcPr>
            <w:tcW w:type="dxa" w:w="4320"/>
          </w:tcPr>
          <w:p>
            <w:r>
              <w:rPr>
                <w:sz w:val="18"/>
              </w:rPr>
              <w:t>Audit controls over systems containing ePHI.</w:t>
            </w:r>
          </w:p>
        </w:tc>
        <w:tc>
          <w:tcPr>
            <w:tcW w:type="dxa" w:w="1152"/>
          </w:tcPr>
          <w:p>
            <w:r>
              <w:rPr>
                <w:sz w:val="18"/>
              </w:rPr>
              <w:t>Met</w:t>
            </w:r>
          </w:p>
        </w:tc>
      </w:tr>
      <w:tr>
        <w:tc>
          <w:tcPr>
            <w:tcW w:type="dxa" w:w="1584"/>
          </w:tcPr>
          <w:p>
            <w:r>
              <w:rPr>
                <w:sz w:val="18"/>
              </w:rPr>
              <w:t>HIPAA</w:t>
            </w:r>
          </w:p>
        </w:tc>
        <w:tc>
          <w:tcPr>
            <w:tcW w:type="dxa" w:w="2160"/>
          </w:tcPr>
          <w:p>
            <w:r>
              <w:rPr>
                <w:sz w:val="18"/>
              </w:rPr>
              <w:t>164.308(a)(1)(ii)(D)</w:t>
            </w:r>
          </w:p>
        </w:tc>
        <w:tc>
          <w:tcPr>
            <w:tcW w:type="dxa" w:w="4320"/>
          </w:tcPr>
          <w:p>
            <w:r>
              <w:rPr>
                <w:sz w:val="18"/>
              </w:rPr>
              <w:t>Information system activity review.</w:t>
            </w:r>
          </w:p>
        </w:tc>
        <w:tc>
          <w:tcPr>
            <w:tcW w:type="dxa" w:w="1152"/>
          </w:tcPr>
          <w:p>
            <w:r>
              <w:rPr>
                <w:sz w:val="18"/>
              </w:rPr>
              <w:t>Met</w:t>
            </w:r>
          </w:p>
        </w:tc>
      </w:tr>
      <w:tr>
        <w:tc>
          <w:tcPr>
            <w:tcW w:type="dxa" w:w="1584"/>
          </w:tcPr>
          <w:p>
            <w:r>
              <w:rPr>
                <w:sz w:val="18"/>
              </w:rPr>
              <w:t>HIPAA</w:t>
            </w:r>
          </w:p>
        </w:tc>
        <w:tc>
          <w:tcPr>
            <w:tcW w:type="dxa" w:w="2160"/>
          </w:tcPr>
          <w:p>
            <w:r>
              <w:rPr>
                <w:sz w:val="18"/>
              </w:rPr>
              <w:t>164.316(b)(2)</w:t>
            </w:r>
          </w:p>
        </w:tc>
        <w:tc>
          <w:tcPr>
            <w:tcW w:type="dxa" w:w="4320"/>
          </w:tcPr>
          <w:p>
            <w:r>
              <w:rPr>
                <w:sz w:val="18"/>
              </w:rPr>
              <w:t>Six-year retention of audit documentation.</w:t>
            </w:r>
          </w:p>
        </w:tc>
        <w:tc>
          <w:tcPr>
            <w:tcW w:type="dxa" w:w="1152"/>
          </w:tcPr>
          <w:p>
            <w:r>
              <w:rPr>
                <w:sz w:val="18"/>
              </w:rPr>
              <w:t>Met</w:t>
            </w:r>
          </w:p>
        </w:tc>
      </w:tr>
      <w:tr>
        <w:tc>
          <w:tcPr>
            <w:tcW w:type="dxa" w:w="1584"/>
          </w:tcPr>
          <w:p>
            <w:r>
              <w:rPr>
                <w:sz w:val="18"/>
              </w:rPr>
              <w:t>SOC 2</w:t>
            </w:r>
          </w:p>
        </w:tc>
        <w:tc>
          <w:tcPr>
            <w:tcW w:type="dxa" w:w="2160"/>
          </w:tcPr>
          <w:p>
            <w:r>
              <w:rPr>
                <w:sz w:val="18"/>
              </w:rPr>
              <w:t>CC7.2, CC7.3</w:t>
            </w:r>
          </w:p>
        </w:tc>
        <w:tc>
          <w:tcPr>
            <w:tcW w:type="dxa" w:w="4320"/>
          </w:tcPr>
          <w:p>
            <w:r>
              <w:rPr>
                <w:sz w:val="18"/>
              </w:rPr>
              <w:t>Monitoring for anomalies and evaluation of events.</w:t>
            </w:r>
          </w:p>
        </w:tc>
        <w:tc>
          <w:tcPr>
            <w:tcW w:type="dxa" w:w="1152"/>
          </w:tcPr>
          <w:p>
            <w:r>
              <w:rPr>
                <w:sz w:val="18"/>
              </w:rPr>
              <w:t>Met</w:t>
            </w:r>
          </w:p>
        </w:tc>
      </w:tr>
      <w:tr>
        <w:tc>
          <w:tcPr>
            <w:tcW w:type="dxa" w:w="1584"/>
          </w:tcPr>
          <w:p>
            <w:r>
              <w:rPr>
                <w:sz w:val="18"/>
              </w:rPr>
              <w:t>ISO 27001</w:t>
            </w:r>
          </w:p>
        </w:tc>
        <w:tc>
          <w:tcPr>
            <w:tcW w:type="dxa" w:w="2160"/>
          </w:tcPr>
          <w:p>
            <w:r>
              <w:rPr>
                <w:sz w:val="18"/>
              </w:rPr>
              <w:t>A.8.15, A.8.16</w:t>
            </w:r>
          </w:p>
        </w:tc>
        <w:tc>
          <w:tcPr>
            <w:tcW w:type="dxa" w:w="4320"/>
          </w:tcPr>
          <w:p>
            <w:r>
              <w:rPr>
                <w:sz w:val="18"/>
              </w:rPr>
              <w:t>Logging; monitoring activities.</w:t>
            </w:r>
          </w:p>
        </w:tc>
        <w:tc>
          <w:tcPr>
            <w:tcW w:type="dxa" w:w="1152"/>
          </w:tcPr>
          <w:p>
            <w:r>
              <w:rPr>
                <w:sz w:val="18"/>
              </w:rPr>
              <w:t>Met</w:t>
            </w:r>
          </w:p>
        </w:tc>
      </w:tr>
      <w:tr>
        <w:tc>
          <w:tcPr>
            <w:tcW w:type="dxa" w:w="1584"/>
          </w:tcPr>
          <w:p>
            <w:r>
              <w:rPr>
                <w:sz w:val="18"/>
              </w:rPr>
              <w:t>FedRAMP</w:t>
            </w:r>
          </w:p>
        </w:tc>
        <w:tc>
          <w:tcPr>
            <w:tcW w:type="dxa" w:w="2160"/>
          </w:tcPr>
          <w:p>
            <w:r>
              <w:rPr>
                <w:sz w:val="18"/>
              </w:rPr>
              <w:t>AU-6(1), SI-4(2)</w:t>
            </w:r>
          </w:p>
        </w:tc>
        <w:tc>
          <w:tcPr>
            <w:tcW w:type="dxa" w:w="4320"/>
          </w:tcPr>
          <w:p>
            <w:r>
              <w:rPr>
                <w:sz w:val="18"/>
              </w:rPr>
              <w:t>Automated audit review and near real-time analysis.</w:t>
            </w:r>
          </w:p>
        </w:tc>
        <w:tc>
          <w:tcPr>
            <w:tcW w:type="dxa" w:w="1152"/>
          </w:tcPr>
          <w:p>
            <w:r>
              <w:rPr>
                <w:sz w:val="18"/>
              </w:rPr>
              <w:t>Partial</w:t>
            </w:r>
          </w:p>
        </w:tc>
      </w:tr>
    </w:tbl>
    <w:p/>
    <w:p>
      <w:pPr>
        <w:pStyle w:val="Heading2"/>
      </w:pPr>
      <w:r>
        <w:t>Related documents</w:t>
      </w:r>
    </w:p>
    <w:tbl>
      <w:tblPr>
        <w:tblStyle w:val="TableGrid"/>
        <w:tblW w:type="auto" w:w="0"/>
        <w:tblLook w:firstColumn="1" w:firstRow="1" w:lastColumn="0" w:lastRow="0" w:noHBand="0" w:noVBand="1" w:val="04A0"/>
      </w:tblPr>
      <w:tblGrid>
        <w:gridCol w:w="3120"/>
        <w:gridCol w:w="3120"/>
        <w:gridCol w:w="3120"/>
      </w:tblGrid>
      <w:tr>
        <w:tc>
          <w:tcPr>
            <w:tcW w:type="dxa" w:w="1872"/>
            <w:shd w:val="clear" w:fill="0F2B4C"/>
          </w:tcPr>
          <w:p>
            <w:r>
              <w:rPr>
                <w:b/>
                <w:color w:val="FFFFFF"/>
                <w:sz w:val="18"/>
              </w:rPr>
              <w:t>Document ID</w:t>
            </w:r>
          </w:p>
        </w:tc>
        <w:tc>
          <w:tcPr>
            <w:tcW w:type="dxa" w:w="4176"/>
            <w:shd w:val="clear" w:fill="0F2B4C"/>
          </w:tcPr>
          <w:p>
            <w:r>
              <w:rPr>
                <w:b/>
                <w:color w:val="FFFFFF"/>
                <w:sz w:val="18"/>
              </w:rPr>
              <w:t>Title</w:t>
            </w:r>
          </w:p>
        </w:tc>
        <w:tc>
          <w:tcPr>
            <w:tcW w:type="dxa" w:w="3168"/>
            <w:shd w:val="clear" w:fill="0F2B4C"/>
          </w:tcPr>
          <w:p>
            <w:r>
              <w:rPr>
                <w:b/>
                <w:color w:val="FFFFFF"/>
                <w:sz w:val="18"/>
              </w:rPr>
              <w:t>Relationship</w:t>
            </w:r>
          </w:p>
        </w:tc>
      </w:tr>
      <w:tr>
        <w:tc>
          <w:tcPr>
            <w:tcW w:type="dxa" w:w="1872"/>
          </w:tcPr>
          <w:p>
            <w:r>
              <w:rPr>
                <w:sz w:val="18"/>
              </w:rPr>
              <w:t>AGT-DRP-007</w:t>
            </w:r>
          </w:p>
        </w:tc>
        <w:tc>
          <w:tcPr>
            <w:tcW w:type="dxa" w:w="4176"/>
          </w:tcPr>
          <w:p>
            <w:r>
              <w:rPr>
                <w:sz w:val="18"/>
              </w:rPr>
              <w:t>Data Retention Policy</w:t>
            </w:r>
          </w:p>
        </w:tc>
        <w:tc>
          <w:tcPr>
            <w:tcW w:type="dxa" w:w="3168"/>
          </w:tcPr>
          <w:p>
            <w:r>
              <w:rPr>
                <w:sz w:val="18"/>
              </w:rPr>
              <w:t>Log retention schedule</w:t>
            </w:r>
          </w:p>
        </w:tc>
      </w:tr>
      <w:tr>
        <w:tc>
          <w:tcPr>
            <w:tcW w:type="dxa" w:w="1872"/>
          </w:tcPr>
          <w:p>
            <w:r>
              <w:rPr>
                <w:sz w:val="18"/>
              </w:rPr>
              <w:t>AGT-IRP-022</w:t>
            </w:r>
          </w:p>
        </w:tc>
        <w:tc>
          <w:tcPr>
            <w:tcW w:type="dxa" w:w="4176"/>
          </w:tcPr>
          <w:p>
            <w:r>
              <w:rPr>
                <w:sz w:val="18"/>
              </w:rPr>
              <w:t>Incident Response Plan</w:t>
            </w:r>
          </w:p>
        </w:tc>
        <w:tc>
          <w:tcPr>
            <w:tcW w:type="dxa" w:w="3168"/>
          </w:tcPr>
          <w:p>
            <w:r>
              <w:rPr>
                <w:sz w:val="18"/>
              </w:rPr>
              <w:t>Alerts feed incident detection</w:t>
            </w:r>
          </w:p>
        </w:tc>
      </w:tr>
      <w:tr>
        <w:tc>
          <w:tcPr>
            <w:tcW w:type="dxa" w:w="1872"/>
          </w:tcPr>
          <w:p>
            <w:r>
              <w:rPr>
                <w:sz w:val="18"/>
              </w:rPr>
              <w:t>AGT-CMS-024</w:t>
            </w:r>
          </w:p>
        </w:tc>
        <w:tc>
          <w:tcPr>
            <w:tcW w:type="dxa" w:w="4176"/>
          </w:tcPr>
          <w:p>
            <w:r>
              <w:rPr>
                <w:sz w:val="18"/>
              </w:rPr>
              <w:t>Continuous Monitoring Strategy</w:t>
            </w:r>
          </w:p>
        </w:tc>
        <w:tc>
          <w:tcPr>
            <w:tcW w:type="dxa" w:w="3168"/>
          </w:tcPr>
          <w:p>
            <w:r>
              <w:rPr>
                <w:sz w:val="18"/>
              </w:rPr>
              <w:t>Review cadence and metrics</w:t>
            </w:r>
          </w:p>
        </w:tc>
      </w:tr>
      <w:tr>
        <w:tc>
          <w:tcPr>
            <w:tcW w:type="dxa" w:w="1872"/>
          </w:tcPr>
          <w:p>
            <w:r>
              <w:rPr>
                <w:sz w:val="18"/>
              </w:rPr>
              <w:t>AGT-DCP-006</w:t>
            </w:r>
          </w:p>
        </w:tc>
        <w:tc>
          <w:tcPr>
            <w:tcW w:type="dxa" w:w="4176"/>
          </w:tcPr>
          <w:p>
            <w:r>
              <w:rPr>
                <w:sz w:val="18"/>
              </w:rPr>
              <w:t>Data Classification Policy</w:t>
            </w:r>
          </w:p>
        </w:tc>
        <w:tc>
          <w:tcPr>
            <w:tcW w:type="dxa" w:w="3168"/>
          </w:tcPr>
          <w:p>
            <w:r>
              <w:rPr>
                <w:sz w:val="18"/>
              </w:rPr>
              <w:t>What must never appear in a log</w:t>
            </w:r>
          </w:p>
        </w:tc>
      </w:tr>
    </w:tbl>
    <w:p/>
    <w:p>
      <w:r>
        <w:br w:type="page"/>
      </w:r>
    </w:p>
    <w:p>
      <w:pPr>
        <w:pStyle w:val="Heading1"/>
      </w:pPr>
      <w:r>
        <w:t>Version history</w:t>
      </w:r>
    </w:p>
    <w:tbl>
      <w:tblPr>
        <w:tblStyle w:val="TableGrid"/>
        <w:tblW w:type="auto" w:w="0"/>
        <w:tblLook w:firstColumn="1" w:firstRow="1" w:lastColumn="0" w:lastRow="0" w:noHBand="0" w:noVBand="1" w:val="04A0"/>
      </w:tblPr>
      <w:tblGrid>
        <w:gridCol w:w="2340"/>
        <w:gridCol w:w="2340"/>
        <w:gridCol w:w="2340"/>
        <w:gridCol w:w="2340"/>
      </w:tblGrid>
      <w:tr>
        <w:tc>
          <w:tcPr>
            <w:tcW w:type="dxa" w:w="1152"/>
            <w:shd w:val="clear" w:fill="0F2B4C"/>
          </w:tcPr>
          <w:p>
            <w:r>
              <w:rPr>
                <w:b/>
                <w:color w:val="FFFFFF"/>
                <w:sz w:val="18"/>
              </w:rPr>
              <w:t>Version</w:t>
            </w:r>
          </w:p>
        </w:tc>
        <w:tc>
          <w:tcPr>
            <w:tcW w:type="dxa" w:w="1584"/>
            <w:shd w:val="clear" w:fill="0F2B4C"/>
          </w:tcPr>
          <w:p>
            <w:r>
              <w:rPr>
                <w:b/>
                <w:color w:val="FFFFFF"/>
                <w:sz w:val="18"/>
              </w:rPr>
              <w:t>Date</w:t>
            </w:r>
          </w:p>
        </w:tc>
        <w:tc>
          <w:tcPr>
            <w:tcW w:type="dxa" w:w="2016"/>
            <w:shd w:val="clear" w:fill="0F2B4C"/>
          </w:tcPr>
          <w:p>
            <w:r>
              <w:rPr>
                <w:b/>
                <w:color w:val="FFFFFF"/>
                <w:sz w:val="18"/>
              </w:rPr>
              <w:t>Author</w:t>
            </w:r>
          </w:p>
        </w:tc>
        <w:tc>
          <w:tcPr>
            <w:tcW w:type="dxa" w:w="4176"/>
            <w:shd w:val="clear" w:fill="0F2B4C"/>
          </w:tcPr>
          <w:p>
            <w:r>
              <w:rPr>
                <w:b/>
                <w:color w:val="FFFFFF"/>
                <w:sz w:val="18"/>
              </w:rPr>
              <w:t>Summary of change</w:t>
            </w:r>
          </w:p>
        </w:tc>
      </w:tr>
      <w:tr>
        <w:tc>
          <w:tcPr>
            <w:tcW w:type="dxa" w:w="1152"/>
          </w:tcPr>
          <w:p>
            <w:r>
              <w:rPr>
                <w:sz w:val="18"/>
              </w:rPr>
              <w:t>1.0</w:t>
            </w:r>
          </w:p>
        </w:tc>
        <w:tc>
          <w:tcPr>
            <w:tcW w:type="dxa" w:w="1584"/>
          </w:tcPr>
          <w:p>
            <w:r>
              <w:rPr>
                <w:sz w:val="18"/>
              </w:rPr>
              <w:t>2026-07-28</w:t>
            </w:r>
          </w:p>
        </w:tc>
        <w:tc>
          <w:tcPr>
            <w:tcW w:type="dxa" w:w="2016"/>
          </w:tcPr>
          <w:p>
            <w:r>
              <w:rPr>
                <w:sz w:val="18"/>
              </w:rPr>
              <w:t>Imran Siddiqui</w:t>
            </w:r>
          </w:p>
        </w:tc>
        <w:tc>
          <w:tcPr>
            <w:tcW w:type="dxa" w:w="4176"/>
          </w:tcPr>
          <w:p>
            <w:r>
              <w:rPr>
                <w:sz w:val="18"/>
              </w:rPr>
              <w:t>Initial issue.</w:t>
            </w:r>
          </w:p>
        </w:tc>
      </w:tr>
    </w:tbl>
    <w:p/>
    <w:p>
      <w:pPr>
        <w:pStyle w:val="Heading1"/>
      </w:pPr>
      <w:r>
        <w:t>Approval</w:t>
      </w:r>
    </w:p>
    <w:p>
      <w:r>
        <w:t>This document is approved for use and is binding on all personnel and contractors with access to the systems in scope.</w:t>
      </w:r>
    </w:p>
    <w:tbl>
      <w:tblPr>
        <w:tblStyle w:val="TableGrid"/>
        <w:tblW w:type="auto" w:w="0"/>
        <w:tblLook w:firstColumn="1" w:firstRow="1" w:lastColumn="0" w:lastRow="0" w:noHBand="0" w:noVBand="1" w:val="04A0"/>
      </w:tblPr>
      <w:tblGrid>
        <w:gridCol w:w="2340"/>
        <w:gridCol w:w="2340"/>
        <w:gridCol w:w="2340"/>
        <w:gridCol w:w="2340"/>
      </w:tblGrid>
      <w:tr>
        <w:tc>
          <w:tcPr>
            <w:tcW w:type="dxa" w:w="2592"/>
            <w:shd w:val="clear" w:fill="0F2B4C"/>
          </w:tcPr>
          <w:p>
            <w:r>
              <w:rPr>
                <w:b/>
                <w:color w:val="FFFFFF"/>
                <w:sz w:val="18"/>
              </w:rPr>
              <w:t>Role</w:t>
            </w:r>
          </w:p>
        </w:tc>
        <w:tc>
          <w:tcPr>
            <w:tcW w:type="dxa" w:w="2304"/>
            <w:shd w:val="clear" w:fill="0F2B4C"/>
          </w:tcPr>
          <w:p>
            <w:r>
              <w:rPr>
                <w:b/>
                <w:color w:val="FFFFFF"/>
                <w:sz w:val="18"/>
              </w:rPr>
              <w:t>Name</w:t>
            </w:r>
          </w:p>
        </w:tc>
        <w:tc>
          <w:tcPr>
            <w:tcW w:type="dxa" w:w="2304"/>
            <w:shd w:val="clear" w:fill="0F2B4C"/>
          </w:tcPr>
          <w:p>
            <w:r>
              <w:rPr>
                <w:b/>
                <w:color w:val="FFFFFF"/>
                <w:sz w:val="18"/>
              </w:rPr>
              <w:t>Signature</w:t>
            </w:r>
          </w:p>
        </w:tc>
        <w:tc>
          <w:tcPr>
            <w:tcW w:type="dxa" w:w="1728"/>
            <w:shd w:val="clear" w:fill="0F2B4C"/>
          </w:tcPr>
          <w:p>
            <w:r>
              <w:rPr>
                <w:b/>
                <w:color w:val="FFFFFF"/>
                <w:sz w:val="18"/>
              </w:rPr>
              <w:t>Date</w:t>
            </w:r>
          </w:p>
        </w:tc>
      </w:tr>
      <w:tr>
        <w:tc>
          <w:tcPr>
            <w:tcW w:type="dxa" w:w="2592"/>
          </w:tcPr>
          <w:p>
            <w:r>
              <w:rPr>
                <w:sz w:val="18"/>
              </w:rPr>
              <w:t>Chief Executive Officer</w:t>
            </w:r>
          </w:p>
        </w:tc>
        <w:tc>
          <w:tcPr>
            <w:tcW w:type="dxa" w:w="2304"/>
          </w:tcPr>
          <w:p>
            <w:r>
              <w:rPr>
                <w:sz w:val="18"/>
              </w:rPr>
              <w:t>Imran Siddiqui</w:t>
            </w:r>
          </w:p>
        </w:tc>
        <w:tc>
          <w:tcPr>
            <w:tcW w:type="dxa" w:w="2304"/>
          </w:tcPr>
          <w:p>
            <w:r>
              <w:rPr>
                <w:sz w:val="18"/>
              </w:rPr>
            </w:r>
          </w:p>
        </w:tc>
        <w:tc>
          <w:tcPr>
            <w:tcW w:type="dxa" w:w="1728"/>
          </w:tcPr>
          <w:p>
            <w:r>
              <w:rPr>
                <w:sz w:val="18"/>
              </w:rPr>
            </w:r>
          </w:p>
        </w:tc>
      </w:tr>
      <w:tr>
        <w:tc>
          <w:tcPr>
            <w:tcW w:type="dxa" w:w="2592"/>
          </w:tcPr>
          <w:p>
            <w:r>
              <w:rPr>
                <w:sz w:val="18"/>
              </w:rPr>
              <w:t>Security Officer</w:t>
            </w:r>
          </w:p>
        </w:tc>
        <w:tc>
          <w:tcPr>
            <w:tcW w:type="dxa" w:w="2304"/>
          </w:tcPr>
          <w:p>
            <w:r>
              <w:rPr>
                <w:sz w:val="18"/>
              </w:rPr>
            </w:r>
          </w:p>
        </w:tc>
        <w:tc>
          <w:tcPr>
            <w:tcW w:type="dxa" w:w="2304"/>
          </w:tcPr>
          <w:p>
            <w:r>
              <w:rPr>
                <w:sz w:val="18"/>
              </w:rPr>
            </w:r>
          </w:p>
        </w:tc>
        <w:tc>
          <w:tcPr>
            <w:tcW w:type="dxa" w:w="1728"/>
          </w:tcPr>
          <w:p>
            <w:r>
              <w:rPr>
                <w:sz w:val="18"/>
              </w:rPr>
            </w:r>
          </w:p>
        </w:tc>
      </w:tr>
      <w:tr>
        <w:tc>
          <w:tcPr>
            <w:tcW w:type="dxa" w:w="2592"/>
          </w:tcPr>
          <w:p>
            <w:r>
              <w:rPr>
                <w:sz w:val="18"/>
              </w:rPr>
              <w:t>Privacy Officer</w:t>
            </w:r>
          </w:p>
        </w:tc>
        <w:tc>
          <w:tcPr>
            <w:tcW w:type="dxa" w:w="2304"/>
          </w:tcPr>
          <w:p>
            <w:r>
              <w:rPr>
                <w:sz w:val="18"/>
              </w:rPr>
            </w:r>
          </w:p>
        </w:tc>
        <w:tc>
          <w:tcPr>
            <w:tcW w:type="dxa" w:w="2304"/>
          </w:tcPr>
          <w:p>
            <w:r>
              <w:rPr>
                <w:sz w:val="18"/>
              </w:rPr>
            </w:r>
          </w:p>
        </w:tc>
        <w:tc>
          <w:tcPr>
            <w:tcW w:type="dxa" w:w="1728"/>
          </w:tcPr>
          <w:p>
            <w:r>
              <w:rPr>
                <w:sz w:val="18"/>
              </w:rPr>
            </w:r>
          </w:p>
        </w:tc>
      </w:tr>
    </w:tbl>
    <w:p/>
    <w:p>
      <w:r>
        <w:rPr>
          <w:i/>
          <w:color w:val="5A5A5A"/>
          <w:sz w:val="19"/>
        </w:rPr>
        <w:t>Approval is recorded in the document management system; a wet signature is not required where an auditable electronic approval exists.</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AGT-LMP-018 v1.0  |  AGT Internal  |  Uncontrolled when printed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2B4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2B4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F6CB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