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Media Protection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AGT-MPP-008</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governs the protection, handling, transport, sanitization, and disposal of media that stores AGT information. AGT is a cloud-native organization and holds very little physical media; the controls here are correspondingly weighted toward endpoint storage and removable media, which is where the residual exposure actually sits.</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Media in scope</w:t>
      </w:r>
    </w:p>
    <w:tbl>
      <w:tblPr>
        <w:tblStyle w:val="TableGrid"/>
        <w:tblW w:type="auto" w:w="0"/>
        <w:tblLook w:firstColumn="1" w:firstRow="1" w:lastColumn="0" w:lastRow="0" w:noHBand="0" w:noVBand="1" w:val="04A0"/>
      </w:tblPr>
      <w:tblGrid>
        <w:gridCol w:w="3120"/>
        <w:gridCol w:w="3120"/>
        <w:gridCol w:w="3120"/>
      </w:tblGrid>
      <w:tr>
        <w:tc>
          <w:tcPr>
            <w:tcW w:type="dxa" w:w="2448"/>
            <w:shd w:val="clear" w:fill="0F2B4C"/>
          </w:tcPr>
          <w:p>
            <w:r>
              <w:rPr>
                <w:b/>
                <w:color w:val="FFFFFF"/>
                <w:sz w:val="18"/>
              </w:rPr>
              <w:t>Media type</w:t>
            </w:r>
          </w:p>
        </w:tc>
        <w:tc>
          <w:tcPr>
            <w:tcW w:type="dxa" w:w="2304"/>
            <w:shd w:val="clear" w:fill="0F2B4C"/>
          </w:tcPr>
          <w:p>
            <w:r>
              <w:rPr>
                <w:b/>
                <w:color w:val="FFFFFF"/>
                <w:sz w:val="18"/>
              </w:rPr>
              <w:t>Present at AGT</w:t>
            </w:r>
          </w:p>
        </w:tc>
        <w:tc>
          <w:tcPr>
            <w:tcW w:type="dxa" w:w="4176"/>
            <w:shd w:val="clear" w:fill="0F2B4C"/>
          </w:tcPr>
          <w:p>
            <w:r>
              <w:rPr>
                <w:b/>
                <w:color w:val="FFFFFF"/>
                <w:sz w:val="18"/>
              </w:rPr>
              <w:t>Primary control</w:t>
            </w:r>
          </w:p>
        </w:tc>
      </w:tr>
      <w:tr>
        <w:tc>
          <w:tcPr>
            <w:tcW w:type="dxa" w:w="2448"/>
          </w:tcPr>
          <w:p>
            <w:r>
              <w:rPr>
                <w:sz w:val="18"/>
              </w:rPr>
              <w:t>Cloud storage (Azure)</w:t>
            </w:r>
          </w:p>
        </w:tc>
        <w:tc>
          <w:tcPr>
            <w:tcW w:type="dxa" w:w="2304"/>
          </w:tcPr>
          <w:p>
            <w:r>
              <w:rPr>
                <w:sz w:val="18"/>
              </w:rPr>
              <w:t>Yes - primary</w:t>
            </w:r>
          </w:p>
        </w:tc>
        <w:tc>
          <w:tcPr>
            <w:tcW w:type="dxa" w:w="4176"/>
          </w:tcPr>
          <w:p>
            <w:r>
              <w:rPr>
                <w:sz w:val="18"/>
              </w:rPr>
              <w:t>Azure Storage Service Encryption, inherited</w:t>
            </w:r>
          </w:p>
        </w:tc>
      </w:tr>
      <w:tr>
        <w:tc>
          <w:tcPr>
            <w:tcW w:type="dxa" w:w="2448"/>
          </w:tcPr>
          <w:p>
            <w:r>
              <w:rPr>
                <w:sz w:val="18"/>
              </w:rPr>
              <w:t>Endpoint internal drives</w:t>
            </w:r>
          </w:p>
        </w:tc>
        <w:tc>
          <w:tcPr>
            <w:tcW w:type="dxa" w:w="2304"/>
          </w:tcPr>
          <w:p>
            <w:r>
              <w:rPr>
                <w:sz w:val="18"/>
              </w:rPr>
              <w:t>Yes</w:t>
            </w:r>
          </w:p>
        </w:tc>
        <w:tc>
          <w:tcPr>
            <w:tcW w:type="dxa" w:w="4176"/>
          </w:tcPr>
          <w:p>
            <w:r>
              <w:rPr>
                <w:sz w:val="18"/>
              </w:rPr>
              <w:t>Full-disk encryption (BitLocker / FileVault)</w:t>
            </w:r>
          </w:p>
        </w:tc>
      </w:tr>
      <w:tr>
        <w:tc>
          <w:tcPr>
            <w:tcW w:type="dxa" w:w="2448"/>
          </w:tcPr>
          <w:p>
            <w:r>
              <w:rPr>
                <w:sz w:val="18"/>
              </w:rPr>
              <w:t>Removable USB media</w:t>
            </w:r>
          </w:p>
        </w:tc>
        <w:tc>
          <w:tcPr>
            <w:tcW w:type="dxa" w:w="2304"/>
          </w:tcPr>
          <w:p>
            <w:r>
              <w:rPr>
                <w:sz w:val="18"/>
              </w:rPr>
              <w:t>Discouraged; exception only</w:t>
            </w:r>
          </w:p>
        </w:tc>
        <w:tc>
          <w:tcPr>
            <w:tcW w:type="dxa" w:w="4176"/>
          </w:tcPr>
          <w:p>
            <w:r>
              <w:rPr>
                <w:sz w:val="18"/>
              </w:rPr>
              <w:t>Encryption required; approval required</w:t>
            </w:r>
          </w:p>
        </w:tc>
      </w:tr>
      <w:tr>
        <w:tc>
          <w:tcPr>
            <w:tcW w:type="dxa" w:w="2448"/>
          </w:tcPr>
          <w:p>
            <w:r>
              <w:rPr>
                <w:sz w:val="18"/>
              </w:rPr>
              <w:t>Optical media</w:t>
            </w:r>
          </w:p>
        </w:tc>
        <w:tc>
          <w:tcPr>
            <w:tcW w:type="dxa" w:w="2304"/>
          </w:tcPr>
          <w:p>
            <w:r>
              <w:rPr>
                <w:sz w:val="18"/>
              </w:rPr>
              <w:t>No</w:t>
            </w:r>
          </w:p>
        </w:tc>
        <w:tc>
          <w:tcPr>
            <w:tcW w:type="dxa" w:w="4176"/>
          </w:tcPr>
          <w:p>
            <w:r>
              <w:rPr>
                <w:sz w:val="18"/>
              </w:rPr>
              <w:t>Prohibited for Restricted data</w:t>
            </w:r>
          </w:p>
        </w:tc>
      </w:tr>
      <w:tr>
        <w:tc>
          <w:tcPr>
            <w:tcW w:type="dxa" w:w="2448"/>
          </w:tcPr>
          <w:p>
            <w:r>
              <w:rPr>
                <w:sz w:val="18"/>
              </w:rPr>
              <w:t>Backup tape</w:t>
            </w:r>
          </w:p>
        </w:tc>
        <w:tc>
          <w:tcPr>
            <w:tcW w:type="dxa" w:w="2304"/>
          </w:tcPr>
          <w:p>
            <w:r>
              <w:rPr>
                <w:sz w:val="18"/>
              </w:rPr>
              <w:t>No</w:t>
            </w:r>
          </w:p>
        </w:tc>
        <w:tc>
          <w:tcPr>
            <w:tcW w:type="dxa" w:w="4176"/>
          </w:tcPr>
          <w:p>
            <w:r>
              <w:rPr>
                <w:sz w:val="18"/>
              </w:rPr>
              <w:t>Not used; Azure-managed backup only</w:t>
            </w:r>
          </w:p>
        </w:tc>
      </w:tr>
      <w:tr>
        <w:tc>
          <w:tcPr>
            <w:tcW w:type="dxa" w:w="2448"/>
          </w:tcPr>
          <w:p>
            <w:r>
              <w:rPr>
                <w:sz w:val="18"/>
              </w:rPr>
              <w:t>Paper</w:t>
            </w:r>
          </w:p>
        </w:tc>
        <w:tc>
          <w:tcPr>
            <w:tcW w:type="dxa" w:w="2304"/>
          </w:tcPr>
          <w:p>
            <w:r>
              <w:rPr>
                <w:sz w:val="18"/>
              </w:rPr>
              <w:t>Minimal</w:t>
            </w:r>
          </w:p>
        </w:tc>
        <w:tc>
          <w:tcPr>
            <w:tcW w:type="dxa" w:w="4176"/>
          </w:tcPr>
          <w:p>
            <w:r>
              <w:rPr>
                <w:sz w:val="18"/>
              </w:rPr>
              <w:t>Locked storage; cross-cut shred at disposal</w:t>
            </w:r>
          </w:p>
        </w:tc>
      </w:tr>
      <w:tr>
        <w:tc>
          <w:tcPr>
            <w:tcW w:type="dxa" w:w="2448"/>
          </w:tcPr>
          <w:p>
            <w:r>
              <w:rPr>
                <w:sz w:val="18"/>
              </w:rPr>
              <w:t>Mobile devices</w:t>
            </w:r>
          </w:p>
        </w:tc>
        <w:tc>
          <w:tcPr>
            <w:tcW w:type="dxa" w:w="2304"/>
          </w:tcPr>
          <w:p>
            <w:r>
              <w:rPr>
                <w:sz w:val="18"/>
              </w:rPr>
              <w:t>Yes</w:t>
            </w:r>
          </w:p>
        </w:tc>
        <w:tc>
          <w:tcPr>
            <w:tcW w:type="dxa" w:w="4176"/>
          </w:tcPr>
          <w:p>
            <w:r>
              <w:rPr>
                <w:sz w:val="18"/>
              </w:rPr>
              <w:t>AGT-MDBYOD-010</w:t>
            </w:r>
          </w:p>
        </w:tc>
      </w:tr>
    </w:tbl>
    <w:p/>
    <w:p>
      <w:pPr>
        <w:pStyle w:val="Heading1"/>
      </w:pPr>
      <w:r>
        <w:t>4. Removable media controls</w:t>
      </w:r>
    </w:p>
    <w:p>
      <w:pPr>
        <w:pStyle w:val="ListBullet"/>
      </w:pPr>
      <w:r>
        <w:t>Removable media must not hold Restricted data. There is no approved workflow that requires PHI on a USB drive, and the ones that appear to are better solved with a shared, access-controlled location.</w:t>
      </w:r>
    </w:p>
    <w:p>
      <w:pPr>
        <w:pStyle w:val="ListBullet"/>
      </w:pPr>
      <w:r>
        <w:t>Where removable media is used for Confidential data, it must be encrypted with AES-256 and registered with the Security Officer.</w:t>
      </w:r>
    </w:p>
    <w:p>
      <w:pPr>
        <w:pStyle w:val="ListBullet"/>
      </w:pPr>
      <w:r>
        <w:t>Auto-run and auto-mount of removable media are disabled on managed endpoints.</w:t>
      </w:r>
    </w:p>
    <w:p>
      <w:pPr>
        <w:pStyle w:val="ListBullet"/>
      </w:pPr>
      <w:r>
        <w:t>Unknown or found media is never connected to an AGT device. It is surrendered to the Security Officer.</w:t>
      </w:r>
    </w:p>
    <w:p>
      <w:pPr>
        <w:pStyle w:val="Heading1"/>
      </w:pPr>
      <w:r>
        <w:t>5. Encryption of media at rest</w:t>
      </w:r>
    </w:p>
    <w:tbl>
      <w:tblPr>
        <w:tblStyle w:val="TableGrid"/>
        <w:tblW w:type="auto" w:w="0"/>
        <w:tblLook w:firstColumn="1" w:firstRow="1" w:lastColumn="0" w:lastRow="0" w:noHBand="0" w:noVBand="1" w:val="04A0"/>
      </w:tblPr>
      <w:tblGrid>
        <w:gridCol w:w="3120"/>
        <w:gridCol w:w="3120"/>
        <w:gridCol w:w="3120"/>
      </w:tblGrid>
      <w:tr>
        <w:tc>
          <w:tcPr>
            <w:tcW w:type="dxa" w:w="2448"/>
            <w:shd w:val="clear" w:fill="0F2B4C"/>
          </w:tcPr>
          <w:p>
            <w:r>
              <w:rPr>
                <w:b/>
                <w:color w:val="FFFFFF"/>
                <w:sz w:val="18"/>
              </w:rPr>
              <w:t>Location</w:t>
            </w:r>
          </w:p>
        </w:tc>
        <w:tc>
          <w:tcPr>
            <w:tcW w:type="dxa" w:w="3312"/>
            <w:shd w:val="clear" w:fill="0F2B4C"/>
          </w:tcPr>
          <w:p>
            <w:r>
              <w:rPr>
                <w:b/>
                <w:color w:val="FFFFFF"/>
                <w:sz w:val="18"/>
              </w:rPr>
              <w:t>Mechanism</w:t>
            </w:r>
          </w:p>
        </w:tc>
        <w:tc>
          <w:tcPr>
            <w:tcW w:type="dxa" w:w="3168"/>
            <w:shd w:val="clear" w:fill="0F2B4C"/>
          </w:tcPr>
          <w:p>
            <w:r>
              <w:rPr>
                <w:b/>
                <w:color w:val="FFFFFF"/>
                <w:sz w:val="18"/>
              </w:rPr>
              <w:t>Key custody</w:t>
            </w:r>
          </w:p>
        </w:tc>
      </w:tr>
      <w:tr>
        <w:tc>
          <w:tcPr>
            <w:tcW w:type="dxa" w:w="2448"/>
          </w:tcPr>
          <w:p>
            <w:r>
              <w:rPr>
                <w:sz w:val="18"/>
              </w:rPr>
              <w:t>Azure PostgreSQL</w:t>
            </w:r>
          </w:p>
        </w:tc>
        <w:tc>
          <w:tcPr>
            <w:tcW w:type="dxa" w:w="3312"/>
          </w:tcPr>
          <w:p>
            <w:r>
              <w:rPr>
                <w:sz w:val="18"/>
              </w:rPr>
              <w:t>Service-managed encryption at rest</w:t>
            </w:r>
          </w:p>
        </w:tc>
        <w:tc>
          <w:tcPr>
            <w:tcW w:type="dxa" w:w="3168"/>
          </w:tcPr>
          <w:p>
            <w:r>
              <w:rPr>
                <w:sz w:val="18"/>
              </w:rPr>
              <w:t>Microsoft-managed</w:t>
            </w:r>
          </w:p>
        </w:tc>
      </w:tr>
      <w:tr>
        <w:tc>
          <w:tcPr>
            <w:tcW w:type="dxa" w:w="2448"/>
          </w:tcPr>
          <w:p>
            <w:r>
              <w:rPr>
                <w:sz w:val="18"/>
              </w:rPr>
              <w:t>Azure Storage / Blob</w:t>
            </w:r>
          </w:p>
        </w:tc>
        <w:tc>
          <w:tcPr>
            <w:tcW w:type="dxa" w:w="3312"/>
          </w:tcPr>
          <w:p>
            <w:r>
              <w:rPr>
                <w:sz w:val="18"/>
              </w:rPr>
              <w:t>Storage Service Encryption, AES-256</w:t>
            </w:r>
          </w:p>
        </w:tc>
        <w:tc>
          <w:tcPr>
            <w:tcW w:type="dxa" w:w="3168"/>
          </w:tcPr>
          <w:p>
            <w:r>
              <w:rPr>
                <w:sz w:val="18"/>
              </w:rPr>
              <w:t>Microsoft-managed</w:t>
            </w:r>
          </w:p>
        </w:tc>
      </w:tr>
      <w:tr>
        <w:tc>
          <w:tcPr>
            <w:tcW w:type="dxa" w:w="2448"/>
          </w:tcPr>
          <w:p>
            <w:r>
              <w:rPr>
                <w:sz w:val="18"/>
              </w:rPr>
              <w:t>Azure Key Vault</w:t>
            </w:r>
          </w:p>
        </w:tc>
        <w:tc>
          <w:tcPr>
            <w:tcW w:type="dxa" w:w="3312"/>
          </w:tcPr>
          <w:p>
            <w:r>
              <w:rPr>
                <w:sz w:val="18"/>
              </w:rPr>
              <w:t>HSM-backed key protection</w:t>
            </w:r>
          </w:p>
        </w:tc>
        <w:tc>
          <w:tcPr>
            <w:tcW w:type="dxa" w:w="3168"/>
          </w:tcPr>
          <w:p>
            <w:r>
              <w:rPr>
                <w:sz w:val="18"/>
              </w:rPr>
              <w:t>Microsoft-managed, AGT-controlled access</w:t>
            </w:r>
          </w:p>
        </w:tc>
      </w:tr>
      <w:tr>
        <w:tc>
          <w:tcPr>
            <w:tcW w:type="dxa" w:w="2448"/>
          </w:tcPr>
          <w:p>
            <w:r>
              <w:rPr>
                <w:sz w:val="18"/>
              </w:rPr>
              <w:t>Endpoint drives</w:t>
            </w:r>
          </w:p>
        </w:tc>
        <w:tc>
          <w:tcPr>
            <w:tcW w:type="dxa" w:w="3312"/>
          </w:tcPr>
          <w:p>
            <w:r>
              <w:rPr>
                <w:sz w:val="18"/>
              </w:rPr>
              <w:t>BitLocker (Windows) / FileVault (macOS)</w:t>
            </w:r>
          </w:p>
        </w:tc>
        <w:tc>
          <w:tcPr>
            <w:tcW w:type="dxa" w:w="3168"/>
          </w:tcPr>
          <w:p>
            <w:r>
              <w:rPr>
                <w:sz w:val="18"/>
              </w:rPr>
              <w:t>Escrowed to Entra ID</w:t>
            </w:r>
          </w:p>
        </w:tc>
      </w:tr>
      <w:tr>
        <w:tc>
          <w:tcPr>
            <w:tcW w:type="dxa" w:w="2448"/>
          </w:tcPr>
          <w:p>
            <w:r>
              <w:rPr>
                <w:sz w:val="18"/>
              </w:rPr>
              <w:t>Removable media (exception)</w:t>
            </w:r>
          </w:p>
        </w:tc>
        <w:tc>
          <w:tcPr>
            <w:tcW w:type="dxa" w:w="3312"/>
          </w:tcPr>
          <w:p>
            <w:r>
              <w:rPr>
                <w:sz w:val="18"/>
              </w:rPr>
              <w:t>AES-256 container</w:t>
            </w:r>
          </w:p>
        </w:tc>
        <w:tc>
          <w:tcPr>
            <w:tcW w:type="dxa" w:w="3168"/>
          </w:tcPr>
          <w:p>
            <w:r>
              <w:rPr>
                <w:sz w:val="18"/>
              </w:rPr>
              <w:t>AGT Security Officer</w:t>
            </w:r>
          </w:p>
        </w:tc>
      </w:tr>
    </w:tbl>
    <w:p/>
    <w:p>
      <w:pPr>
        <w:pStyle w:val="Heading1"/>
      </w:pPr>
      <w:r>
        <w:t>6. Transport</w:t>
      </w:r>
    </w:p>
    <w:p>
      <w:pPr>
        <w:pStyle w:val="ListBullet"/>
      </w:pPr>
      <w:r>
        <w:t>Restricted data is not transported on physical media. Transfer occurs over TLS through the platform or an approved managed file transfer.</w:t>
      </w:r>
    </w:p>
    <w:p>
      <w:pPr>
        <w:pStyle w:val="ListBullet"/>
      </w:pPr>
      <w:r>
        <w:t>Where physical transport is unavoidable and approved, media is encrypted, hand-carried or sent by tracked courier, and the transfer is logged with sender, recipient, and confirmation of receipt.</w:t>
      </w:r>
    </w:p>
    <w:p>
      <w:pPr>
        <w:pStyle w:val="Heading1"/>
      </w:pPr>
      <w:r>
        <w:t>7. Sanitization and disposal</w:t>
      </w:r>
    </w:p>
    <w:p>
      <w:r>
        <w:t>Sanitization follows NIST SP 800-88 Rev. 1.</w:t>
      </w:r>
    </w:p>
    <w:tbl>
      <w:tblPr>
        <w:tblStyle w:val="TableGrid"/>
        <w:tblW w:type="auto" w:w="0"/>
        <w:tblLook w:firstColumn="1" w:firstRow="1" w:lastColumn="0" w:lastRow="0" w:noHBand="0" w:noVBand="1" w:val="04A0"/>
      </w:tblPr>
      <w:tblGrid>
        <w:gridCol w:w="3120"/>
        <w:gridCol w:w="3120"/>
        <w:gridCol w:w="3120"/>
      </w:tblGrid>
      <w:tr>
        <w:tc>
          <w:tcPr>
            <w:tcW w:type="dxa" w:w="2448"/>
            <w:shd w:val="clear" w:fill="0F2B4C"/>
          </w:tcPr>
          <w:p>
            <w:r>
              <w:rPr>
                <w:b/>
                <w:color w:val="FFFFFF"/>
                <w:sz w:val="18"/>
              </w:rPr>
              <w:t>Medium</w:t>
            </w:r>
          </w:p>
        </w:tc>
        <w:tc>
          <w:tcPr>
            <w:tcW w:type="dxa" w:w="3600"/>
            <w:shd w:val="clear" w:fill="0F2B4C"/>
          </w:tcPr>
          <w:p>
            <w:r>
              <w:rPr>
                <w:b/>
                <w:color w:val="FFFFFF"/>
                <w:sz w:val="18"/>
              </w:rPr>
              <w:t>Method</w:t>
            </w:r>
          </w:p>
        </w:tc>
        <w:tc>
          <w:tcPr>
            <w:tcW w:type="dxa" w:w="2880"/>
            <w:shd w:val="clear" w:fill="0F2B4C"/>
          </w:tcPr>
          <w:p>
            <w:r>
              <w:rPr>
                <w:b/>
                <w:color w:val="FFFFFF"/>
                <w:sz w:val="18"/>
              </w:rPr>
              <w:t>Verification</w:t>
            </w:r>
          </w:p>
        </w:tc>
      </w:tr>
      <w:tr>
        <w:tc>
          <w:tcPr>
            <w:tcW w:type="dxa" w:w="2448"/>
          </w:tcPr>
          <w:p>
            <w:r>
              <w:rPr>
                <w:sz w:val="18"/>
              </w:rPr>
              <w:t>Encrypted SSD or drive</w:t>
            </w:r>
          </w:p>
        </w:tc>
        <w:tc>
          <w:tcPr>
            <w:tcW w:type="dxa" w:w="3600"/>
          </w:tcPr>
          <w:p>
            <w:r>
              <w:rPr>
                <w:sz w:val="18"/>
              </w:rPr>
              <w:t>Cryptographic erase (destroy the key)</w:t>
            </w:r>
          </w:p>
        </w:tc>
        <w:tc>
          <w:tcPr>
            <w:tcW w:type="dxa" w:w="2880"/>
          </w:tcPr>
          <w:p>
            <w:r>
              <w:rPr>
                <w:sz w:val="18"/>
              </w:rPr>
              <w:t>Key destruction recorded</w:t>
            </w:r>
          </w:p>
        </w:tc>
      </w:tr>
      <w:tr>
        <w:tc>
          <w:tcPr>
            <w:tcW w:type="dxa" w:w="2448"/>
          </w:tcPr>
          <w:p>
            <w:r>
              <w:rPr>
                <w:sz w:val="18"/>
              </w:rPr>
              <w:t>Unencrypted drive</w:t>
            </w:r>
          </w:p>
        </w:tc>
        <w:tc>
          <w:tcPr>
            <w:tcW w:type="dxa" w:w="3600"/>
          </w:tcPr>
          <w:p>
            <w:r>
              <w:rPr>
                <w:sz w:val="18"/>
              </w:rPr>
              <w:t>Purge (ATA secure erase or degauss)</w:t>
            </w:r>
          </w:p>
        </w:tc>
        <w:tc>
          <w:tcPr>
            <w:tcW w:type="dxa" w:w="2880"/>
          </w:tcPr>
          <w:p>
            <w:r>
              <w:rPr>
                <w:sz w:val="18"/>
              </w:rPr>
              <w:t>Tool output retained</w:t>
            </w:r>
          </w:p>
        </w:tc>
      </w:tr>
      <w:tr>
        <w:tc>
          <w:tcPr>
            <w:tcW w:type="dxa" w:w="2448"/>
          </w:tcPr>
          <w:p>
            <w:r>
              <w:rPr>
                <w:sz w:val="18"/>
              </w:rPr>
              <w:t>Failed or unreadable drive</w:t>
            </w:r>
          </w:p>
        </w:tc>
        <w:tc>
          <w:tcPr>
            <w:tcW w:type="dxa" w:w="3600"/>
          </w:tcPr>
          <w:p>
            <w:r>
              <w:rPr>
                <w:sz w:val="18"/>
              </w:rPr>
              <w:t>Physical destruction (shred or disintegrate)</w:t>
            </w:r>
          </w:p>
        </w:tc>
        <w:tc>
          <w:tcPr>
            <w:tcW w:type="dxa" w:w="2880"/>
          </w:tcPr>
          <w:p>
            <w:r>
              <w:rPr>
                <w:sz w:val="18"/>
              </w:rPr>
              <w:t>Certificate of destruction</w:t>
            </w:r>
          </w:p>
        </w:tc>
      </w:tr>
      <w:tr>
        <w:tc>
          <w:tcPr>
            <w:tcW w:type="dxa" w:w="2448"/>
          </w:tcPr>
          <w:p>
            <w:r>
              <w:rPr>
                <w:sz w:val="18"/>
              </w:rPr>
              <w:t>Cloud storage</w:t>
            </w:r>
          </w:p>
        </w:tc>
        <w:tc>
          <w:tcPr>
            <w:tcW w:type="dxa" w:w="3600"/>
          </w:tcPr>
          <w:p>
            <w:r>
              <w:rPr>
                <w:sz w:val="18"/>
              </w:rPr>
              <w:t>API deletion; underlying sanitization inherited from Azure</w:t>
            </w:r>
          </w:p>
        </w:tc>
        <w:tc>
          <w:tcPr>
            <w:tcW w:type="dxa" w:w="2880"/>
          </w:tcPr>
          <w:p>
            <w:r>
              <w:rPr>
                <w:sz w:val="18"/>
              </w:rPr>
              <w:t>Deletion log</w:t>
            </w:r>
          </w:p>
        </w:tc>
      </w:tr>
      <w:tr>
        <w:tc>
          <w:tcPr>
            <w:tcW w:type="dxa" w:w="2448"/>
          </w:tcPr>
          <w:p>
            <w:r>
              <w:rPr>
                <w:sz w:val="18"/>
              </w:rPr>
              <w:t>Paper</w:t>
            </w:r>
          </w:p>
        </w:tc>
        <w:tc>
          <w:tcPr>
            <w:tcW w:type="dxa" w:w="3600"/>
          </w:tcPr>
          <w:p>
            <w:r>
              <w:rPr>
                <w:sz w:val="18"/>
              </w:rPr>
              <w:t>Cross-cut shred</w:t>
            </w:r>
          </w:p>
        </w:tc>
        <w:tc>
          <w:tcPr>
            <w:tcW w:type="dxa" w:w="2880"/>
          </w:tcPr>
          <w:p>
            <w:r>
              <w:rPr>
                <w:sz w:val="18"/>
              </w:rPr>
              <w:t>Witnessed for Restricted</w:t>
            </w:r>
          </w:p>
        </w:tc>
      </w:tr>
    </w:tbl>
    <w:p/>
    <w:p>
      <w:r>
        <w:t>Cryptographic erase is the preferred method for encrypted media because it is fast and verifiable, but it is only valid if the medium was encrypted before any Restricted data was written to it. Encrypting a drive that already holds unencrypted PHI does not make prior sectors unrecoverable.</w:t>
      </w:r>
    </w:p>
    <w:p>
      <w:pPr>
        <w:pStyle w:val="Heading1"/>
      </w:pPr>
      <w:r>
        <w:t>8. Media inventory</w:t>
      </w:r>
    </w:p>
    <w:p>
      <w:r>
        <w:t>Removable media approved for AGT use is inventoried, with owner, encryption status, classification of data held, and disposal date. The inventory is reviewed annually and reconciled with the asset register in AGT-AMP-011.</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Security Officer</w:t>
            </w:r>
          </w:p>
        </w:tc>
        <w:tc>
          <w:tcPr>
            <w:tcW w:type="dxa" w:w="6336"/>
          </w:tcPr>
          <w:p>
            <w:r>
              <w:rPr>
                <w:sz w:val="18"/>
              </w:rPr>
              <w:t>Approves removable media exceptions; maintains inventory; records disposal.</w:t>
            </w:r>
          </w:p>
        </w:tc>
      </w:tr>
      <w:tr>
        <w:tc>
          <w:tcPr>
            <w:tcW w:type="dxa" w:w="2592"/>
          </w:tcPr>
          <w:p>
            <w:r>
              <w:rPr>
                <w:sz w:val="18"/>
              </w:rPr>
              <w:t>All personnel</w:t>
            </w:r>
          </w:p>
        </w:tc>
        <w:tc>
          <w:tcPr>
            <w:tcW w:type="dxa" w:w="6336"/>
          </w:tcPr>
          <w:p>
            <w:r>
              <w:rPr>
                <w:sz w:val="18"/>
              </w:rPr>
              <w:t>Do not place Restricted data on removable media; surrender found media.</w:t>
            </w:r>
          </w:p>
        </w:tc>
      </w:tr>
      <w:tr>
        <w:tc>
          <w:tcPr>
            <w:tcW w:type="dxa" w:w="2592"/>
          </w:tcPr>
          <w:p>
            <w:r>
              <w:rPr>
                <w:sz w:val="18"/>
              </w:rPr>
              <w:t>Engineering</w:t>
            </w:r>
          </w:p>
        </w:tc>
        <w:tc>
          <w:tcPr>
            <w:tcW w:type="dxa" w:w="6336"/>
          </w:tcPr>
          <w:p>
            <w:r>
              <w:rPr>
                <w:sz w:val="18"/>
              </w:rPr>
              <w:t>Maintain endpoint encryption enforcement and auto-run restrictions.</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MP-2, MP-4, MP-5, MP-6, MP-7</w:t>
            </w:r>
          </w:p>
        </w:tc>
        <w:tc>
          <w:tcPr>
            <w:tcW w:type="dxa" w:w="4320"/>
          </w:tcPr>
          <w:p>
            <w:r>
              <w:rPr>
                <w:sz w:val="18"/>
              </w:rPr>
              <w:t>Media access, storage, transport, sanitization, use.</w:t>
            </w:r>
          </w:p>
        </w:tc>
        <w:tc>
          <w:tcPr>
            <w:tcW w:type="dxa" w:w="1152"/>
          </w:tcPr>
          <w:p>
            <w:r>
              <w:rPr>
                <w:sz w:val="18"/>
              </w:rPr>
              <w:t>Met</w:t>
            </w:r>
          </w:p>
        </w:tc>
      </w:tr>
      <w:tr>
        <w:tc>
          <w:tcPr>
            <w:tcW w:type="dxa" w:w="1584"/>
          </w:tcPr>
          <w:p>
            <w:r>
              <w:rPr>
                <w:sz w:val="18"/>
              </w:rPr>
              <w:t>NIST 800-88</w:t>
            </w:r>
          </w:p>
        </w:tc>
        <w:tc>
          <w:tcPr>
            <w:tcW w:type="dxa" w:w="2160"/>
          </w:tcPr>
          <w:p>
            <w:r>
              <w:rPr>
                <w:sz w:val="18"/>
              </w:rPr>
              <w:t>Rev. 1</w:t>
            </w:r>
          </w:p>
        </w:tc>
        <w:tc>
          <w:tcPr>
            <w:tcW w:type="dxa" w:w="4320"/>
          </w:tcPr>
          <w:p>
            <w:r>
              <w:rPr>
                <w:sz w:val="18"/>
              </w:rPr>
              <w:t>Sanitization methods adopted verbatim.</w:t>
            </w:r>
          </w:p>
        </w:tc>
        <w:tc>
          <w:tcPr>
            <w:tcW w:type="dxa" w:w="1152"/>
          </w:tcPr>
          <w:p>
            <w:r>
              <w:rPr>
                <w:sz w:val="18"/>
              </w:rPr>
              <w:t>Met</w:t>
            </w:r>
          </w:p>
        </w:tc>
      </w:tr>
      <w:tr>
        <w:tc>
          <w:tcPr>
            <w:tcW w:type="dxa" w:w="1584"/>
          </w:tcPr>
          <w:p>
            <w:r>
              <w:rPr>
                <w:sz w:val="18"/>
              </w:rPr>
              <w:t>HIPAA</w:t>
            </w:r>
          </w:p>
        </w:tc>
        <w:tc>
          <w:tcPr>
            <w:tcW w:type="dxa" w:w="2160"/>
          </w:tcPr>
          <w:p>
            <w:r>
              <w:rPr>
                <w:sz w:val="18"/>
              </w:rPr>
              <w:t>164.310(d)(1)</w:t>
            </w:r>
          </w:p>
        </w:tc>
        <w:tc>
          <w:tcPr>
            <w:tcW w:type="dxa" w:w="4320"/>
          </w:tcPr>
          <w:p>
            <w:r>
              <w:rPr>
                <w:sz w:val="18"/>
              </w:rPr>
              <w:t>Device and media controls.</w:t>
            </w:r>
          </w:p>
        </w:tc>
        <w:tc>
          <w:tcPr>
            <w:tcW w:type="dxa" w:w="1152"/>
          </w:tcPr>
          <w:p>
            <w:r>
              <w:rPr>
                <w:sz w:val="18"/>
              </w:rPr>
              <w:t>Met</w:t>
            </w:r>
          </w:p>
        </w:tc>
      </w:tr>
      <w:tr>
        <w:tc>
          <w:tcPr>
            <w:tcW w:type="dxa" w:w="1584"/>
          </w:tcPr>
          <w:p>
            <w:r>
              <w:rPr>
                <w:sz w:val="18"/>
              </w:rPr>
              <w:t>HIPAA</w:t>
            </w:r>
          </w:p>
        </w:tc>
        <w:tc>
          <w:tcPr>
            <w:tcW w:type="dxa" w:w="2160"/>
          </w:tcPr>
          <w:p>
            <w:r>
              <w:rPr>
                <w:sz w:val="18"/>
              </w:rPr>
              <w:t>164.310(d)(2)(i)-(ii)</w:t>
            </w:r>
          </w:p>
        </w:tc>
        <w:tc>
          <w:tcPr>
            <w:tcW w:type="dxa" w:w="4320"/>
          </w:tcPr>
          <w:p>
            <w:r>
              <w:rPr>
                <w:sz w:val="18"/>
              </w:rPr>
              <w:t>Disposal and media re-use.</w:t>
            </w:r>
          </w:p>
        </w:tc>
        <w:tc>
          <w:tcPr>
            <w:tcW w:type="dxa" w:w="1152"/>
          </w:tcPr>
          <w:p>
            <w:r>
              <w:rPr>
                <w:sz w:val="18"/>
              </w:rPr>
              <w:t>Met</w:t>
            </w:r>
          </w:p>
        </w:tc>
      </w:tr>
      <w:tr>
        <w:tc>
          <w:tcPr>
            <w:tcW w:type="dxa" w:w="1584"/>
          </w:tcPr>
          <w:p>
            <w:r>
              <w:rPr>
                <w:sz w:val="18"/>
              </w:rPr>
              <w:t>SOC 2</w:t>
            </w:r>
          </w:p>
        </w:tc>
        <w:tc>
          <w:tcPr>
            <w:tcW w:type="dxa" w:w="2160"/>
          </w:tcPr>
          <w:p>
            <w:r>
              <w:rPr>
                <w:sz w:val="18"/>
              </w:rPr>
              <w:t>CC6.5</w:t>
            </w:r>
          </w:p>
        </w:tc>
        <w:tc>
          <w:tcPr>
            <w:tcW w:type="dxa" w:w="4320"/>
          </w:tcPr>
          <w:p>
            <w:r>
              <w:rPr>
                <w:sz w:val="18"/>
              </w:rPr>
              <w:t>Disposal of physical and logical media.</w:t>
            </w:r>
          </w:p>
        </w:tc>
        <w:tc>
          <w:tcPr>
            <w:tcW w:type="dxa" w:w="1152"/>
          </w:tcPr>
          <w:p>
            <w:r>
              <w:rPr>
                <w:sz w:val="18"/>
              </w:rPr>
              <w:t>Met</w:t>
            </w:r>
          </w:p>
        </w:tc>
      </w:tr>
      <w:tr>
        <w:tc>
          <w:tcPr>
            <w:tcW w:type="dxa" w:w="1584"/>
          </w:tcPr>
          <w:p>
            <w:r>
              <w:rPr>
                <w:sz w:val="18"/>
              </w:rPr>
              <w:t>ISO 27001</w:t>
            </w:r>
          </w:p>
        </w:tc>
        <w:tc>
          <w:tcPr>
            <w:tcW w:type="dxa" w:w="2160"/>
          </w:tcPr>
          <w:p>
            <w:r>
              <w:rPr>
                <w:sz w:val="18"/>
              </w:rPr>
              <w:t>A.7.10, A.7.14</w:t>
            </w:r>
          </w:p>
        </w:tc>
        <w:tc>
          <w:tcPr>
            <w:tcW w:type="dxa" w:w="4320"/>
          </w:tcPr>
          <w:p>
            <w:r>
              <w:rPr>
                <w:sz w:val="18"/>
              </w:rPr>
              <w:t>Storage media; secure disposal or re-use of equipment.</w:t>
            </w:r>
          </w:p>
        </w:tc>
        <w:tc>
          <w:tcPr>
            <w:tcW w:type="dxa" w:w="1152"/>
          </w:tcPr>
          <w:p>
            <w:r>
              <w:rPr>
                <w:sz w:val="18"/>
              </w:rPr>
              <w:t>Met</w:t>
            </w:r>
          </w:p>
        </w:tc>
      </w:tr>
      <w:tr>
        <w:tc>
          <w:tcPr>
            <w:tcW w:type="dxa" w:w="1584"/>
          </w:tcPr>
          <w:p>
            <w:r>
              <w:rPr>
                <w:sz w:val="18"/>
              </w:rPr>
              <w:t>FedRAMP</w:t>
            </w:r>
          </w:p>
        </w:tc>
        <w:tc>
          <w:tcPr>
            <w:tcW w:type="dxa" w:w="2160"/>
          </w:tcPr>
          <w:p>
            <w:r>
              <w:rPr>
                <w:sz w:val="18"/>
              </w:rPr>
              <w:t>MP-6(1)</w:t>
            </w:r>
          </w:p>
        </w:tc>
        <w:tc>
          <w:tcPr>
            <w:tcW w:type="dxa" w:w="4320"/>
          </w:tcPr>
          <w:p>
            <w:r>
              <w:rPr>
                <w:sz w:val="18"/>
              </w:rPr>
              <w:t>Review and verification of sanitization actions.</w:t>
            </w:r>
          </w:p>
        </w:tc>
        <w:tc>
          <w:tcPr>
            <w:tcW w:type="dxa" w:w="1152"/>
          </w:tcPr>
          <w:p>
            <w:r>
              <w:rPr>
                <w:sz w:val="18"/>
              </w:rPr>
              <w:t>Met</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AGT-DCP-006</w:t>
            </w:r>
          </w:p>
        </w:tc>
        <w:tc>
          <w:tcPr>
            <w:tcW w:type="dxa" w:w="4176"/>
          </w:tcPr>
          <w:p>
            <w:r>
              <w:rPr>
                <w:sz w:val="18"/>
              </w:rPr>
              <w:t>Data Classification Policy</w:t>
            </w:r>
          </w:p>
        </w:tc>
        <w:tc>
          <w:tcPr>
            <w:tcW w:type="dxa" w:w="3168"/>
          </w:tcPr>
          <w:p>
            <w:r>
              <w:rPr>
                <w:sz w:val="18"/>
              </w:rPr>
              <w:t>Determines handling by class</w:t>
            </w:r>
          </w:p>
        </w:tc>
      </w:tr>
      <w:tr>
        <w:tc>
          <w:tcPr>
            <w:tcW w:type="dxa" w:w="1872"/>
          </w:tcPr>
          <w:p>
            <w:r>
              <w:rPr>
                <w:sz w:val="18"/>
              </w:rPr>
              <w:t>AGT-DRP-007</w:t>
            </w:r>
          </w:p>
        </w:tc>
        <w:tc>
          <w:tcPr>
            <w:tcW w:type="dxa" w:w="4176"/>
          </w:tcPr>
          <w:p>
            <w:r>
              <w:rPr>
                <w:sz w:val="18"/>
              </w:rPr>
              <w:t>Data Retention Policy</w:t>
            </w:r>
          </w:p>
        </w:tc>
        <w:tc>
          <w:tcPr>
            <w:tcW w:type="dxa" w:w="3168"/>
          </w:tcPr>
          <w:p>
            <w:r>
              <w:rPr>
                <w:sz w:val="18"/>
              </w:rPr>
              <w:t>Determines when disposal occurs</w:t>
            </w:r>
          </w:p>
        </w:tc>
      </w:tr>
      <w:tr>
        <w:tc>
          <w:tcPr>
            <w:tcW w:type="dxa" w:w="1872"/>
          </w:tcPr>
          <w:p>
            <w:r>
              <w:rPr>
                <w:sz w:val="18"/>
              </w:rPr>
              <w:t>AGT-AMP-011</w:t>
            </w:r>
          </w:p>
        </w:tc>
        <w:tc>
          <w:tcPr>
            <w:tcW w:type="dxa" w:w="4176"/>
          </w:tcPr>
          <w:p>
            <w:r>
              <w:rPr>
                <w:sz w:val="18"/>
              </w:rPr>
              <w:t>Asset Management Policy</w:t>
            </w:r>
          </w:p>
        </w:tc>
        <w:tc>
          <w:tcPr>
            <w:tcW w:type="dxa" w:w="3168"/>
          </w:tcPr>
          <w:p>
            <w:r>
              <w:rPr>
                <w:sz w:val="18"/>
              </w:rPr>
              <w:t>Media inventory reconciliation</w:t>
            </w:r>
          </w:p>
        </w:tc>
      </w:tr>
      <w:tr>
        <w:tc>
          <w:tcPr>
            <w:tcW w:type="dxa" w:w="1872"/>
          </w:tcPr>
          <w:p>
            <w:r>
              <w:rPr>
                <w:sz w:val="18"/>
              </w:rPr>
              <w:t>AGT-MDBYOD-010</w:t>
            </w:r>
          </w:p>
        </w:tc>
        <w:tc>
          <w:tcPr>
            <w:tcW w:type="dxa" w:w="4176"/>
          </w:tcPr>
          <w:p>
            <w:r>
              <w:rPr>
                <w:sz w:val="18"/>
              </w:rPr>
              <w:t>Mobile Device and BYOD Policy</w:t>
            </w:r>
          </w:p>
        </w:tc>
        <w:tc>
          <w:tcPr>
            <w:tcW w:type="dxa" w:w="3168"/>
          </w:tcPr>
          <w:p>
            <w:r>
              <w:rPr>
                <w:sz w:val="18"/>
              </w:rPr>
              <w:t>Mobile media controls</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AGT-MPP-008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