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Privacy Policy Framework</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AGT-PPF-014</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framework establishes how AGT governs personal information across its lifecycle, satisfies the HIPAA Privacy Rule where AGT acts as a business associate, and responds to the rights of individuals. Privacy and security overlap but are not the same discipline: security asks whether access was authorized, privacy asks whether it should have been permitted at all.</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2"/>
      </w:pPr>
      <w:r>
        <w:t>Definitions</w:t>
      </w:r>
    </w:p>
    <w:tbl>
      <w:tblPr>
        <w:tblStyle w:val="TableGrid"/>
        <w:tblW w:type="auto" w:w="0"/>
        <w:tblLook w:firstColumn="1" w:firstRow="1" w:lastColumn="0" w:lastRow="0" w:noHBand="0" w:noVBand="1" w:val="04A0"/>
      </w:tblPr>
      <w:tblGrid>
        <w:gridCol w:w="4680"/>
        <w:gridCol w:w="4680"/>
      </w:tblGrid>
      <w:tr>
        <w:tc>
          <w:tcPr>
            <w:tcW w:type="dxa" w:w="2160"/>
            <w:shd w:val="clear" w:fill="0F2B4C"/>
          </w:tcPr>
          <w:p>
            <w:r>
              <w:rPr>
                <w:b/>
                <w:color w:val="FFFFFF"/>
                <w:sz w:val="18"/>
              </w:rPr>
              <w:t>Term</w:t>
            </w:r>
          </w:p>
        </w:tc>
        <w:tc>
          <w:tcPr>
            <w:tcW w:type="dxa" w:w="6768"/>
            <w:shd w:val="clear" w:fill="0F2B4C"/>
          </w:tcPr>
          <w:p>
            <w:r>
              <w:rPr>
                <w:b/>
                <w:color w:val="FFFFFF"/>
                <w:sz w:val="18"/>
              </w:rPr>
              <w:t>Definition</w:t>
            </w:r>
          </w:p>
        </w:tc>
      </w:tr>
      <w:tr>
        <w:tc>
          <w:tcPr>
            <w:tcW w:type="dxa" w:w="2160"/>
          </w:tcPr>
          <w:p>
            <w:r>
              <w:rPr>
                <w:sz w:val="18"/>
              </w:rPr>
              <w:t>Individual</w:t>
            </w:r>
          </w:p>
        </w:tc>
        <w:tc>
          <w:tcPr>
            <w:tcW w:type="dxa" w:w="6768"/>
          </w:tcPr>
          <w:p>
            <w:r>
              <w:rPr>
                <w:sz w:val="18"/>
              </w:rPr>
              <w:t>The natural person to whom personal information relates.</w:t>
            </w:r>
          </w:p>
        </w:tc>
      </w:tr>
      <w:tr>
        <w:tc>
          <w:tcPr>
            <w:tcW w:type="dxa" w:w="2160"/>
          </w:tcPr>
          <w:p>
            <w:r>
              <w:rPr>
                <w:sz w:val="18"/>
              </w:rPr>
              <w:t>Covered entity</w:t>
            </w:r>
          </w:p>
        </w:tc>
        <w:tc>
          <w:tcPr>
            <w:tcW w:type="dxa" w:w="6768"/>
          </w:tcPr>
          <w:p>
            <w:r>
              <w:rPr>
                <w:sz w:val="18"/>
              </w:rPr>
              <w:t>A health plan, clearinghouse, or provider under HIPAA.</w:t>
            </w:r>
          </w:p>
        </w:tc>
      </w:tr>
      <w:tr>
        <w:tc>
          <w:tcPr>
            <w:tcW w:type="dxa" w:w="2160"/>
          </w:tcPr>
          <w:p>
            <w:r>
              <w:rPr>
                <w:sz w:val="18"/>
              </w:rPr>
              <w:t>Business associate</w:t>
            </w:r>
          </w:p>
        </w:tc>
        <w:tc>
          <w:tcPr>
            <w:tcW w:type="dxa" w:w="6768"/>
          </w:tcPr>
          <w:p>
            <w:r>
              <w:rPr>
                <w:sz w:val="18"/>
              </w:rPr>
              <w:t>An entity that handles PHI on behalf of a covered entity.</w:t>
            </w:r>
          </w:p>
        </w:tc>
      </w:tr>
      <w:tr>
        <w:tc>
          <w:tcPr>
            <w:tcW w:type="dxa" w:w="2160"/>
          </w:tcPr>
          <w:p>
            <w:r>
              <w:rPr>
                <w:sz w:val="18"/>
              </w:rPr>
              <w:t>PIA</w:t>
            </w:r>
          </w:p>
        </w:tc>
        <w:tc>
          <w:tcPr>
            <w:tcW w:type="dxa" w:w="6768"/>
          </w:tcPr>
          <w:p>
            <w:r>
              <w:rPr>
                <w:sz w:val="18"/>
              </w:rPr>
              <w:t>Privacy Impact Assessment.</w:t>
            </w:r>
          </w:p>
        </w:tc>
      </w:tr>
      <w:tr>
        <w:tc>
          <w:tcPr>
            <w:tcW w:type="dxa" w:w="2160"/>
          </w:tcPr>
          <w:p>
            <w:r>
              <w:rPr>
                <w:sz w:val="18"/>
              </w:rPr>
              <w:t>Minimum necessary</w:t>
            </w:r>
          </w:p>
        </w:tc>
        <w:tc>
          <w:tcPr>
            <w:tcW w:type="dxa" w:w="6768"/>
          </w:tcPr>
          <w:p>
            <w:r>
              <w:rPr>
                <w:sz w:val="18"/>
              </w:rPr>
              <w:t>The HIPAA principle limiting use to what the purpose requires.</w:t>
            </w:r>
          </w:p>
        </w:tc>
      </w:tr>
    </w:tbl>
    <w:p/>
    <w:p>
      <w:pPr>
        <w:pStyle w:val="Heading1"/>
      </w:pPr>
      <w:r>
        <w:t>3. AGT's role</w:t>
      </w:r>
    </w:p>
    <w:p>
      <w:r>
        <w:t>For the DocuAction TEFCA ARC platform, AGT generally acts as a business associate to covered-entity customers. This determines which obligations apply directly and which flow through the Business Associate Agreement. AGT does not make treatment, payment, or operations determinations on its own behalf with customer PHI.</w:t>
      </w:r>
    </w:p>
    <w:p>
      <w:pPr>
        <w:pStyle w:val="Heading1"/>
      </w:pPr>
      <w:r>
        <w:t>4. Privacy principles</w:t>
      </w:r>
    </w:p>
    <w:p>
      <w:pPr>
        <w:pStyle w:val="ListNumber"/>
      </w:pPr>
      <w:r>
        <w:t>Lawfulness and transparency - processing has a documented basis and is disclosed.</w:t>
      </w:r>
    </w:p>
    <w:p>
      <w:pPr>
        <w:pStyle w:val="ListNumber"/>
      </w:pPr>
      <w:r>
        <w:t>Purpose limitation - data collected for one purpose is not repurposed silently.</w:t>
      </w:r>
    </w:p>
    <w:p>
      <w:pPr>
        <w:pStyle w:val="ListNumber"/>
      </w:pPr>
      <w:r>
        <w:t>Data minimization - collect and transmit the least data that accomplishes the task.</w:t>
      </w:r>
    </w:p>
    <w:p>
      <w:pPr>
        <w:pStyle w:val="ListNumber"/>
      </w:pPr>
      <w:r>
        <w:t>Accuracy - individuals may correct inaccurate records.</w:t>
      </w:r>
    </w:p>
    <w:p>
      <w:pPr>
        <w:pStyle w:val="ListNumber"/>
      </w:pPr>
      <w:r>
        <w:t>Storage limitation - retained only as long as AGT-DRP-007 requires.</w:t>
      </w:r>
    </w:p>
    <w:p>
      <w:pPr>
        <w:pStyle w:val="ListNumber"/>
      </w:pPr>
      <w:r>
        <w:t>Integrity and confidentiality - protected per the security policy set.</w:t>
      </w:r>
    </w:p>
    <w:p>
      <w:pPr>
        <w:pStyle w:val="ListNumber"/>
      </w:pPr>
      <w:r>
        <w:t>Accountability - AGT can demonstrate compliance, not merely assert it.</w:t>
      </w:r>
    </w:p>
    <w:p>
      <w:pPr>
        <w:pStyle w:val="Heading1"/>
      </w:pPr>
      <w:r>
        <w:t>5. Individual rights</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fill="0F2B4C"/>
          </w:tcPr>
          <w:p>
            <w:r>
              <w:rPr>
                <w:b/>
                <w:color w:val="FFFFFF"/>
                <w:sz w:val="18"/>
              </w:rPr>
              <w:t>Right</w:t>
            </w:r>
          </w:p>
        </w:tc>
        <w:tc>
          <w:tcPr>
            <w:tcW w:type="dxa" w:w="2016"/>
            <w:shd w:val="clear" w:fill="0F2B4C"/>
          </w:tcPr>
          <w:p>
            <w:r>
              <w:rPr>
                <w:b/>
                <w:color w:val="FFFFFF"/>
                <w:sz w:val="18"/>
              </w:rPr>
              <w:t>Basis</w:t>
            </w:r>
          </w:p>
        </w:tc>
        <w:tc>
          <w:tcPr>
            <w:tcW w:type="dxa" w:w="3168"/>
            <w:shd w:val="clear" w:fill="0F2B4C"/>
          </w:tcPr>
          <w:p>
            <w:r>
              <w:rPr>
                <w:b/>
                <w:color w:val="FFFFFF"/>
                <w:sz w:val="18"/>
              </w:rPr>
              <w:t>AGT response</w:t>
            </w:r>
          </w:p>
        </w:tc>
        <w:tc>
          <w:tcPr>
            <w:tcW w:type="dxa" w:w="1872"/>
            <w:shd w:val="clear" w:fill="0F2B4C"/>
          </w:tcPr>
          <w:p>
            <w:r>
              <w:rPr>
                <w:b/>
                <w:color w:val="FFFFFF"/>
                <w:sz w:val="18"/>
              </w:rPr>
              <w:t>Timeline</w:t>
            </w:r>
          </w:p>
        </w:tc>
      </w:tr>
      <w:tr>
        <w:tc>
          <w:tcPr>
            <w:tcW w:type="dxa" w:w="1872"/>
          </w:tcPr>
          <w:p>
            <w:r>
              <w:rPr>
                <w:sz w:val="18"/>
              </w:rPr>
              <w:t>Access to PHI</w:t>
            </w:r>
          </w:p>
        </w:tc>
        <w:tc>
          <w:tcPr>
            <w:tcW w:type="dxa" w:w="2016"/>
          </w:tcPr>
          <w:p>
            <w:r>
              <w:rPr>
                <w:sz w:val="18"/>
              </w:rPr>
              <w:t>HIPAA 164.524</w:t>
            </w:r>
          </w:p>
        </w:tc>
        <w:tc>
          <w:tcPr>
            <w:tcW w:type="dxa" w:w="3168"/>
          </w:tcPr>
          <w:p>
            <w:r>
              <w:rPr>
                <w:sz w:val="18"/>
              </w:rPr>
              <w:t>Forward to the covered entity; support their response</w:t>
            </w:r>
          </w:p>
        </w:tc>
        <w:tc>
          <w:tcPr>
            <w:tcW w:type="dxa" w:w="1872"/>
          </w:tcPr>
          <w:p>
            <w:r>
              <w:rPr>
                <w:sz w:val="18"/>
              </w:rPr>
              <w:t>Per BAA, support within 10 days</w:t>
            </w:r>
          </w:p>
        </w:tc>
      </w:tr>
      <w:tr>
        <w:tc>
          <w:tcPr>
            <w:tcW w:type="dxa" w:w="1872"/>
          </w:tcPr>
          <w:p>
            <w:r>
              <w:rPr>
                <w:sz w:val="18"/>
              </w:rPr>
              <w:t>Amendment</w:t>
            </w:r>
          </w:p>
        </w:tc>
        <w:tc>
          <w:tcPr>
            <w:tcW w:type="dxa" w:w="2016"/>
          </w:tcPr>
          <w:p>
            <w:r>
              <w:rPr>
                <w:sz w:val="18"/>
              </w:rPr>
              <w:t>HIPAA 164.526</w:t>
            </w:r>
          </w:p>
        </w:tc>
        <w:tc>
          <w:tcPr>
            <w:tcW w:type="dxa" w:w="3168"/>
          </w:tcPr>
          <w:p>
            <w:r>
              <w:rPr>
                <w:sz w:val="18"/>
              </w:rPr>
              <w:t>Support the covered entity's determination</w:t>
            </w:r>
          </w:p>
        </w:tc>
        <w:tc>
          <w:tcPr>
            <w:tcW w:type="dxa" w:w="1872"/>
          </w:tcPr>
          <w:p>
            <w:r>
              <w:rPr>
                <w:sz w:val="18"/>
              </w:rPr>
              <w:t>Per BAA</w:t>
            </w:r>
          </w:p>
        </w:tc>
      </w:tr>
      <w:tr>
        <w:tc>
          <w:tcPr>
            <w:tcW w:type="dxa" w:w="1872"/>
          </w:tcPr>
          <w:p>
            <w:r>
              <w:rPr>
                <w:sz w:val="18"/>
              </w:rPr>
              <w:t>Accounting of disclosures</w:t>
            </w:r>
          </w:p>
        </w:tc>
        <w:tc>
          <w:tcPr>
            <w:tcW w:type="dxa" w:w="2016"/>
          </w:tcPr>
          <w:p>
            <w:r>
              <w:rPr>
                <w:sz w:val="18"/>
              </w:rPr>
              <w:t>HIPAA 164.528</w:t>
            </w:r>
          </w:p>
        </w:tc>
        <w:tc>
          <w:tcPr>
            <w:tcW w:type="dxa" w:w="3168"/>
          </w:tcPr>
          <w:p>
            <w:r>
              <w:rPr>
                <w:sz w:val="18"/>
              </w:rPr>
              <w:t>Provide audit records of disclosures</w:t>
            </w:r>
          </w:p>
        </w:tc>
        <w:tc>
          <w:tcPr>
            <w:tcW w:type="dxa" w:w="1872"/>
          </w:tcPr>
          <w:p>
            <w:r>
              <w:rPr>
                <w:sz w:val="18"/>
              </w:rPr>
              <w:t>Per BAA, within 30 days</w:t>
            </w:r>
          </w:p>
        </w:tc>
      </w:tr>
      <w:tr>
        <w:tc>
          <w:tcPr>
            <w:tcW w:type="dxa" w:w="1872"/>
          </w:tcPr>
          <w:p>
            <w:r>
              <w:rPr>
                <w:sz w:val="18"/>
              </w:rPr>
              <w:t>Restriction request</w:t>
            </w:r>
          </w:p>
        </w:tc>
        <w:tc>
          <w:tcPr>
            <w:tcW w:type="dxa" w:w="2016"/>
          </w:tcPr>
          <w:p>
            <w:r>
              <w:rPr>
                <w:sz w:val="18"/>
              </w:rPr>
              <w:t>HIPAA 164.522</w:t>
            </w:r>
          </w:p>
        </w:tc>
        <w:tc>
          <w:tcPr>
            <w:tcW w:type="dxa" w:w="3168"/>
          </w:tcPr>
          <w:p>
            <w:r>
              <w:rPr>
                <w:sz w:val="18"/>
              </w:rPr>
              <w:t>Honour restrictions communicated by the covered entity</w:t>
            </w:r>
          </w:p>
        </w:tc>
        <w:tc>
          <w:tcPr>
            <w:tcW w:type="dxa" w:w="1872"/>
          </w:tcPr>
          <w:p>
            <w:r>
              <w:rPr>
                <w:sz w:val="18"/>
              </w:rPr>
              <w:t>On notification</w:t>
            </w:r>
          </w:p>
        </w:tc>
      </w:tr>
      <w:tr>
        <w:tc>
          <w:tcPr>
            <w:tcW w:type="dxa" w:w="1872"/>
          </w:tcPr>
          <w:p>
            <w:r>
              <w:rPr>
                <w:sz w:val="18"/>
              </w:rPr>
              <w:t>Deletion (state laws)</w:t>
            </w:r>
          </w:p>
        </w:tc>
        <w:tc>
          <w:tcPr>
            <w:tcW w:type="dxa" w:w="2016"/>
          </w:tcPr>
          <w:p>
            <w:r>
              <w:rPr>
                <w:sz w:val="18"/>
              </w:rPr>
              <w:t>CCPA/CPRA, VCDPA and similar</w:t>
            </w:r>
          </w:p>
        </w:tc>
        <w:tc>
          <w:tcPr>
            <w:tcW w:type="dxa" w:w="3168"/>
          </w:tcPr>
          <w:p>
            <w:r>
              <w:rPr>
                <w:sz w:val="18"/>
              </w:rPr>
              <w:t>Assess applicability; PHI is generally exempt</w:t>
            </w:r>
          </w:p>
        </w:tc>
        <w:tc>
          <w:tcPr>
            <w:tcW w:type="dxa" w:w="1872"/>
          </w:tcPr>
          <w:p>
            <w:r>
              <w:rPr>
                <w:sz w:val="18"/>
              </w:rPr>
              <w:t>45 days</w:t>
            </w:r>
          </w:p>
        </w:tc>
      </w:tr>
      <w:tr>
        <w:tc>
          <w:tcPr>
            <w:tcW w:type="dxa" w:w="1872"/>
          </w:tcPr>
          <w:p>
            <w:r>
              <w:rPr>
                <w:sz w:val="18"/>
              </w:rPr>
              <w:t>Opt out of sale or sharing</w:t>
            </w:r>
          </w:p>
        </w:tc>
        <w:tc>
          <w:tcPr>
            <w:tcW w:type="dxa" w:w="2016"/>
          </w:tcPr>
          <w:p>
            <w:r>
              <w:rPr>
                <w:sz w:val="18"/>
              </w:rPr>
              <w:t>State privacy laws</w:t>
            </w:r>
          </w:p>
        </w:tc>
        <w:tc>
          <w:tcPr>
            <w:tcW w:type="dxa" w:w="3168"/>
          </w:tcPr>
          <w:p>
            <w:r>
              <w:rPr>
                <w:sz w:val="18"/>
              </w:rPr>
              <w:t>AGT does not sell personal information</w:t>
            </w:r>
          </w:p>
        </w:tc>
        <w:tc>
          <w:tcPr>
            <w:tcW w:type="dxa" w:w="1872"/>
          </w:tcPr>
          <w:p>
            <w:r>
              <w:rPr>
                <w:sz w:val="18"/>
              </w:rPr>
              <w:t>n/a</w:t>
            </w:r>
          </w:p>
        </w:tc>
      </w:tr>
    </w:tbl>
    <w:p/>
    <w:p>
      <w:pPr>
        <w:pStyle w:val="Heading1"/>
      </w:pPr>
      <w:r>
        <w:t>6. Privacy by design</w:t>
      </w:r>
    </w:p>
    <w:p>
      <w:pPr>
        <w:pStyle w:val="ListBullet"/>
      </w:pPr>
      <w:r>
        <w:t>New features handling personal information require a PIA before release.</w:t>
      </w:r>
    </w:p>
    <w:p>
      <w:pPr>
        <w:pStyle w:val="ListBullet"/>
      </w:pPr>
      <w:r>
        <w:t>Audit logs record the route accessed rather than the record identifier, so the privacy control does not itself become a PHI store.</w:t>
      </w:r>
    </w:p>
    <w:p>
      <w:pPr>
        <w:pStyle w:val="ListBullet"/>
      </w:pPr>
      <w:r>
        <w:t>Error messages and logs are reviewed to ensure they do not disclose personal data.</w:t>
      </w:r>
    </w:p>
    <w:p>
      <w:pPr>
        <w:pStyle w:val="ListBullet"/>
      </w:pPr>
      <w:r>
        <w:t>Default settings favour the more private option; sharing is opt-in.</w:t>
      </w:r>
    </w:p>
    <w:p>
      <w:pPr>
        <w:pStyle w:val="Heading1"/>
      </w:pPr>
      <w:r>
        <w:t>7. Privacy Impact Assessment</w:t>
      </w:r>
    </w:p>
    <w:p>
      <w:r>
        <w:t>A PIA is required when a change introduces a new category of personal data, a new recipient of personal data, a new purpose, or automated decision-making affecting individuals.</w:t>
      </w:r>
    </w:p>
    <w:p>
      <w:pPr>
        <w:pStyle w:val="ListNumber"/>
      </w:pPr>
      <w:r>
        <w:t>Describe the data, its source, and the individuals affected.</w:t>
      </w:r>
    </w:p>
    <w:p>
      <w:pPr>
        <w:pStyle w:val="ListNumber"/>
      </w:pPr>
      <w:r>
        <w:t>State the purpose and lawful basis.</w:t>
      </w:r>
    </w:p>
    <w:p>
      <w:pPr>
        <w:pStyle w:val="ListNumber"/>
      </w:pPr>
      <w:r>
        <w:t>Map the flow, including every third party that receives it.</w:t>
      </w:r>
    </w:p>
    <w:p>
      <w:pPr>
        <w:pStyle w:val="ListNumber"/>
      </w:pPr>
      <w:r>
        <w:t>Identify privacy risks and the controls that reduce them.</w:t>
      </w:r>
    </w:p>
    <w:p>
      <w:pPr>
        <w:pStyle w:val="ListNumber"/>
      </w:pPr>
      <w:r>
        <w:t>Record residual risk and the accepting authority.</w:t>
      </w:r>
    </w:p>
    <w:p>
      <w:pPr>
        <w:pStyle w:val="ListNumber"/>
      </w:pPr>
      <w:r>
        <w:t>Privacy Officer approves before release.</w:t>
      </w:r>
    </w:p>
    <w:p>
      <w:pPr>
        <w:pStyle w:val="Heading1"/>
      </w:pPr>
      <w:r>
        <w:t>8. Breach notification</w:t>
      </w:r>
    </w:p>
    <w:p>
      <w:r>
        <w:t>A breach of unsecured PHI triggers obligations with hard deadlines. The controlling clock for AGT as a business associate is the notification to the covered entity, because their 60-day obligation to individuals begins on discovery.</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fill="0F2B4C"/>
          </w:tcPr>
          <w:p>
            <w:r>
              <w:rPr>
                <w:b/>
                <w:color w:val="FFFFFF"/>
                <w:sz w:val="18"/>
              </w:rPr>
              <w:t>Obligation</w:t>
            </w:r>
          </w:p>
        </w:tc>
        <w:tc>
          <w:tcPr>
            <w:tcW w:type="dxa" w:w="2448"/>
            <w:shd w:val="clear" w:fill="0F2B4C"/>
          </w:tcPr>
          <w:p>
            <w:r>
              <w:rPr>
                <w:b/>
                <w:color w:val="FFFFFF"/>
                <w:sz w:val="18"/>
              </w:rPr>
              <w:t>Recipient</w:t>
            </w:r>
          </w:p>
        </w:tc>
        <w:tc>
          <w:tcPr>
            <w:tcW w:type="dxa" w:w="2592"/>
            <w:shd w:val="clear" w:fill="0F2B4C"/>
          </w:tcPr>
          <w:p>
            <w:r>
              <w:rPr>
                <w:b/>
                <w:color w:val="FFFFFF"/>
                <w:sz w:val="18"/>
              </w:rPr>
              <w:t>Deadline</w:t>
            </w:r>
          </w:p>
        </w:tc>
        <w:tc>
          <w:tcPr>
            <w:tcW w:type="dxa" w:w="1440"/>
            <w:shd w:val="clear" w:fill="0F2B4C"/>
          </w:tcPr>
          <w:p>
            <w:r>
              <w:rPr>
                <w:b/>
                <w:color w:val="FFFFFF"/>
                <w:sz w:val="18"/>
              </w:rPr>
              <w:t>Reference</w:t>
            </w:r>
          </w:p>
        </w:tc>
      </w:tr>
      <w:tr>
        <w:tc>
          <w:tcPr>
            <w:tcW w:type="dxa" w:w="2448"/>
          </w:tcPr>
          <w:p>
            <w:r>
              <w:rPr>
                <w:sz w:val="18"/>
              </w:rPr>
              <w:t>Notify the covered entity</w:t>
            </w:r>
          </w:p>
        </w:tc>
        <w:tc>
          <w:tcPr>
            <w:tcW w:type="dxa" w:w="2448"/>
          </w:tcPr>
          <w:p>
            <w:r>
              <w:rPr>
                <w:sz w:val="18"/>
              </w:rPr>
              <w:t>Customer</w:t>
            </w:r>
          </w:p>
        </w:tc>
        <w:tc>
          <w:tcPr>
            <w:tcW w:type="dxa" w:w="2592"/>
          </w:tcPr>
          <w:p>
            <w:r>
              <w:rPr>
                <w:sz w:val="18"/>
              </w:rPr>
              <w:t>Without unreasonable delay; per BAA, within 24 hours</w:t>
            </w:r>
          </w:p>
        </w:tc>
        <w:tc>
          <w:tcPr>
            <w:tcW w:type="dxa" w:w="1440"/>
          </w:tcPr>
          <w:p>
            <w:r>
              <w:rPr>
                <w:sz w:val="18"/>
              </w:rPr>
              <w:t>164.410</w:t>
            </w:r>
          </w:p>
        </w:tc>
      </w:tr>
      <w:tr>
        <w:tc>
          <w:tcPr>
            <w:tcW w:type="dxa" w:w="2448"/>
          </w:tcPr>
          <w:p>
            <w:r>
              <w:rPr>
                <w:sz w:val="18"/>
              </w:rPr>
              <w:t>Notify affected individuals</w:t>
            </w:r>
          </w:p>
        </w:tc>
        <w:tc>
          <w:tcPr>
            <w:tcW w:type="dxa" w:w="2448"/>
          </w:tcPr>
          <w:p>
            <w:r>
              <w:rPr>
                <w:sz w:val="18"/>
              </w:rPr>
              <w:t>Individuals (by covered entity)</w:t>
            </w:r>
          </w:p>
        </w:tc>
        <w:tc>
          <w:tcPr>
            <w:tcW w:type="dxa" w:w="2592"/>
          </w:tcPr>
          <w:p>
            <w:r>
              <w:rPr>
                <w:sz w:val="18"/>
              </w:rPr>
              <w:t>Within 60 days of discovery</w:t>
            </w:r>
          </w:p>
        </w:tc>
        <w:tc>
          <w:tcPr>
            <w:tcW w:type="dxa" w:w="1440"/>
          </w:tcPr>
          <w:p>
            <w:r>
              <w:rPr>
                <w:sz w:val="18"/>
              </w:rPr>
              <w:t>164.404</w:t>
            </w:r>
          </w:p>
        </w:tc>
      </w:tr>
      <w:tr>
        <w:tc>
          <w:tcPr>
            <w:tcW w:type="dxa" w:w="2448"/>
          </w:tcPr>
          <w:p>
            <w:r>
              <w:rPr>
                <w:sz w:val="18"/>
              </w:rPr>
              <w:t>Notify HHS</w:t>
            </w:r>
          </w:p>
        </w:tc>
        <w:tc>
          <w:tcPr>
            <w:tcW w:type="dxa" w:w="2448"/>
          </w:tcPr>
          <w:p>
            <w:r>
              <w:rPr>
                <w:sz w:val="18"/>
              </w:rPr>
              <w:t>HHS OCR</w:t>
            </w:r>
          </w:p>
        </w:tc>
        <w:tc>
          <w:tcPr>
            <w:tcW w:type="dxa" w:w="2592"/>
          </w:tcPr>
          <w:p>
            <w:r>
              <w:rPr>
                <w:sz w:val="18"/>
              </w:rPr>
              <w:t>Within 60 days if 500+ affected; annually otherwise</w:t>
            </w:r>
          </w:p>
        </w:tc>
        <w:tc>
          <w:tcPr>
            <w:tcW w:type="dxa" w:w="1440"/>
          </w:tcPr>
          <w:p>
            <w:r>
              <w:rPr>
                <w:sz w:val="18"/>
              </w:rPr>
              <w:t>164.408</w:t>
            </w:r>
          </w:p>
        </w:tc>
      </w:tr>
      <w:tr>
        <w:tc>
          <w:tcPr>
            <w:tcW w:type="dxa" w:w="2448"/>
          </w:tcPr>
          <w:p>
            <w:r>
              <w:rPr>
                <w:sz w:val="18"/>
              </w:rPr>
              <w:t>Notify media</w:t>
            </w:r>
          </w:p>
        </w:tc>
        <w:tc>
          <w:tcPr>
            <w:tcW w:type="dxa" w:w="2448"/>
          </w:tcPr>
          <w:p>
            <w:r>
              <w:rPr>
                <w:sz w:val="18"/>
              </w:rPr>
              <w:t>Prominent media outlet</w:t>
            </w:r>
          </w:p>
        </w:tc>
        <w:tc>
          <w:tcPr>
            <w:tcW w:type="dxa" w:w="2592"/>
          </w:tcPr>
          <w:p>
            <w:r>
              <w:rPr>
                <w:sz w:val="18"/>
              </w:rPr>
              <w:t>Within 60 days if 500+ in a state</w:t>
            </w:r>
          </w:p>
        </w:tc>
        <w:tc>
          <w:tcPr>
            <w:tcW w:type="dxa" w:w="1440"/>
          </w:tcPr>
          <w:p>
            <w:r>
              <w:rPr>
                <w:sz w:val="18"/>
              </w:rPr>
              <w:t>164.406</w:t>
            </w:r>
          </w:p>
        </w:tc>
      </w:tr>
      <w:tr>
        <w:tc>
          <w:tcPr>
            <w:tcW w:type="dxa" w:w="2448"/>
          </w:tcPr>
          <w:p>
            <w:r>
              <w:rPr>
                <w:sz w:val="18"/>
              </w:rPr>
              <w:t>Notify contracting officer</w:t>
            </w:r>
          </w:p>
        </w:tc>
        <w:tc>
          <w:tcPr>
            <w:tcW w:type="dxa" w:w="2448"/>
          </w:tcPr>
          <w:p>
            <w:r>
              <w:rPr>
                <w:sz w:val="18"/>
              </w:rPr>
              <w:t>Government COR</w:t>
            </w:r>
          </w:p>
        </w:tc>
        <w:tc>
          <w:tcPr>
            <w:tcW w:type="dxa" w:w="2592"/>
          </w:tcPr>
          <w:p>
            <w:r>
              <w:rPr>
                <w:sz w:val="18"/>
              </w:rPr>
              <w:t>Within 24 hours</w:t>
            </w:r>
          </w:p>
        </w:tc>
        <w:tc>
          <w:tcPr>
            <w:tcW w:type="dxa" w:w="1440"/>
          </w:tcPr>
          <w:p>
            <w:r>
              <w:rPr>
                <w:sz w:val="18"/>
              </w:rPr>
              <w:t>Contract</w:t>
            </w:r>
          </w:p>
        </w:tc>
      </w:tr>
    </w:tbl>
    <w:p/>
    <w:p>
      <w:r>
        <w:t>Encryption meeting HHS guidance is a safe harbour: loss of properly encrypted PHI is not a breach of unsecured PHI. This is the practical reason encryption at rest and in transit is mandatory rather than recommended.</w:t>
      </w:r>
    </w:p>
    <w:p>
      <w:pPr>
        <w:pStyle w:val="Heading1"/>
      </w:pPr>
      <w:r>
        <w:t>9. State privacy laws</w:t>
      </w:r>
    </w:p>
    <w:p>
      <w:r>
        <w:t>Where state law applies to information outside HIPAA's scope, AGT honours the more protective requirement. HIPAA-covered PHI is generally exempt from CCPA/CPRA and similar state regimes, but employee and marketing data held by AGT is not, and is handled under the same principles.</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Privacy Officer</w:t>
            </w:r>
          </w:p>
        </w:tc>
        <w:tc>
          <w:tcPr>
            <w:tcW w:type="dxa" w:w="6336"/>
          </w:tcPr>
          <w:p>
            <w:r>
              <w:rPr>
                <w:sz w:val="18"/>
              </w:rPr>
              <w:t>Owns this framework; approves PIAs; determines breach status.</w:t>
            </w:r>
          </w:p>
        </w:tc>
      </w:tr>
      <w:tr>
        <w:tc>
          <w:tcPr>
            <w:tcW w:type="dxa" w:w="2592"/>
          </w:tcPr>
          <w:p>
            <w:r>
              <w:rPr>
                <w:sz w:val="18"/>
              </w:rPr>
              <w:t>Security Officer</w:t>
            </w:r>
          </w:p>
        </w:tc>
        <w:tc>
          <w:tcPr>
            <w:tcW w:type="dxa" w:w="6336"/>
          </w:tcPr>
          <w:p>
            <w:r>
              <w:rPr>
                <w:sz w:val="18"/>
              </w:rPr>
              <w:t>Provides audit evidence; implements technical privacy controls.</w:t>
            </w:r>
          </w:p>
        </w:tc>
      </w:tr>
      <w:tr>
        <w:tc>
          <w:tcPr>
            <w:tcW w:type="dxa" w:w="2592"/>
          </w:tcPr>
          <w:p>
            <w:r>
              <w:rPr>
                <w:sz w:val="18"/>
              </w:rPr>
              <w:t>CEO</w:t>
            </w:r>
          </w:p>
        </w:tc>
        <w:tc>
          <w:tcPr>
            <w:tcW w:type="dxa" w:w="6336"/>
          </w:tcPr>
          <w:p>
            <w:r>
              <w:rPr>
                <w:sz w:val="18"/>
              </w:rPr>
              <w:t>Accountable for notification decisions and regulator communication.</w:t>
            </w:r>
          </w:p>
        </w:tc>
      </w:tr>
      <w:tr>
        <w:tc>
          <w:tcPr>
            <w:tcW w:type="dxa" w:w="2592"/>
          </w:tcPr>
          <w:p>
            <w:r>
              <w:rPr>
                <w:sz w:val="18"/>
              </w:rPr>
              <w:t>All personnel</w:t>
            </w:r>
          </w:p>
        </w:tc>
        <w:tc>
          <w:tcPr>
            <w:tcW w:type="dxa" w:w="6336"/>
          </w:tcPr>
          <w:p>
            <w:r>
              <w:rPr>
                <w:sz w:val="18"/>
              </w:rPr>
              <w:t>Report suspected privacy incidents immediately.</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HIPAA Privacy Rule</w:t>
            </w:r>
          </w:p>
        </w:tc>
        <w:tc>
          <w:tcPr>
            <w:tcW w:type="dxa" w:w="2160"/>
          </w:tcPr>
          <w:p>
            <w:r>
              <w:rPr>
                <w:sz w:val="18"/>
              </w:rPr>
              <w:t>164.502, 164.504, 164.514</w:t>
            </w:r>
          </w:p>
        </w:tc>
        <w:tc>
          <w:tcPr>
            <w:tcW w:type="dxa" w:w="4320"/>
          </w:tcPr>
          <w:p>
            <w:r>
              <w:rPr>
                <w:sz w:val="18"/>
              </w:rPr>
              <w:t>Uses and disclosures, business associate provisions, de-identification.</w:t>
            </w:r>
          </w:p>
        </w:tc>
        <w:tc>
          <w:tcPr>
            <w:tcW w:type="dxa" w:w="1152"/>
          </w:tcPr>
          <w:p>
            <w:r>
              <w:rPr>
                <w:sz w:val="18"/>
              </w:rPr>
              <w:t>Met</w:t>
            </w:r>
          </w:p>
        </w:tc>
      </w:tr>
      <w:tr>
        <w:tc>
          <w:tcPr>
            <w:tcW w:type="dxa" w:w="1584"/>
          </w:tcPr>
          <w:p>
            <w:r>
              <w:rPr>
                <w:sz w:val="18"/>
              </w:rPr>
              <w:t>HIPAA Breach Rule</w:t>
            </w:r>
          </w:p>
        </w:tc>
        <w:tc>
          <w:tcPr>
            <w:tcW w:type="dxa" w:w="2160"/>
          </w:tcPr>
          <w:p>
            <w:r>
              <w:rPr>
                <w:sz w:val="18"/>
              </w:rPr>
              <w:t>164.400-414</w:t>
            </w:r>
          </w:p>
        </w:tc>
        <w:tc>
          <w:tcPr>
            <w:tcW w:type="dxa" w:w="4320"/>
          </w:tcPr>
          <w:p>
            <w:r>
              <w:rPr>
                <w:sz w:val="18"/>
              </w:rPr>
              <w:t>Breach discovery, assessment, and notification.</w:t>
            </w:r>
          </w:p>
        </w:tc>
        <w:tc>
          <w:tcPr>
            <w:tcW w:type="dxa" w:w="1152"/>
          </w:tcPr>
          <w:p>
            <w:r>
              <w:rPr>
                <w:sz w:val="18"/>
              </w:rPr>
              <w:t>Met</w:t>
            </w:r>
          </w:p>
        </w:tc>
      </w:tr>
      <w:tr>
        <w:tc>
          <w:tcPr>
            <w:tcW w:type="dxa" w:w="1584"/>
          </w:tcPr>
          <w:p>
            <w:r>
              <w:rPr>
                <w:sz w:val="18"/>
              </w:rPr>
              <w:t>NIST 800-53</w:t>
            </w:r>
          </w:p>
        </w:tc>
        <w:tc>
          <w:tcPr>
            <w:tcW w:type="dxa" w:w="2160"/>
          </w:tcPr>
          <w:p>
            <w:r>
              <w:rPr>
                <w:sz w:val="18"/>
              </w:rPr>
              <w:t>PT-1 through PT-8, AR family</w:t>
            </w:r>
          </w:p>
        </w:tc>
        <w:tc>
          <w:tcPr>
            <w:tcW w:type="dxa" w:w="4320"/>
          </w:tcPr>
          <w:p>
            <w:r>
              <w:rPr>
                <w:sz w:val="18"/>
              </w:rPr>
              <w:t>Personally identifiable information processing and transparency.</w:t>
            </w:r>
          </w:p>
        </w:tc>
        <w:tc>
          <w:tcPr>
            <w:tcW w:type="dxa" w:w="1152"/>
          </w:tcPr>
          <w:p>
            <w:r>
              <w:rPr>
                <w:sz w:val="18"/>
              </w:rPr>
              <w:t>Met</w:t>
            </w:r>
          </w:p>
        </w:tc>
      </w:tr>
      <w:tr>
        <w:tc>
          <w:tcPr>
            <w:tcW w:type="dxa" w:w="1584"/>
          </w:tcPr>
          <w:p>
            <w:r>
              <w:rPr>
                <w:sz w:val="18"/>
              </w:rPr>
              <w:t>NIST Privacy Framework</w:t>
            </w:r>
          </w:p>
        </w:tc>
        <w:tc>
          <w:tcPr>
            <w:tcW w:type="dxa" w:w="2160"/>
          </w:tcPr>
          <w:p>
            <w:r>
              <w:rPr>
                <w:sz w:val="18"/>
              </w:rPr>
              <w:t>IDENTIFY-P, GOVERN-P, CONTROL-P</w:t>
            </w:r>
          </w:p>
        </w:tc>
        <w:tc>
          <w:tcPr>
            <w:tcW w:type="dxa" w:w="4320"/>
          </w:tcPr>
          <w:p>
            <w:r>
              <w:rPr>
                <w:sz w:val="18"/>
              </w:rPr>
              <w:t>Privacy risk governance and individual control.</w:t>
            </w:r>
          </w:p>
        </w:tc>
        <w:tc>
          <w:tcPr>
            <w:tcW w:type="dxa" w:w="1152"/>
          </w:tcPr>
          <w:p>
            <w:r>
              <w:rPr>
                <w:sz w:val="18"/>
              </w:rPr>
              <w:t>Met</w:t>
            </w:r>
          </w:p>
        </w:tc>
      </w:tr>
      <w:tr>
        <w:tc>
          <w:tcPr>
            <w:tcW w:type="dxa" w:w="1584"/>
          </w:tcPr>
          <w:p>
            <w:r>
              <w:rPr>
                <w:sz w:val="18"/>
              </w:rPr>
              <w:t>SOC 2</w:t>
            </w:r>
          </w:p>
        </w:tc>
        <w:tc>
          <w:tcPr>
            <w:tcW w:type="dxa" w:w="2160"/>
          </w:tcPr>
          <w:p>
            <w:r>
              <w:rPr>
                <w:sz w:val="18"/>
              </w:rPr>
              <w:t>P1.0 through P8.0</w:t>
            </w:r>
          </w:p>
        </w:tc>
        <w:tc>
          <w:tcPr>
            <w:tcW w:type="dxa" w:w="4320"/>
          </w:tcPr>
          <w:p>
            <w:r>
              <w:rPr>
                <w:sz w:val="18"/>
              </w:rPr>
              <w:t>Privacy criteria - notice, choice, collection, use, retention, disclosure.</w:t>
            </w:r>
          </w:p>
        </w:tc>
        <w:tc>
          <w:tcPr>
            <w:tcW w:type="dxa" w:w="1152"/>
          </w:tcPr>
          <w:p>
            <w:r>
              <w:rPr>
                <w:sz w:val="18"/>
              </w:rPr>
              <w:t>Met</w:t>
            </w:r>
          </w:p>
        </w:tc>
      </w:tr>
      <w:tr>
        <w:tc>
          <w:tcPr>
            <w:tcW w:type="dxa" w:w="1584"/>
          </w:tcPr>
          <w:p>
            <w:r>
              <w:rPr>
                <w:sz w:val="18"/>
              </w:rPr>
              <w:t>ISO 27001</w:t>
            </w:r>
          </w:p>
        </w:tc>
        <w:tc>
          <w:tcPr>
            <w:tcW w:type="dxa" w:w="2160"/>
          </w:tcPr>
          <w:p>
            <w:r>
              <w:rPr>
                <w:sz w:val="18"/>
              </w:rPr>
              <w:t>A.5.34</w:t>
            </w:r>
          </w:p>
        </w:tc>
        <w:tc>
          <w:tcPr>
            <w:tcW w:type="dxa" w:w="4320"/>
          </w:tcPr>
          <w:p>
            <w:r>
              <w:rPr>
                <w:sz w:val="18"/>
              </w:rPr>
              <w:t>Privacy and protection of personally identifiable information.</w:t>
            </w:r>
          </w:p>
        </w:tc>
        <w:tc>
          <w:tcPr>
            <w:tcW w:type="dxa" w:w="1152"/>
          </w:tcPr>
          <w:p>
            <w:r>
              <w:rPr>
                <w:sz w:val="18"/>
              </w:rPr>
              <w:t>Met</w:t>
            </w:r>
          </w:p>
        </w:tc>
      </w:tr>
      <w:tr>
        <w:tc>
          <w:tcPr>
            <w:tcW w:type="dxa" w:w="1584"/>
          </w:tcPr>
          <w:p>
            <w:r>
              <w:rPr>
                <w:sz w:val="18"/>
              </w:rPr>
              <w:t>ISO 27701</w:t>
            </w:r>
          </w:p>
        </w:tc>
        <w:tc>
          <w:tcPr>
            <w:tcW w:type="dxa" w:w="2160"/>
          </w:tcPr>
          <w:p>
            <w:r>
              <w:rPr>
                <w:sz w:val="18"/>
              </w:rPr>
              <w:t>Clause 7, 8</w:t>
            </w:r>
          </w:p>
        </w:tc>
        <w:tc>
          <w:tcPr>
            <w:tcW w:type="dxa" w:w="4320"/>
          </w:tcPr>
          <w:p>
            <w:r>
              <w:rPr>
                <w:sz w:val="18"/>
              </w:rPr>
              <w:t>PII controller and processor guidance.</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Identifies PHI and PII</w:t>
            </w:r>
          </w:p>
        </w:tc>
      </w:tr>
      <w:tr>
        <w:tc>
          <w:tcPr>
            <w:tcW w:type="dxa" w:w="1872"/>
          </w:tcPr>
          <w:p>
            <w:r>
              <w:rPr>
                <w:sz w:val="18"/>
              </w:rPr>
              <w:t>AGT-DRP-007</w:t>
            </w:r>
          </w:p>
        </w:tc>
        <w:tc>
          <w:tcPr>
            <w:tcW w:type="dxa" w:w="4176"/>
          </w:tcPr>
          <w:p>
            <w:r>
              <w:rPr>
                <w:sz w:val="18"/>
              </w:rPr>
              <w:t>Data Retention Policy</w:t>
            </w:r>
          </w:p>
        </w:tc>
        <w:tc>
          <w:tcPr>
            <w:tcW w:type="dxa" w:w="3168"/>
          </w:tcPr>
          <w:p>
            <w:r>
              <w:rPr>
                <w:sz w:val="18"/>
              </w:rPr>
              <w:t>Storage limitation</w:t>
            </w:r>
          </w:p>
        </w:tc>
      </w:tr>
      <w:tr>
        <w:tc>
          <w:tcPr>
            <w:tcW w:type="dxa" w:w="1872"/>
          </w:tcPr>
          <w:p>
            <w:r>
              <w:rPr>
                <w:sz w:val="18"/>
              </w:rPr>
              <w:t>AGT-IRP-022</w:t>
            </w:r>
          </w:p>
        </w:tc>
        <w:tc>
          <w:tcPr>
            <w:tcW w:type="dxa" w:w="4176"/>
          </w:tcPr>
          <w:p>
            <w:r>
              <w:rPr>
                <w:sz w:val="18"/>
              </w:rPr>
              <w:t>Incident Response Plan</w:t>
            </w:r>
          </w:p>
        </w:tc>
        <w:tc>
          <w:tcPr>
            <w:tcW w:type="dxa" w:w="3168"/>
          </w:tcPr>
          <w:p>
            <w:r>
              <w:rPr>
                <w:sz w:val="18"/>
              </w:rPr>
              <w:t>Breach response procedure</w:t>
            </w:r>
          </w:p>
        </w:tc>
      </w:tr>
      <w:tr>
        <w:tc>
          <w:tcPr>
            <w:tcW w:type="dxa" w:w="1872"/>
          </w:tcPr>
          <w:p>
            <w:r>
              <w:rPr>
                <w:sz w:val="18"/>
              </w:rPr>
              <w:t>AGT-AIGOV-013</w:t>
            </w:r>
          </w:p>
        </w:tc>
        <w:tc>
          <w:tcPr>
            <w:tcW w:type="dxa" w:w="4176"/>
          </w:tcPr>
          <w:p>
            <w:r>
              <w:rPr>
                <w:sz w:val="18"/>
              </w:rPr>
              <w:t>AI Governance Policy</w:t>
            </w:r>
          </w:p>
        </w:tc>
        <w:tc>
          <w:tcPr>
            <w:tcW w:type="dxa" w:w="3168"/>
          </w:tcPr>
          <w:p>
            <w:r>
              <w:rPr>
                <w:sz w:val="18"/>
              </w:rPr>
              <w:t>Privacy assessment of AI processing</w:t>
            </w:r>
          </w:p>
        </w:tc>
      </w:tr>
      <w:tr>
        <w:tc>
          <w:tcPr>
            <w:tcW w:type="dxa" w:w="1872"/>
          </w:tcPr>
          <w:p>
            <w:r>
              <w:rPr>
                <w:sz w:val="18"/>
              </w:rPr>
              <w:t>AGT-VRM-012</w:t>
            </w:r>
          </w:p>
        </w:tc>
        <w:tc>
          <w:tcPr>
            <w:tcW w:type="dxa" w:w="4176"/>
          </w:tcPr>
          <w:p>
            <w:r>
              <w:rPr>
                <w:sz w:val="18"/>
              </w:rPr>
              <w:t>Vendor Risk Management Policy</w:t>
            </w:r>
          </w:p>
        </w:tc>
        <w:tc>
          <w:tcPr>
            <w:tcW w:type="dxa" w:w="3168"/>
          </w:tcPr>
          <w:p>
            <w:r>
              <w:rPr>
                <w:sz w:val="18"/>
              </w:rPr>
              <w:t>BAA requirements</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AGT-PPF-014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