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Remote Access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AGT-RAP-005</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the conditions under which AGT systems may be accessed from outside a controlled AGT facility. AGT operates as a distributed organization on cloud-hosted infrastructure; remote access is the normal case, not the exception, and this policy is written on that assumption rather than treating remote work as a deviation.</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Remote access</w:t>
            </w:r>
          </w:p>
        </w:tc>
        <w:tc>
          <w:tcPr>
            <w:tcW w:type="dxa" w:w="6768"/>
          </w:tcPr>
          <w:p>
            <w:r>
              <w:rPr>
                <w:sz w:val="18"/>
              </w:rPr>
              <w:t>Access to AGT systems from any network not controlled by AGT.</w:t>
            </w:r>
          </w:p>
        </w:tc>
      </w:tr>
      <w:tr>
        <w:tc>
          <w:tcPr>
            <w:tcW w:type="dxa" w:w="2160"/>
          </w:tcPr>
          <w:p>
            <w:r>
              <w:rPr>
                <w:sz w:val="18"/>
              </w:rPr>
              <w:t>Split tunneling</w:t>
            </w:r>
          </w:p>
        </w:tc>
        <w:tc>
          <w:tcPr>
            <w:tcW w:type="dxa" w:w="6768"/>
          </w:tcPr>
          <w:p>
            <w:r>
              <w:rPr>
                <w:sz w:val="18"/>
              </w:rPr>
              <w:t>A VPN configuration where only some traffic traverses the tunnel.</w:t>
            </w:r>
          </w:p>
        </w:tc>
      </w:tr>
      <w:tr>
        <w:tc>
          <w:tcPr>
            <w:tcW w:type="dxa" w:w="2160"/>
          </w:tcPr>
          <w:p>
            <w:r>
              <w:rPr>
                <w:sz w:val="18"/>
              </w:rPr>
              <w:t>Conditional Access</w:t>
            </w:r>
          </w:p>
        </w:tc>
        <w:tc>
          <w:tcPr>
            <w:tcW w:type="dxa" w:w="6768"/>
          </w:tcPr>
          <w:p>
            <w:r>
              <w:rPr>
                <w:sz w:val="18"/>
              </w:rPr>
              <w:t>Entra ID policy evaluating signals before granting access.</w:t>
            </w:r>
          </w:p>
        </w:tc>
      </w:tr>
      <w:tr>
        <w:tc>
          <w:tcPr>
            <w:tcW w:type="dxa" w:w="2160"/>
          </w:tcPr>
          <w:p>
            <w:r>
              <w:rPr>
                <w:sz w:val="18"/>
              </w:rPr>
              <w:t>Managed device</w:t>
            </w:r>
          </w:p>
        </w:tc>
        <w:tc>
          <w:tcPr>
            <w:tcW w:type="dxa" w:w="6768"/>
          </w:tcPr>
          <w:p>
            <w:r>
              <w:rPr>
                <w:sz w:val="18"/>
              </w:rPr>
              <w:t>A device enrolled in AGT device management and meeting policy.</w:t>
            </w:r>
          </w:p>
        </w:tc>
      </w:tr>
    </w:tbl>
    <w:p/>
    <w:p>
      <w:pPr>
        <w:pStyle w:val="Heading1"/>
      </w:pPr>
      <w:r>
        <w:t>3. Access model</w:t>
      </w:r>
    </w:p>
    <w:p>
      <w:r>
        <w:t>There is no corporate network perimeter to enter. AGT systems are Azure-hosted and reachable from the public internet; the controlling boundary is identity and device posture, not network location. A VPN would add an encrypted tunnel to traffic that is already TLS-protected while creating a false sense that being 'inside' confers trust.</w:t>
      </w:r>
    </w:p>
    <w:p>
      <w:r>
        <w:t>Accordingly, remote access is governed by Entra ID Conditional Access and by the application's own authentication and authorization controls. Where a VPN is required by a specific customer contract, the requirements in section 6 apply.</w:t>
      </w:r>
    </w:p>
    <w:p>
      <w:pPr>
        <w:pStyle w:val="Heading1"/>
      </w:pPr>
      <w:r>
        <w:t>4. Requirements for all remote access</w:t>
      </w:r>
    </w:p>
    <w:p>
      <w:pPr>
        <w:pStyle w:val="ListBullet"/>
      </w:pPr>
      <w:r>
        <w:t>Multi-factor authentication is required for every remote session without exception.</w:t>
      </w:r>
    </w:p>
    <w:p>
      <w:pPr>
        <w:pStyle w:val="ListBullet"/>
      </w:pPr>
      <w:r>
        <w:t>TLS 1.2 or higher for all connections; the platform rejects lower versions.</w:t>
      </w:r>
    </w:p>
    <w:p>
      <w:pPr>
        <w:pStyle w:val="ListBullet"/>
      </w:pPr>
      <w:r>
        <w:t>Access from a device meeting the requirements of AGT-MDBYOD-010.</w:t>
      </w:r>
    </w:p>
    <w:p>
      <w:pPr>
        <w:pStyle w:val="ListBullet"/>
      </w:pPr>
      <w:r>
        <w:t>No access to production data from a shared, public, or kiosk device.</w:t>
      </w:r>
    </w:p>
    <w:p>
      <w:pPr>
        <w:pStyle w:val="ListBullet"/>
      </w:pPr>
      <w:r>
        <w:t>Screen lock after no more than 10 minutes of inactivity.</w:t>
      </w:r>
    </w:p>
    <w:p>
      <w:pPr>
        <w:pStyle w:val="ListBullet"/>
      </w:pPr>
      <w:r>
        <w:t>Full-disk encryption on any device used to access AGT systems.</w:t>
      </w:r>
    </w:p>
    <w:p>
      <w:pPr>
        <w:pStyle w:val="Heading1"/>
      </w:pPr>
      <w:r>
        <w:t>5. Conditional Access baseline</w:t>
      </w:r>
    </w:p>
    <w:tbl>
      <w:tblPr>
        <w:tblStyle w:val="TableGrid"/>
        <w:tblW w:type="auto" w:w="0"/>
        <w:tblLook w:firstColumn="1" w:firstRow="1" w:lastColumn="0" w:lastRow="0" w:noHBand="0" w:noVBand="1" w:val="04A0"/>
      </w:tblPr>
      <w:tblGrid>
        <w:gridCol w:w="3120"/>
        <w:gridCol w:w="3120"/>
        <w:gridCol w:w="3120"/>
      </w:tblGrid>
      <w:tr>
        <w:tc>
          <w:tcPr>
            <w:tcW w:type="dxa" w:w="2448"/>
            <w:shd w:val="clear" w:fill="0F2B4C"/>
          </w:tcPr>
          <w:p>
            <w:r>
              <w:rPr>
                <w:b/>
                <w:color w:val="FFFFFF"/>
                <w:sz w:val="18"/>
              </w:rPr>
              <w:t>Signal</w:t>
            </w:r>
          </w:p>
        </w:tc>
        <w:tc>
          <w:tcPr>
            <w:tcW w:type="dxa" w:w="3312"/>
            <w:shd w:val="clear" w:fill="0F2B4C"/>
          </w:tcPr>
          <w:p>
            <w:r>
              <w:rPr>
                <w:b/>
                <w:color w:val="FFFFFF"/>
                <w:sz w:val="18"/>
              </w:rPr>
              <w:t>Policy</w:t>
            </w:r>
          </w:p>
        </w:tc>
        <w:tc>
          <w:tcPr>
            <w:tcW w:type="dxa" w:w="3168"/>
            <w:shd w:val="clear" w:fill="0F2B4C"/>
          </w:tcPr>
          <w:p>
            <w:r>
              <w:rPr>
                <w:b/>
                <w:color w:val="FFFFFF"/>
                <w:sz w:val="18"/>
              </w:rPr>
              <w:t>Action on failure</w:t>
            </w:r>
          </w:p>
        </w:tc>
      </w:tr>
      <w:tr>
        <w:tc>
          <w:tcPr>
            <w:tcW w:type="dxa" w:w="2448"/>
          </w:tcPr>
          <w:p>
            <w:r>
              <w:rPr>
                <w:sz w:val="18"/>
              </w:rPr>
              <w:t>MFA</w:t>
            </w:r>
          </w:p>
        </w:tc>
        <w:tc>
          <w:tcPr>
            <w:tcW w:type="dxa" w:w="3312"/>
          </w:tcPr>
          <w:p>
            <w:r>
              <w:rPr>
                <w:sz w:val="18"/>
              </w:rPr>
              <w:t>Required for all users</w:t>
            </w:r>
          </w:p>
        </w:tc>
        <w:tc>
          <w:tcPr>
            <w:tcW w:type="dxa" w:w="3168"/>
          </w:tcPr>
          <w:p>
            <w:r>
              <w:rPr>
                <w:sz w:val="18"/>
              </w:rPr>
              <w:t>Block</w:t>
            </w:r>
          </w:p>
        </w:tc>
      </w:tr>
      <w:tr>
        <w:tc>
          <w:tcPr>
            <w:tcW w:type="dxa" w:w="2448"/>
          </w:tcPr>
          <w:p>
            <w:r>
              <w:rPr>
                <w:sz w:val="18"/>
              </w:rPr>
              <w:t>Device compliance</w:t>
            </w:r>
          </w:p>
        </w:tc>
        <w:tc>
          <w:tcPr>
            <w:tcW w:type="dxa" w:w="3312"/>
          </w:tcPr>
          <w:p>
            <w:r>
              <w:rPr>
                <w:sz w:val="18"/>
              </w:rPr>
              <w:t>Required for administrative roles</w:t>
            </w:r>
          </w:p>
        </w:tc>
        <w:tc>
          <w:tcPr>
            <w:tcW w:type="dxa" w:w="3168"/>
          </w:tcPr>
          <w:p>
            <w:r>
              <w:rPr>
                <w:sz w:val="18"/>
              </w:rPr>
              <w:t>Block</w:t>
            </w:r>
          </w:p>
        </w:tc>
      </w:tr>
      <w:tr>
        <w:tc>
          <w:tcPr>
            <w:tcW w:type="dxa" w:w="2448"/>
          </w:tcPr>
          <w:p>
            <w:r>
              <w:rPr>
                <w:sz w:val="18"/>
              </w:rPr>
              <w:t>Impossible travel</w:t>
            </w:r>
          </w:p>
        </w:tc>
        <w:tc>
          <w:tcPr>
            <w:tcW w:type="dxa" w:w="3312"/>
          </w:tcPr>
          <w:p>
            <w:r>
              <w:rPr>
                <w:sz w:val="18"/>
              </w:rPr>
              <w:t>Detected by Entra ID Protection</w:t>
            </w:r>
          </w:p>
        </w:tc>
        <w:tc>
          <w:tcPr>
            <w:tcW w:type="dxa" w:w="3168"/>
          </w:tcPr>
          <w:p>
            <w:r>
              <w:rPr>
                <w:sz w:val="18"/>
              </w:rPr>
              <w:t>Require re-authentication</w:t>
            </w:r>
          </w:p>
        </w:tc>
      </w:tr>
      <w:tr>
        <w:tc>
          <w:tcPr>
            <w:tcW w:type="dxa" w:w="2448"/>
          </w:tcPr>
          <w:p>
            <w:r>
              <w:rPr>
                <w:sz w:val="18"/>
              </w:rPr>
              <w:t>Unfamiliar sign-in properties</w:t>
            </w:r>
          </w:p>
        </w:tc>
        <w:tc>
          <w:tcPr>
            <w:tcW w:type="dxa" w:w="3312"/>
          </w:tcPr>
          <w:p>
            <w:r>
              <w:rPr>
                <w:sz w:val="18"/>
              </w:rPr>
              <w:t>Risk-based evaluation</w:t>
            </w:r>
          </w:p>
        </w:tc>
        <w:tc>
          <w:tcPr>
            <w:tcW w:type="dxa" w:w="3168"/>
          </w:tcPr>
          <w:p>
            <w:r>
              <w:rPr>
                <w:sz w:val="18"/>
              </w:rPr>
              <w:t>Require MFA challenge</w:t>
            </w:r>
          </w:p>
        </w:tc>
      </w:tr>
      <w:tr>
        <w:tc>
          <w:tcPr>
            <w:tcW w:type="dxa" w:w="2448"/>
          </w:tcPr>
          <w:p>
            <w:r>
              <w:rPr>
                <w:sz w:val="18"/>
              </w:rPr>
              <w:t>Legacy authentication protocols</w:t>
            </w:r>
          </w:p>
        </w:tc>
        <w:tc>
          <w:tcPr>
            <w:tcW w:type="dxa" w:w="3312"/>
          </w:tcPr>
          <w:p>
            <w:r>
              <w:rPr>
                <w:sz w:val="18"/>
              </w:rPr>
              <w:t>Blocked</w:t>
            </w:r>
          </w:p>
        </w:tc>
        <w:tc>
          <w:tcPr>
            <w:tcW w:type="dxa" w:w="3168"/>
          </w:tcPr>
          <w:p>
            <w:r>
              <w:rPr>
                <w:sz w:val="18"/>
              </w:rPr>
              <w:t>Block</w:t>
            </w:r>
          </w:p>
        </w:tc>
      </w:tr>
    </w:tbl>
    <w:p/>
    <w:p>
      <w:r>
        <w:rPr>
          <w:i/>
          <w:color w:val="5A5A5A"/>
          <w:sz w:val="19"/>
        </w:rPr>
        <w:t>Legacy authentication is blocked outright because it cannot carry an MFA challenge. Leaving it enabled makes every other MFA rule optional from an attacker's point of view.</w:t>
      </w:r>
    </w:p>
    <w:p>
      <w:pPr>
        <w:pStyle w:val="Heading1"/>
      </w:pPr>
      <w:r>
        <w:t>6. VPN requirements where contractually required</w:t>
      </w:r>
    </w:p>
    <w:p>
      <w:pPr>
        <w:pStyle w:val="ListBullet"/>
      </w:pPr>
      <w:r>
        <w:t>Split tunneling is prohibited. A split tunnel means an infected home network shares a routing table with a session holding AGT credentials.</w:t>
      </w:r>
    </w:p>
    <w:p>
      <w:pPr>
        <w:pStyle w:val="ListBullet"/>
      </w:pPr>
      <w:r>
        <w:t>VPN authentication requires MFA and uses a certificate or device-bound credential.</w:t>
      </w:r>
    </w:p>
    <w:p>
      <w:pPr>
        <w:pStyle w:val="ListBullet"/>
      </w:pPr>
      <w:r>
        <w:t>Idle sessions terminate after 30 minutes; maximum session duration is 12 hours.</w:t>
      </w:r>
    </w:p>
    <w:p>
      <w:pPr>
        <w:pStyle w:val="ListBullet"/>
      </w:pPr>
      <w:r>
        <w:t>VPN concentrator logs are retained per AGT-LMP-018.</w:t>
      </w:r>
    </w:p>
    <w:p>
      <w:pPr>
        <w:pStyle w:val="Heading1"/>
      </w:pPr>
      <w:r>
        <w:t>7. Administrative and privileged remote access</w:t>
      </w:r>
    </w:p>
    <w:p>
      <w:pPr>
        <w:pStyle w:val="ListBullet"/>
      </w:pPr>
      <w:r>
        <w:t>Azure portal and CLI access requires MFA and a compliant device.</w:t>
      </w:r>
    </w:p>
    <w:p>
      <w:pPr>
        <w:pStyle w:val="ListBullet"/>
      </w:pPr>
      <w:r>
        <w:t>Production database access is not permitted from a general-purpose workstation session without an approved, logged justification.</w:t>
      </w:r>
    </w:p>
    <w:p>
      <w:pPr>
        <w:pStyle w:val="ListBullet"/>
      </w:pPr>
      <w:r>
        <w:t>Deployment to production occurs through the CI/CD pipeline under AGT-ChMP-017. Direct interactive deployment from a workstation is an exception requiring documented approval.</w:t>
      </w:r>
    </w:p>
    <w:p>
      <w:pPr>
        <w:pStyle w:val="Heading1"/>
      </w:pPr>
      <w:r>
        <w:t>8. Remote work environment</w:t>
      </w:r>
    </w:p>
    <w:p>
      <w:pPr>
        <w:pStyle w:val="ListBullet"/>
      </w:pPr>
      <w:r>
        <w:t>Work in a location where screens displaying PHI or CUI are not visible to others.</w:t>
      </w:r>
    </w:p>
    <w:p>
      <w:pPr>
        <w:pStyle w:val="ListBullet"/>
      </w:pPr>
      <w:r>
        <w:t>Do not use public Wi-Fi for administrative access; use a cellular hotspot or a trusted network.</w:t>
      </w:r>
    </w:p>
    <w:p>
      <w:pPr>
        <w:pStyle w:val="ListBullet"/>
      </w:pPr>
      <w:r>
        <w:t>Household members and other non-authorized persons must not use a device that holds AGT credentials.</w:t>
      </w:r>
    </w:p>
    <w:p>
      <w:pPr>
        <w:pStyle w:val="ListBullet"/>
      </w:pPr>
      <w:r>
        <w:t>Printed material containing PHI or CUI must be handled per AGT-MPP-008 and is not to be disposed of in household waste.</w:t>
      </w:r>
    </w:p>
    <w:p>
      <w:pPr>
        <w:pStyle w:val="Heading1"/>
      </w:pPr>
      <w:r>
        <w:t>9. Monitoring and revocation</w:t>
      </w:r>
    </w:p>
    <w:p>
      <w:r>
        <w:t>Remote sessions are subject to the same logging as any other access (AGT-LMP-018). Anomalous sign-in patterns trigger review under AGT-IRP-022. Remote access is revoked immediately on termination through account disablement and session revocation, as specified in AGT-IAM-004 section 7.</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Maintains Conditional Access policy; reviews anomalous sign-ins.</w:t>
            </w:r>
          </w:p>
        </w:tc>
      </w:tr>
      <w:tr>
        <w:tc>
          <w:tcPr>
            <w:tcW w:type="dxa" w:w="2592"/>
          </w:tcPr>
          <w:p>
            <w:r>
              <w:rPr>
                <w:sz w:val="18"/>
              </w:rPr>
              <w:t>Engineering</w:t>
            </w:r>
          </w:p>
        </w:tc>
        <w:tc>
          <w:tcPr>
            <w:tcW w:type="dxa" w:w="6336"/>
          </w:tcPr>
          <w:p>
            <w:r>
              <w:rPr>
                <w:sz w:val="18"/>
              </w:rPr>
              <w:t>Ensures the platform enforces TLS and rejects legacy protocols.</w:t>
            </w:r>
          </w:p>
        </w:tc>
      </w:tr>
      <w:tr>
        <w:tc>
          <w:tcPr>
            <w:tcW w:type="dxa" w:w="2592"/>
          </w:tcPr>
          <w:p>
            <w:r>
              <w:rPr>
                <w:sz w:val="18"/>
              </w:rPr>
              <w:t>All personnel</w:t>
            </w:r>
          </w:p>
        </w:tc>
        <w:tc>
          <w:tcPr>
            <w:tcW w:type="dxa" w:w="6336"/>
          </w:tcPr>
          <w:p>
            <w:r>
              <w:rPr>
                <w:sz w:val="18"/>
              </w:rPr>
              <w:t>Comply with device and environment requirements; report loss or compromise.</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AC-17, AC-17(1)-(4)</w:t>
            </w:r>
          </w:p>
        </w:tc>
        <w:tc>
          <w:tcPr>
            <w:tcW w:type="dxa" w:w="4320"/>
          </w:tcPr>
          <w:p>
            <w:r>
              <w:rPr>
                <w:sz w:val="18"/>
              </w:rPr>
              <w:t>Remote access authorization, monitoring, encryption, privileged commands.</w:t>
            </w:r>
          </w:p>
        </w:tc>
        <w:tc>
          <w:tcPr>
            <w:tcW w:type="dxa" w:w="1152"/>
          </w:tcPr>
          <w:p>
            <w:r>
              <w:rPr>
                <w:sz w:val="18"/>
              </w:rPr>
              <w:t>Met</w:t>
            </w:r>
          </w:p>
        </w:tc>
      </w:tr>
      <w:tr>
        <w:tc>
          <w:tcPr>
            <w:tcW w:type="dxa" w:w="1584"/>
          </w:tcPr>
          <w:p>
            <w:r>
              <w:rPr>
                <w:sz w:val="18"/>
              </w:rPr>
              <w:t>NIST 800-53</w:t>
            </w:r>
          </w:p>
        </w:tc>
        <w:tc>
          <w:tcPr>
            <w:tcW w:type="dxa" w:w="2160"/>
          </w:tcPr>
          <w:p>
            <w:r>
              <w:rPr>
                <w:sz w:val="18"/>
              </w:rPr>
              <w:t>AC-19, SC-8</w:t>
            </w:r>
          </w:p>
        </w:tc>
        <w:tc>
          <w:tcPr>
            <w:tcW w:type="dxa" w:w="4320"/>
          </w:tcPr>
          <w:p>
            <w:r>
              <w:rPr>
                <w:sz w:val="18"/>
              </w:rPr>
              <w:t>Access control for mobile devices; transmission confidentiality.</w:t>
            </w:r>
          </w:p>
        </w:tc>
        <w:tc>
          <w:tcPr>
            <w:tcW w:type="dxa" w:w="1152"/>
          </w:tcPr>
          <w:p>
            <w:r>
              <w:rPr>
                <w:sz w:val="18"/>
              </w:rPr>
              <w:t>Met</w:t>
            </w:r>
          </w:p>
        </w:tc>
      </w:tr>
      <w:tr>
        <w:tc>
          <w:tcPr>
            <w:tcW w:type="dxa" w:w="1584"/>
          </w:tcPr>
          <w:p>
            <w:r>
              <w:rPr>
                <w:sz w:val="18"/>
              </w:rPr>
              <w:t>HIPAA</w:t>
            </w:r>
          </w:p>
        </w:tc>
        <w:tc>
          <w:tcPr>
            <w:tcW w:type="dxa" w:w="2160"/>
          </w:tcPr>
          <w:p>
            <w:r>
              <w:rPr>
                <w:sz w:val="18"/>
              </w:rPr>
              <w:t>164.312(e)(1)</w:t>
            </w:r>
          </w:p>
        </w:tc>
        <w:tc>
          <w:tcPr>
            <w:tcW w:type="dxa" w:w="4320"/>
          </w:tcPr>
          <w:p>
            <w:r>
              <w:rPr>
                <w:sz w:val="18"/>
              </w:rPr>
              <w:t>Transmission security for ePHI over open networks.</w:t>
            </w:r>
          </w:p>
        </w:tc>
        <w:tc>
          <w:tcPr>
            <w:tcW w:type="dxa" w:w="1152"/>
          </w:tcPr>
          <w:p>
            <w:r>
              <w:rPr>
                <w:sz w:val="18"/>
              </w:rPr>
              <w:t>Met</w:t>
            </w:r>
          </w:p>
        </w:tc>
      </w:tr>
      <w:tr>
        <w:tc>
          <w:tcPr>
            <w:tcW w:type="dxa" w:w="1584"/>
          </w:tcPr>
          <w:p>
            <w:r>
              <w:rPr>
                <w:sz w:val="18"/>
              </w:rPr>
              <w:t>HIPAA</w:t>
            </w:r>
          </w:p>
        </w:tc>
        <w:tc>
          <w:tcPr>
            <w:tcW w:type="dxa" w:w="2160"/>
          </w:tcPr>
          <w:p>
            <w:r>
              <w:rPr>
                <w:sz w:val="18"/>
              </w:rPr>
              <w:t>164.308(a)(4)(ii)(B)</w:t>
            </w:r>
          </w:p>
        </w:tc>
        <w:tc>
          <w:tcPr>
            <w:tcW w:type="dxa" w:w="4320"/>
          </w:tcPr>
          <w:p>
            <w:r>
              <w:rPr>
                <w:sz w:val="18"/>
              </w:rPr>
              <w:t>Access authorization for remote workforce members.</w:t>
            </w:r>
          </w:p>
        </w:tc>
        <w:tc>
          <w:tcPr>
            <w:tcW w:type="dxa" w:w="1152"/>
          </w:tcPr>
          <w:p>
            <w:r>
              <w:rPr>
                <w:sz w:val="18"/>
              </w:rPr>
              <w:t>Met</w:t>
            </w:r>
          </w:p>
        </w:tc>
      </w:tr>
      <w:tr>
        <w:tc>
          <w:tcPr>
            <w:tcW w:type="dxa" w:w="1584"/>
          </w:tcPr>
          <w:p>
            <w:r>
              <w:rPr>
                <w:sz w:val="18"/>
              </w:rPr>
              <w:t>SOC 2</w:t>
            </w:r>
          </w:p>
        </w:tc>
        <w:tc>
          <w:tcPr>
            <w:tcW w:type="dxa" w:w="2160"/>
          </w:tcPr>
          <w:p>
            <w:r>
              <w:rPr>
                <w:sz w:val="18"/>
              </w:rPr>
              <w:t>CC6.6, CC6.7</w:t>
            </w:r>
          </w:p>
        </w:tc>
        <w:tc>
          <w:tcPr>
            <w:tcW w:type="dxa" w:w="4320"/>
          </w:tcPr>
          <w:p>
            <w:r>
              <w:rPr>
                <w:sz w:val="18"/>
              </w:rPr>
              <w:t>Boundary protection and transmission of data.</w:t>
            </w:r>
          </w:p>
        </w:tc>
        <w:tc>
          <w:tcPr>
            <w:tcW w:type="dxa" w:w="1152"/>
          </w:tcPr>
          <w:p>
            <w:r>
              <w:rPr>
                <w:sz w:val="18"/>
              </w:rPr>
              <w:t>Met</w:t>
            </w:r>
          </w:p>
        </w:tc>
      </w:tr>
      <w:tr>
        <w:tc>
          <w:tcPr>
            <w:tcW w:type="dxa" w:w="1584"/>
          </w:tcPr>
          <w:p>
            <w:r>
              <w:rPr>
                <w:sz w:val="18"/>
              </w:rPr>
              <w:t>ISO 27001</w:t>
            </w:r>
          </w:p>
        </w:tc>
        <w:tc>
          <w:tcPr>
            <w:tcW w:type="dxa" w:w="2160"/>
          </w:tcPr>
          <w:p>
            <w:r>
              <w:rPr>
                <w:sz w:val="18"/>
              </w:rPr>
              <w:t>A.6.7, A.8.1</w:t>
            </w:r>
          </w:p>
        </w:tc>
        <w:tc>
          <w:tcPr>
            <w:tcW w:type="dxa" w:w="4320"/>
          </w:tcPr>
          <w:p>
            <w:r>
              <w:rPr>
                <w:sz w:val="18"/>
              </w:rPr>
              <w:t>Remote working; user endpoint devices.</w:t>
            </w:r>
          </w:p>
        </w:tc>
        <w:tc>
          <w:tcPr>
            <w:tcW w:type="dxa" w:w="1152"/>
          </w:tcPr>
          <w:p>
            <w:r>
              <w:rPr>
                <w:sz w:val="18"/>
              </w:rPr>
              <w:t>Met</w:t>
            </w:r>
          </w:p>
        </w:tc>
      </w:tr>
      <w:tr>
        <w:tc>
          <w:tcPr>
            <w:tcW w:type="dxa" w:w="1584"/>
          </w:tcPr>
          <w:p>
            <w:r>
              <w:rPr>
                <w:sz w:val="18"/>
              </w:rPr>
              <w:t>FedRAMP</w:t>
            </w:r>
          </w:p>
        </w:tc>
        <w:tc>
          <w:tcPr>
            <w:tcW w:type="dxa" w:w="2160"/>
          </w:tcPr>
          <w:p>
            <w:r>
              <w:rPr>
                <w:sz w:val="18"/>
              </w:rPr>
              <w:t>AC-17(2)</w:t>
            </w:r>
          </w:p>
        </w:tc>
        <w:tc>
          <w:tcPr>
            <w:tcW w:type="dxa" w:w="4320"/>
          </w:tcPr>
          <w:p>
            <w:r>
              <w:rPr>
                <w:sz w:val="18"/>
              </w:rPr>
              <w:t>Cryptographic protection of remote access sessions.</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AGT-IAM-004</w:t>
            </w:r>
          </w:p>
        </w:tc>
        <w:tc>
          <w:tcPr>
            <w:tcW w:type="dxa" w:w="4176"/>
          </w:tcPr>
          <w:p>
            <w:r>
              <w:rPr>
                <w:sz w:val="18"/>
              </w:rPr>
              <w:t>Identity and Access Management Policy</w:t>
            </w:r>
          </w:p>
        </w:tc>
        <w:tc>
          <w:tcPr>
            <w:tcW w:type="dxa" w:w="3168"/>
          </w:tcPr>
          <w:p>
            <w:r>
              <w:rPr>
                <w:sz w:val="18"/>
              </w:rPr>
              <w:t>Defines the identity controls this policy relies on</w:t>
            </w:r>
          </w:p>
        </w:tc>
      </w:tr>
      <w:tr>
        <w:tc>
          <w:tcPr>
            <w:tcW w:type="dxa" w:w="1872"/>
          </w:tcPr>
          <w:p>
            <w:r>
              <w:rPr>
                <w:sz w:val="18"/>
              </w:rPr>
              <w:t>AGT-MDBYOD-010</w:t>
            </w:r>
          </w:p>
        </w:tc>
        <w:tc>
          <w:tcPr>
            <w:tcW w:type="dxa" w:w="4176"/>
          </w:tcPr>
          <w:p>
            <w:r>
              <w:rPr>
                <w:sz w:val="18"/>
              </w:rPr>
              <w:t>Mobile Device and BYOD Policy</w:t>
            </w:r>
          </w:p>
        </w:tc>
        <w:tc>
          <w:tcPr>
            <w:tcW w:type="dxa" w:w="3168"/>
          </w:tcPr>
          <w:p>
            <w:r>
              <w:rPr>
                <w:sz w:val="18"/>
              </w:rPr>
              <w:t>Defines device requirements referenced here</w:t>
            </w:r>
          </w:p>
        </w:tc>
      </w:tr>
      <w:tr>
        <w:tc>
          <w:tcPr>
            <w:tcW w:type="dxa" w:w="1872"/>
          </w:tcPr>
          <w:p>
            <w:r>
              <w:rPr>
                <w:sz w:val="18"/>
              </w:rPr>
              <w:t>AGT-ACP-003</w:t>
            </w:r>
          </w:p>
        </w:tc>
        <w:tc>
          <w:tcPr>
            <w:tcW w:type="dxa" w:w="4176"/>
          </w:tcPr>
          <w:p>
            <w:r>
              <w:rPr>
                <w:sz w:val="18"/>
              </w:rPr>
              <w:t>Access Control Policy</w:t>
            </w:r>
          </w:p>
        </w:tc>
        <w:tc>
          <w:tcPr>
            <w:tcW w:type="dxa" w:w="3168"/>
          </w:tcPr>
          <w:p>
            <w:r>
              <w:rPr>
                <w:sz w:val="18"/>
              </w:rPr>
              <w:t>Parent access control principles</w:t>
            </w:r>
          </w:p>
        </w:tc>
      </w:tr>
      <w:tr>
        <w:tc>
          <w:tcPr>
            <w:tcW w:type="dxa" w:w="1872"/>
          </w:tcPr>
          <w:p>
            <w:r>
              <w:rPr>
                <w:sz w:val="18"/>
              </w:rPr>
              <w:t>AGT-IRP-022</w:t>
            </w:r>
          </w:p>
        </w:tc>
        <w:tc>
          <w:tcPr>
            <w:tcW w:type="dxa" w:w="4176"/>
          </w:tcPr>
          <w:p>
            <w:r>
              <w:rPr>
                <w:sz w:val="18"/>
              </w:rPr>
              <w:t>Incident Response Plan</w:t>
            </w:r>
          </w:p>
        </w:tc>
        <w:tc>
          <w:tcPr>
            <w:tcW w:type="dxa" w:w="3168"/>
          </w:tcPr>
          <w:p>
            <w:r>
              <w:rPr>
                <w:sz w:val="18"/>
              </w:rPr>
              <w:t>Handles anomalous remote access events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AGT-RAP-005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