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Secure Software Development Lifecycle</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AGT-SSDLC-015</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how security is built into the DocuAction TEFCA ARC software lifecycle rather than tested for at the end. It covers requirements, design, implementation, verification, release, and maintenance, and it aligns with CMMI Level 3 process expectations for defined, organization-wide engineering processes.</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Lifecycle phases and security gates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fill="0F2B4C"/>
          </w:tcPr>
          <w:p>
            <w:r>
              <w:rPr>
                <w:b/>
                <w:color w:val="FFFFFF"/>
                <w:sz w:val="18"/>
              </w:rPr>
              <w:t>Phase</w:t>
            </w:r>
          </w:p>
        </w:tc>
        <w:tc>
          <w:tcPr>
            <w:tcW w:type="dxa" w:w="3312"/>
            <w:shd w:val="clear" w:fill="0F2B4C"/>
          </w:tcPr>
          <w:p>
            <w:r>
              <w:rPr>
                <w:b/>
                <w:color w:val="FFFFFF"/>
                <w:sz w:val="18"/>
              </w:rPr>
              <w:t>Security activity</w:t>
            </w:r>
          </w:p>
        </w:tc>
        <w:tc>
          <w:tcPr>
            <w:tcW w:type="dxa" w:w="2160"/>
            <w:shd w:val="clear" w:fill="0F2B4C"/>
          </w:tcPr>
          <w:p>
            <w:r>
              <w:rPr>
                <w:b/>
                <w:color w:val="FFFFFF"/>
                <w:sz w:val="18"/>
              </w:rPr>
              <w:t>Gate</w:t>
            </w:r>
          </w:p>
        </w:tc>
        <w:tc>
          <w:tcPr>
            <w:tcW w:type="dxa" w:w="1728"/>
            <w:shd w:val="clear" w:fill="0F2B4C"/>
          </w:tcPr>
          <w:p>
            <w:r>
              <w:rPr>
                <w:b/>
                <w:color w:val="FFFFFF"/>
                <w:sz w:val="18"/>
              </w:rPr>
              <w:t>Evidence</w:t>
            </w:r>
          </w:p>
        </w:tc>
      </w:tr>
      <w:tr>
        <w:tc>
          <w:tcPr>
            <w:tcW w:type="dxa" w:w="1728"/>
          </w:tcPr>
          <w:p>
            <w:r>
              <w:rPr>
                <w:sz w:val="18"/>
              </w:rPr>
              <w:t>Requirements</w:t>
            </w:r>
          </w:p>
        </w:tc>
        <w:tc>
          <w:tcPr>
            <w:tcW w:type="dxa" w:w="3312"/>
          </w:tcPr>
          <w:p>
            <w:r>
              <w:rPr>
                <w:sz w:val="18"/>
              </w:rPr>
              <w:t>Identify data classes, regulatory obligations, abuse cases</w:t>
            </w:r>
          </w:p>
        </w:tc>
        <w:tc>
          <w:tcPr>
            <w:tcW w:type="dxa" w:w="2160"/>
          </w:tcPr>
          <w:p>
            <w:r>
              <w:rPr>
                <w:sz w:val="18"/>
              </w:rPr>
              <w:t>Security requirements documented</w:t>
            </w:r>
          </w:p>
        </w:tc>
        <w:tc>
          <w:tcPr>
            <w:tcW w:type="dxa" w:w="1728"/>
          </w:tcPr>
          <w:p>
            <w:r>
              <w:rPr>
                <w:sz w:val="18"/>
              </w:rPr>
              <w:t>Requirement record</w:t>
            </w:r>
          </w:p>
        </w:tc>
      </w:tr>
      <w:tr>
        <w:tc>
          <w:tcPr>
            <w:tcW w:type="dxa" w:w="1728"/>
          </w:tcPr>
          <w:p>
            <w:r>
              <w:rPr>
                <w:sz w:val="18"/>
              </w:rPr>
              <w:t>Architecture</w:t>
            </w:r>
          </w:p>
        </w:tc>
        <w:tc>
          <w:tcPr>
            <w:tcW w:type="dxa" w:w="3312"/>
          </w:tcPr>
          <w:p>
            <w:r>
              <w:rPr>
                <w:sz w:val="18"/>
              </w:rPr>
              <w:t>Threat model; authorization boundary; data-flow review</w:t>
            </w:r>
          </w:p>
        </w:tc>
        <w:tc>
          <w:tcPr>
            <w:tcW w:type="dxa" w:w="2160"/>
          </w:tcPr>
          <w:p>
            <w:r>
              <w:rPr>
                <w:sz w:val="18"/>
              </w:rPr>
              <w:t>Threat model reviewed</w:t>
            </w:r>
          </w:p>
        </w:tc>
        <w:tc>
          <w:tcPr>
            <w:tcW w:type="dxa" w:w="1728"/>
          </w:tcPr>
          <w:p>
            <w:r>
              <w:rPr>
                <w:sz w:val="18"/>
              </w:rPr>
              <w:t>Threat model document</w:t>
            </w:r>
          </w:p>
        </w:tc>
      </w:tr>
      <w:tr>
        <w:tc>
          <w:tcPr>
            <w:tcW w:type="dxa" w:w="1728"/>
          </w:tcPr>
          <w:p>
            <w:r>
              <w:rPr>
                <w:sz w:val="18"/>
              </w:rPr>
              <w:t>Implementation</w:t>
            </w:r>
          </w:p>
        </w:tc>
        <w:tc>
          <w:tcPr>
            <w:tcW w:type="dxa" w:w="3312"/>
          </w:tcPr>
          <w:p>
            <w:r>
              <w:rPr>
                <w:sz w:val="18"/>
              </w:rPr>
              <w:t>Secure coding standards; secrets kept out of source</w:t>
            </w:r>
          </w:p>
        </w:tc>
        <w:tc>
          <w:tcPr>
            <w:tcW w:type="dxa" w:w="2160"/>
          </w:tcPr>
          <w:p>
            <w:r>
              <w:rPr>
                <w:sz w:val="18"/>
              </w:rPr>
              <w:t>Pre-commit hooks pass</w:t>
            </w:r>
          </w:p>
        </w:tc>
        <w:tc>
          <w:tcPr>
            <w:tcW w:type="dxa" w:w="1728"/>
          </w:tcPr>
          <w:p>
            <w:r>
              <w:rPr>
                <w:sz w:val="18"/>
              </w:rPr>
              <w:t>Commit history</w:t>
            </w:r>
          </w:p>
        </w:tc>
      </w:tr>
      <w:tr>
        <w:tc>
          <w:tcPr>
            <w:tcW w:type="dxa" w:w="1728"/>
          </w:tcPr>
          <w:p>
            <w:r>
              <w:rPr>
                <w:sz w:val="18"/>
              </w:rPr>
              <w:t>Code review</w:t>
            </w:r>
          </w:p>
        </w:tc>
        <w:tc>
          <w:tcPr>
            <w:tcW w:type="dxa" w:w="3312"/>
          </w:tcPr>
          <w:p>
            <w:r>
              <w:rPr>
                <w:sz w:val="18"/>
              </w:rPr>
              <w:t>Peer review with a security lens</w:t>
            </w:r>
          </w:p>
        </w:tc>
        <w:tc>
          <w:tcPr>
            <w:tcW w:type="dxa" w:w="2160"/>
          </w:tcPr>
          <w:p>
            <w:r>
              <w:rPr>
                <w:sz w:val="18"/>
              </w:rPr>
              <w:t>One approving review required</w:t>
            </w:r>
          </w:p>
        </w:tc>
        <w:tc>
          <w:tcPr>
            <w:tcW w:type="dxa" w:w="1728"/>
          </w:tcPr>
          <w:p>
            <w:r>
              <w:rPr>
                <w:sz w:val="18"/>
              </w:rPr>
              <w:t>Pull request record</w:t>
            </w:r>
          </w:p>
        </w:tc>
      </w:tr>
      <w:tr>
        <w:tc>
          <w:tcPr>
            <w:tcW w:type="dxa" w:w="1728"/>
          </w:tcPr>
          <w:p>
            <w:r>
              <w:rPr>
                <w:sz w:val="18"/>
              </w:rPr>
              <w:t>Verification</w:t>
            </w:r>
          </w:p>
        </w:tc>
        <w:tc>
          <w:tcPr>
            <w:tcW w:type="dxa" w:w="3312"/>
          </w:tcPr>
          <w:p>
            <w:r>
              <w:rPr>
                <w:sz w:val="18"/>
              </w:rPr>
              <w:t>SAST, secrets detection, dependency scan, DAST</w:t>
            </w:r>
          </w:p>
        </w:tc>
        <w:tc>
          <w:tcPr>
            <w:tcW w:type="dxa" w:w="2160"/>
          </w:tcPr>
          <w:p>
            <w:r>
              <w:rPr>
                <w:sz w:val="18"/>
              </w:rPr>
              <w:t>No Critical findings; Highs triaged</w:t>
            </w:r>
          </w:p>
        </w:tc>
        <w:tc>
          <w:tcPr>
            <w:tcW w:type="dxa" w:w="1728"/>
          </w:tcPr>
          <w:p>
            <w:r>
              <w:rPr>
                <w:sz w:val="18"/>
              </w:rPr>
              <w:t>Scan reports and SBOM</w:t>
            </w:r>
          </w:p>
        </w:tc>
      </w:tr>
      <w:tr>
        <w:tc>
          <w:tcPr>
            <w:tcW w:type="dxa" w:w="1728"/>
          </w:tcPr>
          <w:p>
            <w:r>
              <w:rPr>
                <w:sz w:val="18"/>
              </w:rPr>
              <w:t>Release</w:t>
            </w:r>
          </w:p>
        </w:tc>
        <w:tc>
          <w:tcPr>
            <w:tcW w:type="dxa" w:w="3312"/>
          </w:tcPr>
          <w:p>
            <w:r>
              <w:rPr>
                <w:sz w:val="18"/>
              </w:rPr>
              <w:t>Artifact verification; change approval</w:t>
            </w:r>
          </w:p>
        </w:tc>
        <w:tc>
          <w:tcPr>
            <w:tcW w:type="dxa" w:w="2160"/>
          </w:tcPr>
          <w:p>
            <w:r>
              <w:rPr>
                <w:sz w:val="18"/>
              </w:rPr>
              <w:t>Change record approved</w:t>
            </w:r>
          </w:p>
        </w:tc>
        <w:tc>
          <w:tcPr>
            <w:tcW w:type="dxa" w:w="1728"/>
          </w:tcPr>
          <w:p>
            <w:r>
              <w:rPr>
                <w:sz w:val="18"/>
              </w:rPr>
              <w:t>Deployment record</w:t>
            </w:r>
          </w:p>
        </w:tc>
      </w:tr>
      <w:tr>
        <w:tc>
          <w:tcPr>
            <w:tcW w:type="dxa" w:w="1728"/>
          </w:tcPr>
          <w:p>
            <w:r>
              <w:rPr>
                <w:sz w:val="18"/>
              </w:rPr>
              <w:t>Maintenance</w:t>
            </w:r>
          </w:p>
        </w:tc>
        <w:tc>
          <w:tcPr>
            <w:tcW w:type="dxa" w:w="3312"/>
          </w:tcPr>
          <w:p>
            <w:r>
              <w:rPr>
                <w:sz w:val="18"/>
              </w:rPr>
              <w:t>Vulnerability monitoring; patch management</w:t>
            </w:r>
          </w:p>
        </w:tc>
        <w:tc>
          <w:tcPr>
            <w:tcW w:type="dxa" w:w="2160"/>
          </w:tcPr>
          <w:p>
            <w:r>
              <w:rPr>
                <w:sz w:val="18"/>
              </w:rPr>
              <w:t>Nightly scan reviewed</w:t>
            </w:r>
          </w:p>
        </w:tc>
        <w:tc>
          <w:tcPr>
            <w:tcW w:type="dxa" w:w="1728"/>
          </w:tcPr>
          <w:p>
            <w:r>
              <w:rPr>
                <w:sz w:val="18"/>
              </w:rPr>
              <w:t>Scan history</w:t>
            </w:r>
          </w:p>
        </w:tc>
      </w:tr>
    </w:tbl>
    <w:p/>
    <w:p>
      <w:pPr>
        <w:pStyle w:val="Heading1"/>
      </w:pPr>
      <w:r>
        <w:t>4. Threat modelling</w:t>
      </w:r>
    </w:p>
    <w:p>
      <w:r>
        <w:t>A threat model is required for any change that introduces a new trust boundary, a new external dependency, or a new class of data. The model identifies the assets, the boundaries, the adversary, and the controls at each crossing.</w:t>
      </w:r>
    </w:p>
    <w:p>
      <w:pPr>
        <w:pStyle w:val="ListBullet"/>
      </w:pPr>
      <w:r>
        <w:t>Method: STRIDE applied to the data-flow diagram.</w:t>
      </w:r>
    </w:p>
    <w:p>
      <w:pPr>
        <w:pStyle w:val="ListBullet"/>
      </w:pPr>
      <w:r>
        <w:t>Boundaries in this system: browser to API, API to database, API to AI provider, API to Key Vault, CI/CD to Azure.</w:t>
      </w:r>
    </w:p>
    <w:p>
      <w:pPr>
        <w:pStyle w:val="ListBullet"/>
      </w:pPr>
      <w:r>
        <w:t>Each identified threat is either mitigated by a named control, accepted with documented rationale, or transferred by contract.</w:t>
      </w:r>
    </w:p>
    <w:p>
      <w:pPr>
        <w:pStyle w:val="Heading1"/>
      </w:pPr>
      <w:r>
        <w:t>5. Secure coding standards</w:t>
      </w:r>
    </w:p>
    <w:p>
      <w:pPr>
        <w:pStyle w:val="ListBullet"/>
      </w:pPr>
      <w:r>
        <w:t>Parameterized queries only. String-built SQL is a defect regardless of whether the input appears trusted.</w:t>
      </w:r>
    </w:p>
    <w:p>
      <w:pPr>
        <w:pStyle w:val="ListBullet"/>
      </w:pPr>
      <w:r>
        <w:t>Authorization enforced at the router level, not per handler, so a new endpoint inherits the requirement rather than needing to remember it.</w:t>
      </w:r>
    </w:p>
    <w:p>
      <w:pPr>
        <w:pStyle w:val="ListBullet"/>
      </w:pPr>
      <w:r>
        <w:t>No secret in source, in a committed .env, or in a log line.</w:t>
      </w:r>
    </w:p>
    <w:p>
      <w:pPr>
        <w:pStyle w:val="ListBullet"/>
      </w:pPr>
      <w:r>
        <w:t>Input validated at the boundary with typed models; output encoded for its context.</w:t>
      </w:r>
    </w:p>
    <w:p>
      <w:pPr>
        <w:pStyle w:val="ListBullet"/>
      </w:pPr>
      <w:r>
        <w:t>Errors return a correlation identifier, never a stack trace or internal path.</w:t>
      </w:r>
    </w:p>
    <w:p>
      <w:pPr>
        <w:pStyle w:val="ListBullet"/>
      </w:pPr>
      <w:r>
        <w:t>Dependencies pinned to explicit versions so a build is reproducible and auditable.</w:t>
      </w:r>
    </w:p>
    <w:p>
      <w:pPr>
        <w:pStyle w:val="ListBullet"/>
      </w:pPr>
      <w:r>
        <w:t>Route declaration order matters: a static path must be declared before a same-prefix parameterized path, or the catch-all silently shadows it.</w:t>
      </w:r>
    </w:p>
    <w:p>
      <w:pPr>
        <w:pStyle w:val="Heading1"/>
      </w:pPr>
      <w:r>
        <w:t>6. Automated verification</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fill="0F2B4C"/>
          </w:tcPr>
          <w:p>
            <w:r>
              <w:rPr>
                <w:b/>
                <w:color w:val="FFFFFF"/>
                <w:sz w:val="18"/>
              </w:rPr>
              <w:t>Control</w:t>
            </w:r>
          </w:p>
        </w:tc>
        <w:tc>
          <w:tcPr>
            <w:tcW w:type="dxa" w:w="2160"/>
            <w:shd w:val="clear" w:fill="0F2B4C"/>
          </w:tcPr>
          <w:p>
            <w:r>
              <w:rPr>
                <w:b/>
                <w:color w:val="FFFFFF"/>
                <w:sz w:val="18"/>
              </w:rPr>
              <w:t>Tool</w:t>
            </w:r>
          </w:p>
        </w:tc>
        <w:tc>
          <w:tcPr>
            <w:tcW w:type="dxa" w:w="2160"/>
            <w:shd w:val="clear" w:fill="0F2B4C"/>
          </w:tcPr>
          <w:p>
            <w:r>
              <w:rPr>
                <w:b/>
                <w:color w:val="FFFFFF"/>
                <w:sz w:val="18"/>
              </w:rPr>
              <w:t>Trigger</w:t>
            </w:r>
          </w:p>
        </w:tc>
        <w:tc>
          <w:tcPr>
            <w:tcW w:type="dxa" w:w="2448"/>
            <w:shd w:val="clear" w:fill="0F2B4C"/>
          </w:tcPr>
          <w:p>
            <w:r>
              <w:rPr>
                <w:b/>
                <w:color w:val="FFFFFF"/>
                <w:sz w:val="18"/>
              </w:rPr>
              <w:t>Failure handling</w:t>
            </w:r>
          </w:p>
        </w:tc>
      </w:tr>
      <w:tr>
        <w:tc>
          <w:tcPr>
            <w:tcW w:type="dxa" w:w="2160"/>
          </w:tcPr>
          <w:p>
            <w:r>
              <w:rPr>
                <w:sz w:val="18"/>
              </w:rPr>
              <w:t>SAST (Python)</w:t>
            </w:r>
          </w:p>
        </w:tc>
        <w:tc>
          <w:tcPr>
            <w:tcW w:type="dxa" w:w="2160"/>
          </w:tcPr>
          <w:p>
            <w:r>
              <w:rPr>
                <w:sz w:val="18"/>
              </w:rPr>
              <w:t>Bandit + AGT custom rules</w:t>
            </w:r>
          </w:p>
        </w:tc>
        <w:tc>
          <w:tcPr>
            <w:tcW w:type="dxa" w:w="2160"/>
          </w:tcPr>
          <w:p>
            <w:r>
              <w:rPr>
                <w:sz w:val="18"/>
              </w:rPr>
              <w:t>Every build and nightly</w:t>
            </w:r>
          </w:p>
        </w:tc>
        <w:tc>
          <w:tcPr>
            <w:tcW w:type="dxa" w:w="2448"/>
          </w:tcPr>
          <w:p>
            <w:r>
              <w:rPr>
                <w:sz w:val="18"/>
              </w:rPr>
              <w:t>Critical blocks release</w:t>
            </w:r>
          </w:p>
        </w:tc>
      </w:tr>
      <w:tr>
        <w:tc>
          <w:tcPr>
            <w:tcW w:type="dxa" w:w="2160"/>
          </w:tcPr>
          <w:p>
            <w:r>
              <w:rPr>
                <w:sz w:val="18"/>
              </w:rPr>
              <w:t>SAST (multi-language)</w:t>
            </w:r>
          </w:p>
        </w:tc>
        <w:tc>
          <w:tcPr>
            <w:tcW w:type="dxa" w:w="2160"/>
          </w:tcPr>
          <w:p>
            <w:r>
              <w:rPr>
                <w:sz w:val="18"/>
              </w:rPr>
              <w:t>Semgrep</w:t>
            </w:r>
          </w:p>
        </w:tc>
        <w:tc>
          <w:tcPr>
            <w:tcW w:type="dxa" w:w="2160"/>
          </w:tcPr>
          <w:p>
            <w:r>
              <w:rPr>
                <w:sz w:val="18"/>
              </w:rPr>
              <w:t>Nightly</w:t>
            </w:r>
          </w:p>
        </w:tc>
        <w:tc>
          <w:tcPr>
            <w:tcW w:type="dxa" w:w="2448"/>
          </w:tcPr>
          <w:p>
            <w:r>
              <w:rPr>
                <w:sz w:val="18"/>
              </w:rPr>
              <w:t>Currently non-functional on Windows - see note</w:t>
            </w:r>
          </w:p>
        </w:tc>
      </w:tr>
      <w:tr>
        <w:tc>
          <w:tcPr>
            <w:tcW w:type="dxa" w:w="2160"/>
          </w:tcPr>
          <w:p>
            <w:r>
              <w:rPr>
                <w:sz w:val="18"/>
              </w:rPr>
              <w:t>Secrets detection</w:t>
            </w:r>
          </w:p>
        </w:tc>
        <w:tc>
          <w:tcPr>
            <w:tcW w:type="dxa" w:w="2160"/>
          </w:tcPr>
          <w:p>
            <w:r>
              <w:rPr>
                <w:sz w:val="18"/>
              </w:rPr>
              <w:t>Gitleaks</w:t>
            </w:r>
          </w:p>
        </w:tc>
        <w:tc>
          <w:tcPr>
            <w:tcW w:type="dxa" w:w="2160"/>
          </w:tcPr>
          <w:p>
            <w:r>
              <w:rPr>
                <w:sz w:val="18"/>
              </w:rPr>
              <w:t>Every build and nightly</w:t>
            </w:r>
          </w:p>
        </w:tc>
        <w:tc>
          <w:tcPr>
            <w:tcW w:type="dxa" w:w="2448"/>
          </w:tcPr>
          <w:p>
            <w:r>
              <w:rPr>
                <w:sz w:val="18"/>
              </w:rPr>
              <w:t>Any finding blocks release</w:t>
            </w:r>
          </w:p>
        </w:tc>
      </w:tr>
      <w:tr>
        <w:tc>
          <w:tcPr>
            <w:tcW w:type="dxa" w:w="2160"/>
          </w:tcPr>
          <w:p>
            <w:r>
              <w:rPr>
                <w:sz w:val="18"/>
              </w:rPr>
              <w:t>Dependency scan (Python)</w:t>
            </w:r>
          </w:p>
        </w:tc>
        <w:tc>
          <w:tcPr>
            <w:tcW w:type="dxa" w:w="2160"/>
          </w:tcPr>
          <w:p>
            <w:r>
              <w:rPr>
                <w:sz w:val="18"/>
              </w:rPr>
              <w:t>pip-audit</w:t>
            </w:r>
          </w:p>
        </w:tc>
        <w:tc>
          <w:tcPr>
            <w:tcW w:type="dxa" w:w="2160"/>
          </w:tcPr>
          <w:p>
            <w:r>
              <w:rPr>
                <w:sz w:val="18"/>
              </w:rPr>
              <w:t>Every build and nightly</w:t>
            </w:r>
          </w:p>
        </w:tc>
        <w:tc>
          <w:tcPr>
            <w:tcW w:type="dxa" w:w="2448"/>
          </w:tcPr>
          <w:p>
            <w:r>
              <w:rPr>
                <w:sz w:val="18"/>
              </w:rPr>
              <w:t>Critical blocks release</w:t>
            </w:r>
          </w:p>
        </w:tc>
      </w:tr>
      <w:tr>
        <w:tc>
          <w:tcPr>
            <w:tcW w:type="dxa" w:w="2160"/>
          </w:tcPr>
          <w:p>
            <w:r>
              <w:rPr>
                <w:sz w:val="18"/>
              </w:rPr>
              <w:t>Dependency scan (JS)</w:t>
            </w:r>
          </w:p>
        </w:tc>
        <w:tc>
          <w:tcPr>
            <w:tcW w:type="dxa" w:w="2160"/>
          </w:tcPr>
          <w:p>
            <w:r>
              <w:rPr>
                <w:sz w:val="18"/>
              </w:rPr>
              <w:t>npm audit</w:t>
            </w:r>
          </w:p>
        </w:tc>
        <w:tc>
          <w:tcPr>
            <w:tcW w:type="dxa" w:w="2160"/>
          </w:tcPr>
          <w:p>
            <w:r>
              <w:rPr>
                <w:sz w:val="18"/>
              </w:rPr>
              <w:t>Every build</w:t>
            </w:r>
          </w:p>
        </w:tc>
        <w:tc>
          <w:tcPr>
            <w:tcW w:type="dxa" w:w="2448"/>
          </w:tcPr>
          <w:p>
            <w:r>
              <w:rPr>
                <w:sz w:val="18"/>
              </w:rPr>
              <w:t>High triaged within 7 days</w:t>
            </w:r>
          </w:p>
        </w:tc>
      </w:tr>
      <w:tr>
        <w:tc>
          <w:tcPr>
            <w:tcW w:type="dxa" w:w="2160"/>
          </w:tcPr>
          <w:p>
            <w:r>
              <w:rPr>
                <w:sz w:val="18"/>
              </w:rPr>
              <w:t>SBOM</w:t>
            </w:r>
          </w:p>
        </w:tc>
        <w:tc>
          <w:tcPr>
            <w:tcW w:type="dxa" w:w="2160"/>
          </w:tcPr>
          <w:p>
            <w:r>
              <w:rPr>
                <w:sz w:val="18"/>
              </w:rPr>
              <w:t>CycloneDX</w:t>
            </w:r>
          </w:p>
        </w:tc>
        <w:tc>
          <w:tcPr>
            <w:tcW w:type="dxa" w:w="2160"/>
          </w:tcPr>
          <w:p>
            <w:r>
              <w:rPr>
                <w:sz w:val="18"/>
              </w:rPr>
              <w:t>Every full scan</w:t>
            </w:r>
          </w:p>
        </w:tc>
        <w:tc>
          <w:tcPr>
            <w:tcW w:type="dxa" w:w="2448"/>
          </w:tcPr>
          <w:p>
            <w:r>
              <w:rPr>
                <w:sz w:val="18"/>
              </w:rPr>
              <w:t>Absence blocks release</w:t>
            </w:r>
          </w:p>
        </w:tc>
      </w:tr>
      <w:tr>
        <w:tc>
          <w:tcPr>
            <w:tcW w:type="dxa" w:w="2160"/>
          </w:tcPr>
          <w:p>
            <w:r>
              <w:rPr>
                <w:sz w:val="18"/>
              </w:rPr>
              <w:t>DAST</w:t>
            </w:r>
          </w:p>
        </w:tc>
        <w:tc>
          <w:tcPr>
            <w:tcW w:type="dxa" w:w="2160"/>
          </w:tcPr>
          <w:p>
            <w:r>
              <w:rPr>
                <w:sz w:val="18"/>
              </w:rPr>
              <w:t>AGT DAST suite</w:t>
            </w:r>
          </w:p>
        </w:tc>
        <w:tc>
          <w:tcPr>
            <w:tcW w:type="dxa" w:w="2160"/>
          </w:tcPr>
          <w:p>
            <w:r>
              <w:rPr>
                <w:sz w:val="18"/>
              </w:rPr>
              <w:t>Against dev only</w:t>
            </w:r>
          </w:p>
        </w:tc>
        <w:tc>
          <w:tcPr>
            <w:tcW w:type="dxa" w:w="2448"/>
          </w:tcPr>
          <w:p>
            <w:r>
              <w:rPr>
                <w:sz w:val="18"/>
              </w:rPr>
              <w:t>Never run against production</w:t>
            </w:r>
          </w:p>
        </w:tc>
      </w:tr>
      <w:tr>
        <w:tc>
          <w:tcPr>
            <w:tcW w:type="dxa" w:w="2160"/>
          </w:tcPr>
          <w:p>
            <w:r>
              <w:rPr>
                <w:sz w:val="18"/>
              </w:rPr>
              <w:t>Code scanning</w:t>
            </w:r>
          </w:p>
        </w:tc>
        <w:tc>
          <w:tcPr>
            <w:tcW w:type="dxa" w:w="2160"/>
          </w:tcPr>
          <w:p>
            <w:r>
              <w:rPr>
                <w:sz w:val="18"/>
              </w:rPr>
              <w:t>GitHub CodeQL</w:t>
            </w:r>
          </w:p>
        </w:tc>
        <w:tc>
          <w:tcPr>
            <w:tcW w:type="dxa" w:w="2160"/>
          </w:tcPr>
          <w:p>
            <w:r>
              <w:rPr>
                <w:sz w:val="18"/>
              </w:rPr>
              <w:t>Push and pull request</w:t>
            </w:r>
          </w:p>
        </w:tc>
        <w:tc>
          <w:tcPr>
            <w:tcW w:type="dxa" w:w="2448"/>
          </w:tcPr>
          <w:p>
            <w:r>
              <w:rPr>
                <w:sz w:val="18"/>
              </w:rPr>
              <w:t>Alerts triaged</w:t>
            </w:r>
          </w:p>
        </w:tc>
      </w:tr>
    </w:tbl>
    <w:p/>
    <w:p>
      <w:r>
        <w:rPr>
          <w:i/>
          <w:color w:val="5A5A5A"/>
          <w:sz w:val="19"/>
        </w:rPr>
        <w:t>Semgrep is installed but has never produced a result on this codebase because no semgrep-core build exists for the development platform. Every security score AGT reports is therefore missing one scanner's coverage. This is stated in the gate output rather than omitted, because a coverage gap that is not reported reads as a clean result.</w:t>
      </w:r>
    </w:p>
    <w:p>
      <w:pPr>
        <w:pStyle w:val="Heading1"/>
      </w:pPr>
      <w:r>
        <w:t>7. CI/CD security</w:t>
      </w:r>
    </w:p>
    <w:p>
      <w:pPr>
        <w:pStyle w:val="ListBullet"/>
      </w:pPr>
      <w:r>
        <w:t>Pipelines are defined as code and reviewed like application code.</w:t>
      </w:r>
    </w:p>
    <w:p>
      <w:pPr>
        <w:pStyle w:val="ListBullet"/>
      </w:pPr>
      <w:r>
        <w:t>Deployment credentials are GitHub environment secrets scoped to the resource groups they deploy to, never subscription-wide.</w:t>
      </w:r>
    </w:p>
    <w:p>
      <w:pPr>
        <w:pStyle w:val="ListBullet"/>
      </w:pPr>
      <w:r>
        <w:t>Production deployment requires an environment approval; a tag push builds and retains an artifact but does not deploy.</w:t>
      </w:r>
    </w:p>
    <w:p>
      <w:pPr>
        <w:pStyle w:val="ListBullet"/>
      </w:pPr>
      <w:r>
        <w:t>The build verifies its own artifact before upload: no .env file present, the expected runtime dependencies present, no duplicate package metadata.</w:t>
      </w:r>
    </w:p>
    <w:p>
      <w:pPr>
        <w:pStyle w:val="ListBullet"/>
      </w:pPr>
      <w:r>
        <w:t>Application runtime secrets never enter the pipeline; they are resolved at runtime from Key Vault by managed identity.</w:t>
      </w:r>
    </w:p>
    <w:p>
      <w:pPr>
        <w:pStyle w:val="Heading1"/>
      </w:pPr>
      <w:r>
        <w:t>8. Release management</w:t>
      </w:r>
    </w:p>
    <w:tbl>
      <w:tblPr>
        <w:tblStyle w:val="TableGrid"/>
        <w:tblW w:type="auto" w:w="0"/>
        <w:tblLook w:firstColumn="1" w:firstRow="1" w:lastColumn="0" w:lastRow="0" w:noHBand="0" w:noVBand="1" w:val="04A0"/>
      </w:tblPr>
      <w:tblGrid>
        <w:gridCol w:w="4680"/>
        <w:gridCol w:w="4680"/>
      </w:tblGrid>
      <w:tr>
        <w:tc>
          <w:tcPr>
            <w:tcW w:type="dxa" w:w="2304"/>
            <w:shd w:val="clear" w:fill="0F2B4C"/>
          </w:tcPr>
          <w:p>
            <w:r>
              <w:rPr>
                <w:b/>
                <w:color w:val="FFFFFF"/>
                <w:sz w:val="18"/>
              </w:rPr>
              <w:t>Requirement</w:t>
            </w:r>
          </w:p>
        </w:tc>
        <w:tc>
          <w:tcPr>
            <w:tcW w:type="dxa" w:w="6624"/>
            <w:shd w:val="clear" w:fill="0F2B4C"/>
          </w:tcPr>
          <w:p>
            <w:r>
              <w:rPr>
                <w:b/>
                <w:color w:val="FFFFFF"/>
                <w:sz w:val="18"/>
              </w:rPr>
              <w:t>Detail</w:t>
            </w:r>
          </w:p>
        </w:tc>
      </w:tr>
      <w:tr>
        <w:tc>
          <w:tcPr>
            <w:tcW w:type="dxa" w:w="2304"/>
          </w:tcPr>
          <w:p>
            <w:r>
              <w:rPr>
                <w:sz w:val="18"/>
              </w:rPr>
              <w:t>Versioning</w:t>
            </w:r>
          </w:p>
        </w:tc>
        <w:tc>
          <w:tcPr>
            <w:tcW w:type="dxa" w:w="6624"/>
          </w:tcPr>
          <w:p>
            <w:r>
              <w:rPr>
                <w:sz w:val="18"/>
              </w:rPr>
              <w:t>Annotated git tag; the tag is the deployable unit</w:t>
            </w:r>
          </w:p>
        </w:tc>
      </w:tr>
      <w:tr>
        <w:tc>
          <w:tcPr>
            <w:tcW w:type="dxa" w:w="2304"/>
          </w:tcPr>
          <w:p>
            <w:r>
              <w:rPr>
                <w:sz w:val="18"/>
              </w:rPr>
              <w:t>Artifact provenance</w:t>
            </w:r>
          </w:p>
        </w:tc>
        <w:tc>
          <w:tcPr>
            <w:tcW w:type="dxa" w:w="6624"/>
          </w:tcPr>
          <w:p>
            <w:r>
              <w:rPr>
                <w:sz w:val="18"/>
              </w:rPr>
              <w:t>Built from the tagged commit, reproducibly</w:t>
            </w:r>
          </w:p>
        </w:tc>
      </w:tr>
      <w:tr>
        <w:tc>
          <w:tcPr>
            <w:tcW w:type="dxa" w:w="2304"/>
          </w:tcPr>
          <w:p>
            <w:r>
              <w:rPr>
                <w:sz w:val="18"/>
              </w:rPr>
              <w:t>Environment order</w:t>
            </w:r>
          </w:p>
        </w:tc>
        <w:tc>
          <w:tcPr>
            <w:tcW w:type="dxa" w:w="6624"/>
          </w:tcPr>
          <w:p>
            <w:r>
              <w:rPr>
                <w:sz w:val="18"/>
              </w:rPr>
              <w:t>Dev first, verified, then production</w:t>
            </w:r>
          </w:p>
        </w:tc>
      </w:tr>
      <w:tr>
        <w:tc>
          <w:tcPr>
            <w:tcW w:type="dxa" w:w="2304"/>
          </w:tcPr>
          <w:p>
            <w:r>
              <w:rPr>
                <w:sz w:val="18"/>
              </w:rPr>
              <w:t>Production deployment</w:t>
            </w:r>
          </w:p>
        </w:tc>
        <w:tc>
          <w:tcPr>
            <w:tcW w:type="dxa" w:w="6624"/>
          </w:tcPr>
          <w:p>
            <w:r>
              <w:rPr>
                <w:sz w:val="18"/>
              </w:rPr>
              <w:t>Replaces rather than overlays, so stale components cannot persist</w:t>
            </w:r>
          </w:p>
        </w:tc>
      </w:tr>
      <w:tr>
        <w:tc>
          <w:tcPr>
            <w:tcW w:type="dxa" w:w="2304"/>
          </w:tcPr>
          <w:p>
            <w:r>
              <w:rPr>
                <w:sz w:val="18"/>
              </w:rPr>
              <w:t>Dev deployment</w:t>
            </w:r>
          </w:p>
        </w:tc>
        <w:tc>
          <w:tcPr>
            <w:tcW w:type="dxa" w:w="6624"/>
          </w:tcPr>
          <w:p>
            <w:r>
              <w:rPr>
                <w:sz w:val="18"/>
              </w:rPr>
              <w:t>Build-on-deploy; must not use the replace flag, which removes the build manifest</w:t>
            </w:r>
          </w:p>
        </w:tc>
      </w:tr>
      <w:tr>
        <w:tc>
          <w:tcPr>
            <w:tcW w:type="dxa" w:w="2304"/>
          </w:tcPr>
          <w:p>
            <w:r>
              <w:rPr>
                <w:sz w:val="18"/>
              </w:rPr>
              <w:t>Rollback</w:t>
            </w:r>
          </w:p>
        </w:tc>
        <w:tc>
          <w:tcPr>
            <w:tcW w:type="dxa" w:w="6624"/>
          </w:tcPr>
          <w:p>
            <w:r>
              <w:rPr>
                <w:sz w:val="18"/>
              </w:rPr>
              <w:t>Redeploy the previous tag; documented in AGT-ChMP-017</w:t>
            </w:r>
          </w:p>
        </w:tc>
      </w:tr>
      <w:tr>
        <w:tc>
          <w:tcPr>
            <w:tcW w:type="dxa" w:w="2304"/>
          </w:tcPr>
          <w:p>
            <w:r>
              <w:rPr>
                <w:sz w:val="18"/>
              </w:rPr>
              <w:t>Verification</w:t>
            </w:r>
          </w:p>
        </w:tc>
        <w:tc>
          <w:tcPr>
            <w:tcW w:type="dxa" w:w="6624"/>
          </w:tcPr>
          <w:p>
            <w:r>
              <w:rPr>
                <w:sz w:val="18"/>
              </w:rPr>
              <w:t>Health endpoint plus a functional probe unique to the new build</w:t>
            </w:r>
          </w:p>
        </w:tc>
      </w:tr>
    </w:tbl>
    <w:p/>
    <w:p>
      <w:r>
        <w:t>A health endpoint alone does not verify a deployment. It answers successfully from the previous build throughout, so the only reliable confirmation is an endpoint or behaviour that exists solely in the new version.</w:t>
      </w:r>
    </w:p>
    <w:p>
      <w:pPr>
        <w:pStyle w:val="Heading1"/>
      </w:pPr>
      <w:r>
        <w:t>9. CMMI Level 3 alignment</w:t>
      </w:r>
    </w:p>
    <w:tbl>
      <w:tblPr>
        <w:tblStyle w:val="TableGrid"/>
        <w:tblW w:type="auto" w:w="0"/>
        <w:tblLook w:firstColumn="1" w:firstRow="1" w:lastColumn="0" w:lastRow="0" w:noHBand="0" w:noVBand="1" w:val="04A0"/>
      </w:tblPr>
      <w:tblGrid>
        <w:gridCol w:w="4680"/>
        <w:gridCol w:w="4680"/>
      </w:tblGrid>
      <w:tr>
        <w:tc>
          <w:tcPr>
            <w:tcW w:type="dxa" w:w="2880"/>
            <w:shd w:val="clear" w:fill="0F2B4C"/>
          </w:tcPr>
          <w:p>
            <w:r>
              <w:rPr>
                <w:b/>
                <w:color w:val="FFFFFF"/>
                <w:sz w:val="18"/>
              </w:rPr>
              <w:t>Process area</w:t>
            </w:r>
          </w:p>
        </w:tc>
        <w:tc>
          <w:tcPr>
            <w:tcW w:type="dxa" w:w="6048"/>
            <w:shd w:val="clear" w:fill="0F2B4C"/>
          </w:tcPr>
          <w:p>
            <w:r>
              <w:rPr>
                <w:b/>
                <w:color w:val="FFFFFF"/>
                <w:sz w:val="18"/>
              </w:rPr>
              <w:t>How this policy satisfies it</w:t>
            </w:r>
          </w:p>
        </w:tc>
      </w:tr>
      <w:tr>
        <w:tc>
          <w:tcPr>
            <w:tcW w:type="dxa" w:w="2880"/>
          </w:tcPr>
          <w:p>
            <w:r>
              <w:rPr>
                <w:sz w:val="18"/>
              </w:rPr>
              <w:t>RD - Requirements Development</w:t>
            </w:r>
          </w:p>
        </w:tc>
        <w:tc>
          <w:tcPr>
            <w:tcW w:type="dxa" w:w="6048"/>
          </w:tcPr>
          <w:p>
            <w:r>
              <w:rPr>
                <w:sz w:val="18"/>
              </w:rPr>
              <w:t>Security requirements are elicited per section 3</w:t>
            </w:r>
          </w:p>
        </w:tc>
      </w:tr>
      <w:tr>
        <w:tc>
          <w:tcPr>
            <w:tcW w:type="dxa" w:w="2880"/>
          </w:tcPr>
          <w:p>
            <w:r>
              <w:rPr>
                <w:sz w:val="18"/>
              </w:rPr>
              <w:t>TS - Technical Solution</w:t>
            </w:r>
          </w:p>
        </w:tc>
        <w:tc>
          <w:tcPr>
            <w:tcW w:type="dxa" w:w="6048"/>
          </w:tcPr>
          <w:p>
            <w:r>
              <w:rPr>
                <w:sz w:val="18"/>
              </w:rPr>
              <w:t>Secure design and coding standards in sections 4 and 5</w:t>
            </w:r>
          </w:p>
        </w:tc>
      </w:tr>
      <w:tr>
        <w:tc>
          <w:tcPr>
            <w:tcW w:type="dxa" w:w="2880"/>
          </w:tcPr>
          <w:p>
            <w:r>
              <w:rPr>
                <w:sz w:val="18"/>
              </w:rPr>
              <w:t>VER - Verification</w:t>
            </w:r>
          </w:p>
        </w:tc>
        <w:tc>
          <w:tcPr>
            <w:tcW w:type="dxa" w:w="6048"/>
          </w:tcPr>
          <w:p>
            <w:r>
              <w:rPr>
                <w:sz w:val="18"/>
              </w:rPr>
              <w:t>Peer review and automated scanning in sections 3 and 6</w:t>
            </w:r>
          </w:p>
        </w:tc>
      </w:tr>
      <w:tr>
        <w:tc>
          <w:tcPr>
            <w:tcW w:type="dxa" w:w="2880"/>
          </w:tcPr>
          <w:p>
            <w:r>
              <w:rPr>
                <w:sz w:val="18"/>
              </w:rPr>
              <w:t>VAL - Validation</w:t>
            </w:r>
          </w:p>
        </w:tc>
        <w:tc>
          <w:tcPr>
            <w:tcW w:type="dxa" w:w="6048"/>
          </w:tcPr>
          <w:p>
            <w:r>
              <w:rPr>
                <w:sz w:val="18"/>
              </w:rPr>
              <w:t>DAST and functional verification against dev</w:t>
            </w:r>
          </w:p>
        </w:tc>
      </w:tr>
      <w:tr>
        <w:tc>
          <w:tcPr>
            <w:tcW w:type="dxa" w:w="2880"/>
          </w:tcPr>
          <w:p>
            <w:r>
              <w:rPr>
                <w:sz w:val="18"/>
              </w:rPr>
              <w:t>CM - Configuration Management</w:t>
            </w:r>
          </w:p>
        </w:tc>
        <w:tc>
          <w:tcPr>
            <w:tcW w:type="dxa" w:w="6048"/>
          </w:tcPr>
          <w:p>
            <w:r>
              <w:rPr>
                <w:sz w:val="18"/>
              </w:rPr>
              <w:t>Versioned artifacts and baselines; see AGT-CfMP-016</w:t>
            </w:r>
          </w:p>
        </w:tc>
      </w:tr>
      <w:tr>
        <w:tc>
          <w:tcPr>
            <w:tcW w:type="dxa" w:w="2880"/>
          </w:tcPr>
          <w:p>
            <w:r>
              <w:rPr>
                <w:sz w:val="18"/>
              </w:rPr>
              <w:t>PPQA - Process and Product QA</w:t>
            </w:r>
          </w:p>
        </w:tc>
        <w:tc>
          <w:tcPr>
            <w:tcW w:type="dxa" w:w="6048"/>
          </w:tcPr>
          <w:p>
            <w:r>
              <w:rPr>
                <w:sz w:val="18"/>
              </w:rPr>
              <w:t>Gate enforcement and evidence retention</w:t>
            </w:r>
          </w:p>
        </w:tc>
      </w:tr>
      <w:tr>
        <w:tc>
          <w:tcPr>
            <w:tcW w:type="dxa" w:w="2880"/>
          </w:tcPr>
          <w:p>
            <w:r>
              <w:rPr>
                <w:sz w:val="18"/>
              </w:rPr>
              <w:t>OPD - Organizational Process Definition</w:t>
            </w:r>
          </w:p>
        </w:tc>
        <w:tc>
          <w:tcPr>
            <w:tcW w:type="dxa" w:w="6048"/>
          </w:tcPr>
          <w:p>
            <w:r>
              <w:rPr>
                <w:sz w:val="18"/>
              </w:rPr>
              <w:t>This document is the defined process</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Engineering</w:t>
            </w:r>
          </w:p>
        </w:tc>
        <w:tc>
          <w:tcPr>
            <w:tcW w:type="dxa" w:w="6336"/>
          </w:tcPr>
          <w:p>
            <w:r>
              <w:rPr>
                <w:sz w:val="18"/>
              </w:rPr>
              <w:t>Implements the lifecycle; remediates findings; maintains pipelines.</w:t>
            </w:r>
          </w:p>
        </w:tc>
      </w:tr>
      <w:tr>
        <w:tc>
          <w:tcPr>
            <w:tcW w:type="dxa" w:w="2592"/>
          </w:tcPr>
          <w:p>
            <w:r>
              <w:rPr>
                <w:sz w:val="18"/>
              </w:rPr>
              <w:t>Security Officer</w:t>
            </w:r>
          </w:p>
        </w:tc>
        <w:tc>
          <w:tcPr>
            <w:tcW w:type="dxa" w:w="6336"/>
          </w:tcPr>
          <w:p>
            <w:r>
              <w:rPr>
                <w:sz w:val="18"/>
              </w:rPr>
              <w:t>Owns scanning configuration; triages findings; approves gate exceptions.</w:t>
            </w:r>
          </w:p>
        </w:tc>
      </w:tr>
      <w:tr>
        <w:tc>
          <w:tcPr>
            <w:tcW w:type="dxa" w:w="2592"/>
          </w:tcPr>
          <w:p>
            <w:r>
              <w:rPr>
                <w:sz w:val="18"/>
              </w:rPr>
              <w:t>CEO</w:t>
            </w:r>
          </w:p>
        </w:tc>
        <w:tc>
          <w:tcPr>
            <w:tcW w:type="dxa" w:w="6336"/>
          </w:tcPr>
          <w:p>
            <w:r>
              <w:rPr>
                <w:sz w:val="18"/>
              </w:rPr>
              <w:t>Approves release when a gate exception is required.</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SA-3, SA-8, SA-11, SA-15</w:t>
            </w:r>
          </w:p>
        </w:tc>
        <w:tc>
          <w:tcPr>
            <w:tcW w:type="dxa" w:w="4320"/>
          </w:tcPr>
          <w:p>
            <w:r>
              <w:rPr>
                <w:sz w:val="18"/>
              </w:rPr>
              <w:t>SDLC, security engineering principles, developer testing, development process.</w:t>
            </w:r>
          </w:p>
        </w:tc>
        <w:tc>
          <w:tcPr>
            <w:tcW w:type="dxa" w:w="1152"/>
          </w:tcPr>
          <w:p>
            <w:r>
              <w:rPr>
                <w:sz w:val="18"/>
              </w:rPr>
              <w:t>Met</w:t>
            </w:r>
          </w:p>
        </w:tc>
      </w:tr>
      <w:tr>
        <w:tc>
          <w:tcPr>
            <w:tcW w:type="dxa" w:w="1584"/>
          </w:tcPr>
          <w:p>
            <w:r>
              <w:rPr>
                <w:sz w:val="18"/>
              </w:rPr>
              <w:t>NIST 800-53</w:t>
            </w:r>
          </w:p>
        </w:tc>
        <w:tc>
          <w:tcPr>
            <w:tcW w:type="dxa" w:w="2160"/>
          </w:tcPr>
          <w:p>
            <w:r>
              <w:rPr>
                <w:sz w:val="18"/>
              </w:rPr>
              <w:t>SI-2, RA-5</w:t>
            </w:r>
          </w:p>
        </w:tc>
        <w:tc>
          <w:tcPr>
            <w:tcW w:type="dxa" w:w="4320"/>
          </w:tcPr>
          <w:p>
            <w:r>
              <w:rPr>
                <w:sz w:val="18"/>
              </w:rPr>
              <w:t>Flaw remediation and vulnerability scanning.</w:t>
            </w:r>
          </w:p>
        </w:tc>
        <w:tc>
          <w:tcPr>
            <w:tcW w:type="dxa" w:w="1152"/>
          </w:tcPr>
          <w:p>
            <w:r>
              <w:rPr>
                <w:sz w:val="18"/>
              </w:rPr>
              <w:t>Met</w:t>
            </w:r>
          </w:p>
        </w:tc>
      </w:tr>
      <w:tr>
        <w:tc>
          <w:tcPr>
            <w:tcW w:type="dxa" w:w="1584"/>
          </w:tcPr>
          <w:p>
            <w:r>
              <w:rPr>
                <w:sz w:val="18"/>
              </w:rPr>
              <w:t>NIST SSDF</w:t>
            </w:r>
          </w:p>
        </w:tc>
        <w:tc>
          <w:tcPr>
            <w:tcW w:type="dxa" w:w="2160"/>
          </w:tcPr>
          <w:p>
            <w:r>
              <w:rPr>
                <w:sz w:val="18"/>
              </w:rPr>
              <w:t>PO, PS, PW, RV</w:t>
            </w:r>
          </w:p>
        </w:tc>
        <w:tc>
          <w:tcPr>
            <w:tcW w:type="dxa" w:w="4320"/>
          </w:tcPr>
          <w:p>
            <w:r>
              <w:rPr>
                <w:sz w:val="18"/>
              </w:rPr>
              <w:t>Prepare, protect, produce, respond practices.</w:t>
            </w:r>
          </w:p>
        </w:tc>
        <w:tc>
          <w:tcPr>
            <w:tcW w:type="dxa" w:w="1152"/>
          </w:tcPr>
          <w:p>
            <w:r>
              <w:rPr>
                <w:sz w:val="18"/>
              </w:rPr>
              <w:t>Met</w:t>
            </w:r>
          </w:p>
        </w:tc>
      </w:tr>
      <w:tr>
        <w:tc>
          <w:tcPr>
            <w:tcW w:type="dxa" w:w="1584"/>
          </w:tcPr>
          <w:p>
            <w:r>
              <w:rPr>
                <w:sz w:val="18"/>
              </w:rPr>
              <w:t>HIPAA</w:t>
            </w:r>
          </w:p>
        </w:tc>
        <w:tc>
          <w:tcPr>
            <w:tcW w:type="dxa" w:w="2160"/>
          </w:tcPr>
          <w:p>
            <w:r>
              <w:rPr>
                <w:sz w:val="18"/>
              </w:rPr>
              <w:t>164.308(a)(1)(ii)(B)</w:t>
            </w:r>
          </w:p>
        </w:tc>
        <w:tc>
          <w:tcPr>
            <w:tcW w:type="dxa" w:w="4320"/>
          </w:tcPr>
          <w:p>
            <w:r>
              <w:rPr>
                <w:sz w:val="18"/>
              </w:rPr>
              <w:t>Security measures reducing risk in developed software.</w:t>
            </w:r>
          </w:p>
        </w:tc>
        <w:tc>
          <w:tcPr>
            <w:tcW w:type="dxa" w:w="1152"/>
          </w:tcPr>
          <w:p>
            <w:r>
              <w:rPr>
                <w:sz w:val="18"/>
              </w:rPr>
              <w:t>Met</w:t>
            </w:r>
          </w:p>
        </w:tc>
      </w:tr>
      <w:tr>
        <w:tc>
          <w:tcPr>
            <w:tcW w:type="dxa" w:w="1584"/>
          </w:tcPr>
          <w:p>
            <w:r>
              <w:rPr>
                <w:sz w:val="18"/>
              </w:rPr>
              <w:t>SOC 2</w:t>
            </w:r>
          </w:p>
        </w:tc>
        <w:tc>
          <w:tcPr>
            <w:tcW w:type="dxa" w:w="2160"/>
          </w:tcPr>
          <w:p>
            <w:r>
              <w:rPr>
                <w:sz w:val="18"/>
              </w:rPr>
              <w:t>CC8.1</w:t>
            </w:r>
          </w:p>
        </w:tc>
        <w:tc>
          <w:tcPr>
            <w:tcW w:type="dxa" w:w="4320"/>
          </w:tcPr>
          <w:p>
            <w:r>
              <w:rPr>
                <w:sz w:val="18"/>
              </w:rPr>
              <w:t>Change management for system development.</w:t>
            </w:r>
          </w:p>
        </w:tc>
        <w:tc>
          <w:tcPr>
            <w:tcW w:type="dxa" w:w="1152"/>
          </w:tcPr>
          <w:p>
            <w:r>
              <w:rPr>
                <w:sz w:val="18"/>
              </w:rPr>
              <w:t>Met</w:t>
            </w:r>
          </w:p>
        </w:tc>
      </w:tr>
      <w:tr>
        <w:tc>
          <w:tcPr>
            <w:tcW w:type="dxa" w:w="1584"/>
          </w:tcPr>
          <w:p>
            <w:r>
              <w:rPr>
                <w:sz w:val="18"/>
              </w:rPr>
              <w:t>ISO 27001</w:t>
            </w:r>
          </w:p>
        </w:tc>
        <w:tc>
          <w:tcPr>
            <w:tcW w:type="dxa" w:w="2160"/>
          </w:tcPr>
          <w:p>
            <w:r>
              <w:rPr>
                <w:sz w:val="18"/>
              </w:rPr>
              <w:t>A.8.25, A.8.26, A.8.27, A.8.28, A.8.29</w:t>
            </w:r>
          </w:p>
        </w:tc>
        <w:tc>
          <w:tcPr>
            <w:tcW w:type="dxa" w:w="4320"/>
          </w:tcPr>
          <w:p>
            <w:r>
              <w:rPr>
                <w:sz w:val="18"/>
              </w:rPr>
              <w:t>Secure development lifecycle, requirements, architecture, coding, testing.</w:t>
            </w:r>
          </w:p>
        </w:tc>
        <w:tc>
          <w:tcPr>
            <w:tcW w:type="dxa" w:w="1152"/>
          </w:tcPr>
          <w:p>
            <w:r>
              <w:rPr>
                <w:sz w:val="18"/>
              </w:rPr>
              <w:t>Met</w:t>
            </w:r>
          </w:p>
        </w:tc>
      </w:tr>
      <w:tr>
        <w:tc>
          <w:tcPr>
            <w:tcW w:type="dxa" w:w="1584"/>
          </w:tcPr>
          <w:p>
            <w:r>
              <w:rPr>
                <w:sz w:val="18"/>
              </w:rPr>
              <w:t>CMMI L3</w:t>
            </w:r>
          </w:p>
        </w:tc>
        <w:tc>
          <w:tcPr>
            <w:tcW w:type="dxa" w:w="2160"/>
          </w:tcPr>
          <w:p>
            <w:r>
              <w:rPr>
                <w:sz w:val="18"/>
              </w:rPr>
              <w:t>RD, TS, VER, VAL, CM, PPQA, OPD</w:t>
            </w:r>
          </w:p>
        </w:tc>
        <w:tc>
          <w:tcPr>
            <w:tcW w:type="dxa" w:w="4320"/>
          </w:tcPr>
          <w:p>
            <w:r>
              <w:rPr>
                <w:sz w:val="18"/>
              </w:rPr>
              <w:t>Defined engineering process across the lifecycle.</w:t>
            </w:r>
          </w:p>
        </w:tc>
        <w:tc>
          <w:tcPr>
            <w:tcW w:type="dxa" w:w="1152"/>
          </w:tcPr>
          <w:p>
            <w:r>
              <w:rPr>
                <w:sz w:val="18"/>
              </w:rPr>
              <w:t>Met</w:t>
            </w:r>
          </w:p>
        </w:tc>
      </w:tr>
      <w:tr>
        <w:tc>
          <w:tcPr>
            <w:tcW w:type="dxa" w:w="1584"/>
          </w:tcPr>
          <w:p>
            <w:r>
              <w:rPr>
                <w:sz w:val="18"/>
              </w:rPr>
              <w:t>FedRAMP</w:t>
            </w:r>
          </w:p>
        </w:tc>
        <w:tc>
          <w:tcPr>
            <w:tcW w:type="dxa" w:w="2160"/>
          </w:tcPr>
          <w:p>
            <w:r>
              <w:rPr>
                <w:sz w:val="18"/>
              </w:rPr>
              <w:t>SA-11, RA-5(1)</w:t>
            </w:r>
          </w:p>
        </w:tc>
        <w:tc>
          <w:tcPr>
            <w:tcW w:type="dxa" w:w="4320"/>
          </w:tcPr>
          <w:p>
            <w:r>
              <w:rPr>
                <w:sz w:val="18"/>
              </w:rPr>
              <w:t>Developer testing and scanning with update capability.</w:t>
            </w:r>
          </w:p>
        </w:tc>
        <w:tc>
          <w:tcPr>
            <w:tcW w:type="dxa" w:w="1152"/>
          </w:tcPr>
          <w:p>
            <w:r>
              <w:rPr>
                <w:sz w:val="18"/>
              </w:rPr>
              <w:t>Partial - one scanner non-functional.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Baselines the pipeline deploys</w:t>
            </w:r>
          </w:p>
        </w:tc>
      </w:tr>
      <w:tr>
        <w:tc>
          <w:tcPr>
            <w:tcW w:type="dxa" w:w="1872"/>
          </w:tcPr>
          <w:p>
            <w:r>
              <w:rPr>
                <w:sz w:val="18"/>
              </w:rPr>
              <w:t>AGT-ChMP-017</w:t>
            </w:r>
          </w:p>
        </w:tc>
        <w:tc>
          <w:tcPr>
            <w:tcW w:type="dxa" w:w="4176"/>
          </w:tcPr>
          <w:p>
            <w:r>
              <w:rPr>
                <w:sz w:val="18"/>
              </w:rPr>
              <w:t>Change Management Policy</w:t>
            </w:r>
          </w:p>
        </w:tc>
        <w:tc>
          <w:tcPr>
            <w:tcW w:type="dxa" w:w="3168"/>
          </w:tcPr>
          <w:p>
            <w:r>
              <w:rPr>
                <w:sz w:val="18"/>
              </w:rPr>
              <w:t>Approval path for releases</w:t>
            </w:r>
          </w:p>
        </w:tc>
      </w:tr>
      <w:tr>
        <w:tc>
          <w:tcPr>
            <w:tcW w:type="dxa" w:w="1872"/>
          </w:tcPr>
          <w:p>
            <w:r>
              <w:rPr>
                <w:sz w:val="18"/>
              </w:rPr>
              <w:t>AGT-AMP-011</w:t>
            </w:r>
          </w:p>
        </w:tc>
        <w:tc>
          <w:tcPr>
            <w:tcW w:type="dxa" w:w="4176"/>
          </w:tcPr>
          <w:p>
            <w:r>
              <w:rPr>
                <w:sz w:val="18"/>
              </w:rPr>
              <w:t>Asset Management Policy</w:t>
            </w:r>
          </w:p>
        </w:tc>
        <w:tc>
          <w:tcPr>
            <w:tcW w:type="dxa" w:w="3168"/>
          </w:tcPr>
          <w:p>
            <w:r>
              <w:rPr>
                <w:sz w:val="18"/>
              </w:rPr>
              <w:t>SBOM as component inventory</w:t>
            </w:r>
          </w:p>
        </w:tc>
      </w:tr>
      <w:tr>
        <w:tc>
          <w:tcPr>
            <w:tcW w:type="dxa" w:w="1872"/>
          </w:tcPr>
          <w:p>
            <w:r>
              <w:rPr>
                <w:sz w:val="18"/>
              </w:rPr>
              <w:t>AGT-CKM-009</w:t>
            </w:r>
          </w:p>
        </w:tc>
        <w:tc>
          <w:tcPr>
            <w:tcW w:type="dxa" w:w="4176"/>
          </w:tcPr>
          <w:p>
            <w:r>
              <w:rPr>
                <w:sz w:val="18"/>
              </w:rPr>
              <w:t>Cryptographic Key Management Policy</w:t>
            </w:r>
          </w:p>
        </w:tc>
        <w:tc>
          <w:tcPr>
            <w:tcW w:type="dxa" w:w="3168"/>
          </w:tcPr>
          <w:p>
            <w:r>
              <w:rPr>
                <w:sz w:val="18"/>
              </w:rPr>
              <w:t>Secret handling in build and runtime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AGT-SSDLC-015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