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Vendor Risk Management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AGT-VRM-012</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governs how AGT selects, assesses, contracts with, and monitors third parties that store, process, or transmit AGT or customer information. AGT's platform depends on external services for identity, email, data feeds, and AI inference; each is a path by which AGT data leaves AGT's control, and the contract is the only control that operates once it has.</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Vendor classification</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fill="0F2B4C"/>
          </w:tcPr>
          <w:p>
            <w:r>
              <w:rPr>
                <w:b/>
                <w:color w:val="FFFFFF"/>
                <w:sz w:val="18"/>
              </w:rPr>
              <w:t>Tier</w:t>
            </w:r>
          </w:p>
        </w:tc>
        <w:tc>
          <w:tcPr>
            <w:tcW w:type="dxa" w:w="3168"/>
            <w:shd w:val="clear" w:fill="0F2B4C"/>
          </w:tcPr>
          <w:p>
            <w:r>
              <w:rPr>
                <w:b/>
                <w:color w:val="FFFFFF"/>
                <w:sz w:val="18"/>
              </w:rPr>
              <w:t>Definition</w:t>
            </w:r>
          </w:p>
        </w:tc>
        <w:tc>
          <w:tcPr>
            <w:tcW w:type="dxa" w:w="2448"/>
            <w:shd w:val="clear" w:fill="0F2B4C"/>
          </w:tcPr>
          <w:p>
            <w:r>
              <w:rPr>
                <w:b/>
                <w:color w:val="FFFFFF"/>
                <w:sz w:val="18"/>
              </w:rPr>
              <w:t>Assessment</w:t>
            </w:r>
          </w:p>
        </w:tc>
        <w:tc>
          <w:tcPr>
            <w:tcW w:type="dxa" w:w="1872"/>
            <w:shd w:val="clear" w:fill="0F2B4C"/>
          </w:tcPr>
          <w:p>
            <w:r>
              <w:rPr>
                <w:b/>
                <w:color w:val="FFFFFF"/>
                <w:sz w:val="18"/>
              </w:rPr>
              <w:t>Review</w:t>
            </w:r>
          </w:p>
        </w:tc>
      </w:tr>
      <w:tr>
        <w:tc>
          <w:tcPr>
            <w:tcW w:type="dxa" w:w="1440"/>
          </w:tcPr>
          <w:p>
            <w:r>
              <w:rPr>
                <w:sz w:val="18"/>
              </w:rPr>
              <w:t>Critical</w:t>
            </w:r>
          </w:p>
        </w:tc>
        <w:tc>
          <w:tcPr>
            <w:tcW w:type="dxa" w:w="3168"/>
          </w:tcPr>
          <w:p>
            <w:r>
              <w:rPr>
                <w:sz w:val="18"/>
              </w:rPr>
              <w:t>Processes PHI or Restricted data, or an outage halts the platform</w:t>
            </w:r>
          </w:p>
        </w:tc>
        <w:tc>
          <w:tcPr>
            <w:tcW w:type="dxa" w:w="2448"/>
          </w:tcPr>
          <w:p>
            <w:r>
              <w:rPr>
                <w:sz w:val="18"/>
              </w:rPr>
              <w:t>Full security assessment + BAA</w:t>
            </w:r>
          </w:p>
        </w:tc>
        <w:tc>
          <w:tcPr>
            <w:tcW w:type="dxa" w:w="1872"/>
          </w:tcPr>
          <w:p>
            <w:r>
              <w:rPr>
                <w:sz w:val="18"/>
              </w:rPr>
              <w:t>Annual + on material change</w:t>
            </w:r>
          </w:p>
        </w:tc>
      </w:tr>
      <w:tr>
        <w:tc>
          <w:tcPr>
            <w:tcW w:type="dxa" w:w="1440"/>
          </w:tcPr>
          <w:p>
            <w:r>
              <w:rPr>
                <w:sz w:val="18"/>
              </w:rPr>
              <w:t>High</w:t>
            </w:r>
          </w:p>
        </w:tc>
        <w:tc>
          <w:tcPr>
            <w:tcW w:type="dxa" w:w="3168"/>
          </w:tcPr>
          <w:p>
            <w:r>
              <w:rPr>
                <w:sz w:val="18"/>
              </w:rPr>
              <w:t>Processes Confidential data or holds privileged access</w:t>
            </w:r>
          </w:p>
        </w:tc>
        <w:tc>
          <w:tcPr>
            <w:tcW w:type="dxa" w:w="2448"/>
          </w:tcPr>
          <w:p>
            <w:r>
              <w:rPr>
                <w:sz w:val="18"/>
              </w:rPr>
              <w:t>Security questionnaire + contract review</w:t>
            </w:r>
          </w:p>
        </w:tc>
        <w:tc>
          <w:tcPr>
            <w:tcW w:type="dxa" w:w="1872"/>
          </w:tcPr>
          <w:p>
            <w:r>
              <w:rPr>
                <w:sz w:val="18"/>
              </w:rPr>
              <w:t>Annual</w:t>
            </w:r>
          </w:p>
        </w:tc>
      </w:tr>
      <w:tr>
        <w:tc>
          <w:tcPr>
            <w:tcW w:type="dxa" w:w="1440"/>
          </w:tcPr>
          <w:p>
            <w:r>
              <w:rPr>
                <w:sz w:val="18"/>
              </w:rPr>
              <w:t>Moderate</w:t>
            </w:r>
          </w:p>
        </w:tc>
        <w:tc>
          <w:tcPr>
            <w:tcW w:type="dxa" w:w="3168"/>
          </w:tcPr>
          <w:p>
            <w:r>
              <w:rPr>
                <w:sz w:val="18"/>
              </w:rPr>
              <w:t>Processes Internal data only</w:t>
            </w:r>
          </w:p>
        </w:tc>
        <w:tc>
          <w:tcPr>
            <w:tcW w:type="dxa" w:w="2448"/>
          </w:tcPr>
          <w:p>
            <w:r>
              <w:rPr>
                <w:sz w:val="18"/>
              </w:rPr>
              <w:t>Questionnaire</w:t>
            </w:r>
          </w:p>
        </w:tc>
        <w:tc>
          <w:tcPr>
            <w:tcW w:type="dxa" w:w="1872"/>
          </w:tcPr>
          <w:p>
            <w:r>
              <w:rPr>
                <w:sz w:val="18"/>
              </w:rPr>
              <w:t>Every 2 years</w:t>
            </w:r>
          </w:p>
        </w:tc>
      </w:tr>
      <w:tr>
        <w:tc>
          <w:tcPr>
            <w:tcW w:type="dxa" w:w="1440"/>
          </w:tcPr>
          <w:p>
            <w:r>
              <w:rPr>
                <w:sz w:val="18"/>
              </w:rPr>
              <w:t>Low</w:t>
            </w:r>
          </w:p>
        </w:tc>
        <w:tc>
          <w:tcPr>
            <w:tcW w:type="dxa" w:w="3168"/>
          </w:tcPr>
          <w:p>
            <w:r>
              <w:rPr>
                <w:sz w:val="18"/>
              </w:rPr>
              <w:t>Public data only; no access to AGT systems</w:t>
            </w:r>
          </w:p>
        </w:tc>
        <w:tc>
          <w:tcPr>
            <w:tcW w:type="dxa" w:w="2448"/>
          </w:tcPr>
          <w:p>
            <w:r>
              <w:rPr>
                <w:sz w:val="18"/>
              </w:rPr>
              <w:t>Record only</w:t>
            </w:r>
          </w:p>
        </w:tc>
        <w:tc>
          <w:tcPr>
            <w:tcW w:type="dxa" w:w="1872"/>
          </w:tcPr>
          <w:p>
            <w:r>
              <w:rPr>
                <w:sz w:val="18"/>
              </w:rPr>
              <w:t>On renewal</w:t>
            </w:r>
          </w:p>
        </w:tc>
      </w:tr>
    </w:tbl>
    <w:p/>
    <w:p>
      <w:pPr>
        <w:pStyle w:val="Heading1"/>
      </w:pPr>
      <w:r>
        <w:t>4. Current vendor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shd w:val="clear" w:fill="0F2B4C"/>
          </w:tcPr>
          <w:p>
            <w:r>
              <w:rPr>
                <w:b/>
                <w:color w:val="FFFFFF"/>
                <w:sz w:val="18"/>
              </w:rPr>
              <w:t>Vendor</w:t>
            </w:r>
          </w:p>
        </w:tc>
        <w:tc>
          <w:tcPr>
            <w:tcW w:type="dxa" w:w="2448"/>
            <w:shd w:val="clear" w:fill="0F2B4C"/>
          </w:tcPr>
          <w:p>
            <w:r>
              <w:rPr>
                <w:b/>
                <w:color w:val="FFFFFF"/>
                <w:sz w:val="18"/>
              </w:rPr>
              <w:t>Service</w:t>
            </w:r>
          </w:p>
        </w:tc>
        <w:tc>
          <w:tcPr>
            <w:tcW w:type="dxa" w:w="2304"/>
            <w:shd w:val="clear" w:fill="0F2B4C"/>
          </w:tcPr>
          <w:p>
            <w:r>
              <w:rPr>
                <w:b/>
                <w:color w:val="FFFFFF"/>
                <w:sz w:val="18"/>
              </w:rPr>
              <w:t>Data exposure</w:t>
            </w:r>
          </w:p>
        </w:tc>
        <w:tc>
          <w:tcPr>
            <w:tcW w:type="dxa" w:w="1152"/>
            <w:shd w:val="clear" w:fill="0F2B4C"/>
          </w:tcPr>
          <w:p>
            <w:r>
              <w:rPr>
                <w:b/>
                <w:color w:val="FFFFFF"/>
                <w:sz w:val="18"/>
              </w:rPr>
              <w:t>Tier</w:t>
            </w:r>
          </w:p>
        </w:tc>
        <w:tc>
          <w:tcPr>
            <w:tcW w:type="dxa" w:w="1872"/>
            <w:shd w:val="clear" w:fill="0F2B4C"/>
          </w:tcPr>
          <w:p>
            <w:r>
              <w:rPr>
                <w:b/>
                <w:color w:val="FFFFFF"/>
                <w:sz w:val="18"/>
              </w:rPr>
              <w:t>BAA status</w:t>
            </w:r>
          </w:p>
        </w:tc>
      </w:tr>
      <w:tr>
        <w:tc>
          <w:tcPr>
            <w:tcW w:type="dxa" w:w="1728"/>
          </w:tcPr>
          <w:p>
            <w:r>
              <w:rPr>
                <w:sz w:val="18"/>
              </w:rPr>
              <w:t>Microsoft Azure</w:t>
            </w:r>
          </w:p>
        </w:tc>
        <w:tc>
          <w:tcPr>
            <w:tcW w:type="dxa" w:w="2448"/>
          </w:tcPr>
          <w:p>
            <w:r>
              <w:rPr>
                <w:sz w:val="18"/>
              </w:rPr>
              <w:t>Cloud hosting, identity, database, Key Vault</w:t>
            </w:r>
          </w:p>
        </w:tc>
        <w:tc>
          <w:tcPr>
            <w:tcW w:type="dxa" w:w="2304"/>
          </w:tcPr>
          <w:p>
            <w:r>
              <w:rPr>
                <w:sz w:val="18"/>
              </w:rPr>
              <w:t>All classes including PHI</w:t>
            </w:r>
          </w:p>
        </w:tc>
        <w:tc>
          <w:tcPr>
            <w:tcW w:type="dxa" w:w="1152"/>
          </w:tcPr>
          <w:p>
            <w:r>
              <w:rPr>
                <w:sz w:val="18"/>
              </w:rPr>
              <w:t>Critical</w:t>
            </w:r>
          </w:p>
        </w:tc>
        <w:tc>
          <w:tcPr>
            <w:tcW w:type="dxa" w:w="1872"/>
          </w:tcPr>
          <w:p>
            <w:r>
              <w:rPr>
                <w:sz w:val="18"/>
              </w:rPr>
              <w:t>In place (Microsoft BAA)</w:t>
            </w:r>
          </w:p>
        </w:tc>
      </w:tr>
      <w:tr>
        <w:tc>
          <w:tcPr>
            <w:tcW w:type="dxa" w:w="1728"/>
          </w:tcPr>
          <w:p>
            <w:r>
              <w:rPr>
                <w:sz w:val="18"/>
              </w:rPr>
              <w:t>Anthropic</w:t>
            </w:r>
          </w:p>
        </w:tc>
        <w:tc>
          <w:tcPr>
            <w:tcW w:type="dxa" w:w="2448"/>
          </w:tcPr>
          <w:p>
            <w:r>
              <w:rPr>
                <w:sz w:val="18"/>
              </w:rPr>
              <w:t>AI inference (Claude) for document and clinical text analysis</w:t>
            </w:r>
          </w:p>
        </w:tc>
        <w:tc>
          <w:tcPr>
            <w:tcW w:type="dxa" w:w="2304"/>
          </w:tcPr>
          <w:p>
            <w:r>
              <w:rPr>
                <w:sz w:val="18"/>
              </w:rPr>
              <w:t>Clinical text - potential PHI</w:t>
            </w:r>
          </w:p>
        </w:tc>
        <w:tc>
          <w:tcPr>
            <w:tcW w:type="dxa" w:w="1152"/>
          </w:tcPr>
          <w:p>
            <w:r>
              <w:rPr>
                <w:sz w:val="18"/>
              </w:rPr>
              <w:t>Critical</w:t>
            </w:r>
          </w:p>
        </w:tc>
        <w:tc>
          <w:tcPr>
            <w:tcW w:type="dxa" w:w="1872"/>
          </w:tcPr>
          <w:p>
            <w:r>
              <w:rPr>
                <w:sz w:val="18"/>
              </w:rPr>
              <w:t>REQUIRED - see section 7</w:t>
            </w:r>
          </w:p>
        </w:tc>
      </w:tr>
      <w:tr>
        <w:tc>
          <w:tcPr>
            <w:tcW w:type="dxa" w:w="1728"/>
          </w:tcPr>
          <w:p>
            <w:r>
              <w:rPr>
                <w:sz w:val="18"/>
              </w:rPr>
              <w:t>OpenAI</w:t>
            </w:r>
          </w:p>
        </w:tc>
        <w:tc>
          <w:tcPr>
            <w:tcW w:type="dxa" w:w="2448"/>
          </w:tcPr>
          <w:p>
            <w:r>
              <w:rPr>
                <w:sz w:val="18"/>
              </w:rPr>
              <w:t>AI inference and audio transcription</w:t>
            </w:r>
          </w:p>
        </w:tc>
        <w:tc>
          <w:tcPr>
            <w:tcW w:type="dxa" w:w="2304"/>
          </w:tcPr>
          <w:p>
            <w:r>
              <w:rPr>
                <w:sz w:val="18"/>
              </w:rPr>
              <w:t>Audio and transcripts - potential PHI</w:t>
            </w:r>
          </w:p>
        </w:tc>
        <w:tc>
          <w:tcPr>
            <w:tcW w:type="dxa" w:w="1152"/>
          </w:tcPr>
          <w:p>
            <w:r>
              <w:rPr>
                <w:sz w:val="18"/>
              </w:rPr>
              <w:t>Critical</w:t>
            </w:r>
          </w:p>
        </w:tc>
        <w:tc>
          <w:tcPr>
            <w:tcW w:type="dxa" w:w="1872"/>
          </w:tcPr>
          <w:p>
            <w:r>
              <w:rPr>
                <w:sz w:val="18"/>
              </w:rPr>
              <w:t>REQUIRED - see section 7</w:t>
            </w:r>
          </w:p>
        </w:tc>
      </w:tr>
      <w:tr>
        <w:tc>
          <w:tcPr>
            <w:tcW w:type="dxa" w:w="1728"/>
          </w:tcPr>
          <w:p>
            <w:r>
              <w:rPr>
                <w:sz w:val="18"/>
              </w:rPr>
              <w:t>SendGrid (Twilio)</w:t>
            </w:r>
          </w:p>
        </w:tc>
        <w:tc>
          <w:tcPr>
            <w:tcW w:type="dxa" w:w="2448"/>
          </w:tcPr>
          <w:p>
            <w:r>
              <w:rPr>
                <w:sz w:val="18"/>
              </w:rPr>
              <w:t>Transactional email</w:t>
            </w:r>
          </w:p>
        </w:tc>
        <w:tc>
          <w:tcPr>
            <w:tcW w:type="dxa" w:w="2304"/>
          </w:tcPr>
          <w:p>
            <w:r>
              <w:rPr>
                <w:sz w:val="18"/>
              </w:rPr>
              <w:t>PII in recipient addresses</w:t>
            </w:r>
          </w:p>
        </w:tc>
        <w:tc>
          <w:tcPr>
            <w:tcW w:type="dxa" w:w="1152"/>
          </w:tcPr>
          <w:p>
            <w:r>
              <w:rPr>
                <w:sz w:val="18"/>
              </w:rPr>
              <w:t>High</w:t>
            </w:r>
          </w:p>
        </w:tc>
        <w:tc>
          <w:tcPr>
            <w:tcW w:type="dxa" w:w="1872"/>
          </w:tcPr>
          <w:p>
            <w:r>
              <w:rPr>
                <w:sz w:val="18"/>
              </w:rPr>
              <w:t>Assess</w:t>
            </w:r>
          </w:p>
        </w:tc>
      </w:tr>
      <w:tr>
        <w:tc>
          <w:tcPr>
            <w:tcW w:type="dxa" w:w="1728"/>
          </w:tcPr>
          <w:p>
            <w:r>
              <w:rPr>
                <w:sz w:val="18"/>
              </w:rPr>
              <w:t>Perigon</w:t>
            </w:r>
          </w:p>
        </w:tc>
        <w:tc>
          <w:tcPr>
            <w:tcW w:type="dxa" w:w="2448"/>
          </w:tcPr>
          <w:p>
            <w:r>
              <w:rPr>
                <w:sz w:val="18"/>
              </w:rPr>
              <w:t>News and article data feed</w:t>
            </w:r>
          </w:p>
        </w:tc>
        <w:tc>
          <w:tcPr>
            <w:tcW w:type="dxa" w:w="2304"/>
          </w:tcPr>
          <w:p>
            <w:r>
              <w:rPr>
                <w:sz w:val="18"/>
              </w:rPr>
              <w:t>Public data only</w:t>
            </w:r>
          </w:p>
        </w:tc>
        <w:tc>
          <w:tcPr>
            <w:tcW w:type="dxa" w:w="1152"/>
          </w:tcPr>
          <w:p>
            <w:r>
              <w:rPr>
                <w:sz w:val="18"/>
              </w:rPr>
              <w:t>Low</w:t>
            </w:r>
          </w:p>
        </w:tc>
        <w:tc>
          <w:tcPr>
            <w:tcW w:type="dxa" w:w="1872"/>
          </w:tcPr>
          <w:p>
            <w:r>
              <w:rPr>
                <w:sz w:val="18"/>
              </w:rPr>
              <w:t>Not applicable</w:t>
            </w:r>
          </w:p>
        </w:tc>
      </w:tr>
      <w:tr>
        <w:tc>
          <w:tcPr>
            <w:tcW w:type="dxa" w:w="1728"/>
          </w:tcPr>
          <w:p>
            <w:r>
              <w:rPr>
                <w:sz w:val="18"/>
              </w:rPr>
              <w:t>GitHub</w:t>
            </w:r>
          </w:p>
        </w:tc>
        <w:tc>
          <w:tcPr>
            <w:tcW w:type="dxa" w:w="2448"/>
          </w:tcPr>
          <w:p>
            <w:r>
              <w:rPr>
                <w:sz w:val="18"/>
              </w:rPr>
              <w:t>Source control and CI/CD</w:t>
            </w:r>
          </w:p>
        </w:tc>
        <w:tc>
          <w:tcPr>
            <w:tcW w:type="dxa" w:w="2304"/>
          </w:tcPr>
          <w:p>
            <w:r>
              <w:rPr>
                <w:sz w:val="18"/>
              </w:rPr>
              <w:t>Source code, build secrets</w:t>
            </w:r>
          </w:p>
        </w:tc>
        <w:tc>
          <w:tcPr>
            <w:tcW w:type="dxa" w:w="1152"/>
          </w:tcPr>
          <w:p>
            <w:r>
              <w:rPr>
                <w:sz w:val="18"/>
              </w:rPr>
              <w:t>High</w:t>
            </w:r>
          </w:p>
        </w:tc>
        <w:tc>
          <w:tcPr>
            <w:tcW w:type="dxa" w:w="1872"/>
          </w:tcPr>
          <w:p>
            <w:r>
              <w:rPr>
                <w:sz w:val="18"/>
              </w:rPr>
              <w:t>Not applicable</w:t>
            </w:r>
          </w:p>
        </w:tc>
      </w:tr>
      <w:tr>
        <w:tc>
          <w:tcPr>
            <w:tcW w:type="dxa" w:w="1728"/>
          </w:tcPr>
          <w:p>
            <w:r>
              <w:rPr>
                <w:sz w:val="18"/>
              </w:rPr>
              <w:t>NPPES / PECOS / LEIE</w:t>
            </w:r>
          </w:p>
        </w:tc>
        <w:tc>
          <w:tcPr>
            <w:tcW w:type="dxa" w:w="2448"/>
          </w:tcPr>
          <w:p>
            <w:r>
              <w:rPr>
                <w:sz w:val="18"/>
              </w:rPr>
              <w:t>Federal provider registries (read-only, public)</w:t>
            </w:r>
          </w:p>
        </w:tc>
        <w:tc>
          <w:tcPr>
            <w:tcW w:type="dxa" w:w="2304"/>
          </w:tcPr>
          <w:p>
            <w:r>
              <w:rPr>
                <w:sz w:val="18"/>
              </w:rPr>
              <w:t>Public provider data</w:t>
            </w:r>
          </w:p>
        </w:tc>
        <w:tc>
          <w:tcPr>
            <w:tcW w:type="dxa" w:w="1152"/>
          </w:tcPr>
          <w:p>
            <w:r>
              <w:rPr>
                <w:sz w:val="18"/>
              </w:rPr>
              <w:t>Low</w:t>
            </w:r>
          </w:p>
        </w:tc>
        <w:tc>
          <w:tcPr>
            <w:tcW w:type="dxa" w:w="1872"/>
          </w:tcPr>
          <w:p>
            <w:r>
              <w:rPr>
                <w:sz w:val="18"/>
              </w:rPr>
              <w:t>Not applicable</w:t>
            </w:r>
          </w:p>
        </w:tc>
      </w:tr>
      <w:tr>
        <w:tc>
          <w:tcPr>
            <w:tcW w:type="dxa" w:w="1728"/>
          </w:tcPr>
          <w:p>
            <w:r>
              <w:rPr>
                <w:sz w:val="18"/>
              </w:rPr>
              <w:t>SAM.gov</w:t>
            </w:r>
          </w:p>
        </w:tc>
        <w:tc>
          <w:tcPr>
            <w:tcW w:type="dxa" w:w="2448"/>
          </w:tcPr>
          <w:p>
            <w:r>
              <w:rPr>
                <w:sz w:val="18"/>
              </w:rPr>
              <w:t>Federal entity registry</w:t>
            </w:r>
          </w:p>
        </w:tc>
        <w:tc>
          <w:tcPr>
            <w:tcW w:type="dxa" w:w="2304"/>
          </w:tcPr>
          <w:p>
            <w:r>
              <w:rPr>
                <w:sz w:val="18"/>
              </w:rPr>
              <w:t>Public entity data</w:t>
            </w:r>
          </w:p>
        </w:tc>
        <w:tc>
          <w:tcPr>
            <w:tcW w:type="dxa" w:w="1152"/>
          </w:tcPr>
          <w:p>
            <w:r>
              <w:rPr>
                <w:sz w:val="18"/>
              </w:rPr>
              <w:t>Low</w:t>
            </w:r>
          </w:p>
        </w:tc>
        <w:tc>
          <w:tcPr>
            <w:tcW w:type="dxa" w:w="1872"/>
          </w:tcPr>
          <w:p>
            <w:r>
              <w:rPr>
                <w:sz w:val="18"/>
              </w:rPr>
              <w:t>Not applicable</w:t>
            </w:r>
          </w:p>
        </w:tc>
      </w:tr>
    </w:tbl>
    <w:p/>
    <w:p>
      <w:pPr>
        <w:pStyle w:val="Heading1"/>
      </w:pPr>
      <w:r>
        <w:t>5. Assessment requirements</w:t>
      </w:r>
    </w:p>
    <w:p>
      <w:pPr>
        <w:pStyle w:val="ListBullet"/>
      </w:pPr>
      <w:r>
        <w:t>Before a vendor receives Confidential or Restricted data, a security assessment is completed and recorded.</w:t>
      </w:r>
    </w:p>
    <w:p>
      <w:pPr>
        <w:pStyle w:val="ListBullet"/>
      </w:pPr>
      <w:r>
        <w:t>Evidence accepted: SOC 2 Type II report, ISO 27001 certificate, HITRUST certification, or a completed AGT security questionnaire with supporting artifacts.</w:t>
      </w:r>
    </w:p>
    <w:p>
      <w:pPr>
        <w:pStyle w:val="ListBullet"/>
      </w:pPr>
      <w:r>
        <w:t>A SOC 2 report is reviewed for scope and exceptions, not merely for existence. A report whose scope excludes the service AGT actually uses is not evidence about that service.</w:t>
      </w:r>
    </w:p>
    <w:p>
      <w:pPr>
        <w:pStyle w:val="ListBullet"/>
      </w:pPr>
      <w:r>
        <w:t>Sub-processors are identified; a vendor that will not disclose its sub-processors cannot be assessed and is not approved for Restricted data.</w:t>
      </w:r>
    </w:p>
    <w:p>
      <w:pPr>
        <w:pStyle w:val="Heading1"/>
      </w:pPr>
      <w:r>
        <w:t>6. Contract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3456"/>
            <w:shd w:val="clear" w:fill="0F2B4C"/>
          </w:tcPr>
          <w:p>
            <w:r>
              <w:rPr>
                <w:b/>
                <w:color w:val="FFFFFF"/>
                <w:sz w:val="18"/>
              </w:rPr>
              <w:t>Requirement</w:t>
            </w:r>
          </w:p>
        </w:tc>
        <w:tc>
          <w:tcPr>
            <w:tcW w:type="dxa" w:w="1872"/>
            <w:shd w:val="clear" w:fill="0F2B4C"/>
          </w:tcPr>
          <w:p>
            <w:r>
              <w:rPr>
                <w:b/>
                <w:color w:val="FFFFFF"/>
                <w:sz w:val="18"/>
              </w:rPr>
              <w:t>Critical</w:t>
            </w:r>
          </w:p>
        </w:tc>
        <w:tc>
          <w:tcPr>
            <w:tcW w:type="dxa" w:w="1872"/>
            <w:shd w:val="clear" w:fill="0F2B4C"/>
          </w:tcPr>
          <w:p>
            <w:r>
              <w:rPr>
                <w:b/>
                <w:color w:val="FFFFFF"/>
                <w:sz w:val="18"/>
              </w:rPr>
              <w:t>High</w:t>
            </w:r>
          </w:p>
        </w:tc>
        <w:tc>
          <w:tcPr>
            <w:tcW w:type="dxa" w:w="1728"/>
            <w:shd w:val="clear" w:fill="0F2B4C"/>
          </w:tcPr>
          <w:p>
            <w:r>
              <w:rPr>
                <w:b/>
                <w:color w:val="FFFFFF"/>
                <w:sz w:val="18"/>
              </w:rPr>
              <w:t>Moderate</w:t>
            </w:r>
          </w:p>
        </w:tc>
      </w:tr>
      <w:tr>
        <w:tc>
          <w:tcPr>
            <w:tcW w:type="dxa" w:w="3456"/>
          </w:tcPr>
          <w:p>
            <w:r>
              <w:rPr>
                <w:sz w:val="18"/>
              </w:rPr>
              <w:t>Business Associate Agreement (where PHI)</w:t>
            </w:r>
          </w:p>
        </w:tc>
        <w:tc>
          <w:tcPr>
            <w:tcW w:type="dxa" w:w="1872"/>
          </w:tcPr>
          <w:p>
            <w:r>
              <w:rPr>
                <w:sz w:val="18"/>
              </w:rPr>
              <w:t>Required</w:t>
            </w:r>
          </w:p>
        </w:tc>
        <w:tc>
          <w:tcPr>
            <w:tcW w:type="dxa" w:w="1872"/>
          </w:tcPr>
          <w:p>
            <w:r>
              <w:rPr>
                <w:sz w:val="18"/>
              </w:rPr>
              <w:t>Required</w:t>
            </w:r>
          </w:p>
        </w:tc>
        <w:tc>
          <w:tcPr>
            <w:tcW w:type="dxa" w:w="1728"/>
          </w:tcPr>
          <w:p>
            <w:r>
              <w:rPr>
                <w:sz w:val="18"/>
              </w:rPr>
              <w:t>n/a</w:t>
            </w:r>
          </w:p>
        </w:tc>
      </w:tr>
      <w:tr>
        <w:tc>
          <w:tcPr>
            <w:tcW w:type="dxa" w:w="3456"/>
          </w:tcPr>
          <w:p>
            <w:r>
              <w:rPr>
                <w:sz w:val="18"/>
              </w:rPr>
              <w:t>Breach notification to AGT</w:t>
            </w:r>
          </w:p>
        </w:tc>
        <w:tc>
          <w:tcPr>
            <w:tcW w:type="dxa" w:w="1872"/>
          </w:tcPr>
          <w:p>
            <w:r>
              <w:rPr>
                <w:sz w:val="18"/>
              </w:rPr>
              <w:t>Within 24 hours</w:t>
            </w:r>
          </w:p>
        </w:tc>
        <w:tc>
          <w:tcPr>
            <w:tcW w:type="dxa" w:w="1872"/>
          </w:tcPr>
          <w:p>
            <w:r>
              <w:rPr>
                <w:sz w:val="18"/>
              </w:rPr>
              <w:t>Within 72 hours</w:t>
            </w:r>
          </w:p>
        </w:tc>
        <w:tc>
          <w:tcPr>
            <w:tcW w:type="dxa" w:w="1728"/>
          </w:tcPr>
          <w:p>
            <w:r>
              <w:rPr>
                <w:sz w:val="18"/>
              </w:rPr>
              <w:t>Within 30 days</w:t>
            </w:r>
          </w:p>
        </w:tc>
      </w:tr>
      <w:tr>
        <w:tc>
          <w:tcPr>
            <w:tcW w:type="dxa" w:w="3456"/>
          </w:tcPr>
          <w:p>
            <w:r>
              <w:rPr>
                <w:sz w:val="18"/>
              </w:rPr>
              <w:t>Right to audit or equivalent attestation</w:t>
            </w:r>
          </w:p>
        </w:tc>
        <w:tc>
          <w:tcPr>
            <w:tcW w:type="dxa" w:w="1872"/>
          </w:tcPr>
          <w:p>
            <w:r>
              <w:rPr>
                <w:sz w:val="18"/>
              </w:rPr>
              <w:t>Required</w:t>
            </w:r>
          </w:p>
        </w:tc>
        <w:tc>
          <w:tcPr>
            <w:tcW w:type="dxa" w:w="1872"/>
          </w:tcPr>
          <w:p>
            <w:r>
              <w:rPr>
                <w:sz w:val="18"/>
              </w:rPr>
              <w:t>Required</w:t>
            </w:r>
          </w:p>
        </w:tc>
        <w:tc>
          <w:tcPr>
            <w:tcW w:type="dxa" w:w="1728"/>
          </w:tcPr>
          <w:p>
            <w:r>
              <w:rPr>
                <w:sz w:val="18"/>
              </w:rPr>
              <w:t>Optional</w:t>
            </w:r>
          </w:p>
        </w:tc>
      </w:tr>
      <w:tr>
        <w:tc>
          <w:tcPr>
            <w:tcW w:type="dxa" w:w="3456"/>
          </w:tcPr>
          <w:p>
            <w:r>
              <w:rPr>
                <w:sz w:val="18"/>
              </w:rPr>
              <w:t>Data return and deletion on termination</w:t>
            </w:r>
          </w:p>
        </w:tc>
        <w:tc>
          <w:tcPr>
            <w:tcW w:type="dxa" w:w="1872"/>
          </w:tcPr>
          <w:p>
            <w:r>
              <w:rPr>
                <w:sz w:val="18"/>
              </w:rPr>
              <w:t>Required</w:t>
            </w:r>
          </w:p>
        </w:tc>
        <w:tc>
          <w:tcPr>
            <w:tcW w:type="dxa" w:w="1872"/>
          </w:tcPr>
          <w:p>
            <w:r>
              <w:rPr>
                <w:sz w:val="18"/>
              </w:rPr>
              <w:t>Required</w:t>
            </w:r>
          </w:p>
        </w:tc>
        <w:tc>
          <w:tcPr>
            <w:tcW w:type="dxa" w:w="1728"/>
          </w:tcPr>
          <w:p>
            <w:r>
              <w:rPr>
                <w:sz w:val="18"/>
              </w:rPr>
              <w:t>Required</w:t>
            </w:r>
          </w:p>
        </w:tc>
      </w:tr>
      <w:tr>
        <w:tc>
          <w:tcPr>
            <w:tcW w:type="dxa" w:w="3456"/>
          </w:tcPr>
          <w:p>
            <w:r>
              <w:rPr>
                <w:sz w:val="18"/>
              </w:rPr>
              <w:t>Subcontractor flow-down of obligations</w:t>
            </w:r>
          </w:p>
        </w:tc>
        <w:tc>
          <w:tcPr>
            <w:tcW w:type="dxa" w:w="1872"/>
          </w:tcPr>
          <w:p>
            <w:r>
              <w:rPr>
                <w:sz w:val="18"/>
              </w:rPr>
              <w:t>Required</w:t>
            </w:r>
          </w:p>
        </w:tc>
        <w:tc>
          <w:tcPr>
            <w:tcW w:type="dxa" w:w="1872"/>
          </w:tcPr>
          <w:p>
            <w:r>
              <w:rPr>
                <w:sz w:val="18"/>
              </w:rPr>
              <w:t>Required</w:t>
            </w:r>
          </w:p>
        </w:tc>
        <w:tc>
          <w:tcPr>
            <w:tcW w:type="dxa" w:w="1728"/>
          </w:tcPr>
          <w:p>
            <w:r>
              <w:rPr>
                <w:sz w:val="18"/>
              </w:rPr>
              <w:t>Optional</w:t>
            </w:r>
          </w:p>
        </w:tc>
      </w:tr>
      <w:tr>
        <w:tc>
          <w:tcPr>
            <w:tcW w:type="dxa" w:w="3456"/>
          </w:tcPr>
          <w:p>
            <w:r>
              <w:rPr>
                <w:sz w:val="18"/>
              </w:rPr>
              <w:t>Data residency commitment</w:t>
            </w:r>
          </w:p>
        </w:tc>
        <w:tc>
          <w:tcPr>
            <w:tcW w:type="dxa" w:w="1872"/>
          </w:tcPr>
          <w:p>
            <w:r>
              <w:rPr>
                <w:sz w:val="18"/>
              </w:rPr>
              <w:t>Required (US)</w:t>
            </w:r>
          </w:p>
        </w:tc>
        <w:tc>
          <w:tcPr>
            <w:tcW w:type="dxa" w:w="1872"/>
          </w:tcPr>
          <w:p>
            <w:r>
              <w:rPr>
                <w:sz w:val="18"/>
              </w:rPr>
              <w:t>Required (US)</w:t>
            </w:r>
          </w:p>
        </w:tc>
        <w:tc>
          <w:tcPr>
            <w:tcW w:type="dxa" w:w="1728"/>
          </w:tcPr>
          <w:p>
            <w:r>
              <w:rPr>
                <w:sz w:val="18"/>
              </w:rPr>
              <w:t>Preferred</w:t>
            </w:r>
          </w:p>
        </w:tc>
      </w:tr>
      <w:tr>
        <w:tc>
          <w:tcPr>
            <w:tcW w:type="dxa" w:w="3456"/>
          </w:tcPr>
          <w:p>
            <w:r>
              <w:rPr>
                <w:sz w:val="18"/>
              </w:rPr>
              <w:t>Prohibition on training models with AGT data</w:t>
            </w:r>
          </w:p>
        </w:tc>
        <w:tc>
          <w:tcPr>
            <w:tcW w:type="dxa" w:w="1872"/>
          </w:tcPr>
          <w:p>
            <w:r>
              <w:rPr>
                <w:sz w:val="18"/>
              </w:rPr>
              <w:t>Required</w:t>
            </w:r>
          </w:p>
        </w:tc>
        <w:tc>
          <w:tcPr>
            <w:tcW w:type="dxa" w:w="1872"/>
          </w:tcPr>
          <w:p>
            <w:r>
              <w:rPr>
                <w:sz w:val="18"/>
              </w:rPr>
              <w:t>Required</w:t>
            </w:r>
          </w:p>
        </w:tc>
        <w:tc>
          <w:tcPr>
            <w:tcW w:type="dxa" w:w="1728"/>
          </w:tcPr>
          <w:p>
            <w:r>
              <w:rPr>
                <w:sz w:val="18"/>
              </w:rPr>
              <w:t>n/a</w:t>
            </w:r>
          </w:p>
        </w:tc>
      </w:tr>
    </w:tbl>
    <w:p/>
    <w:p>
      <w:pPr>
        <w:pStyle w:val="Heading1"/>
      </w:pPr>
      <w:r>
        <w:t>7. Open finding - AI provider BAAs</w:t>
      </w:r>
    </w:p>
    <w:p>
      <w:r>
        <w:t>Two Critical-tier vendors process content that can contain PHI and do not have an executed Business Associate Agreement with AGT.</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Vendor</w:t>
            </w:r>
          </w:p>
        </w:tc>
        <w:tc>
          <w:tcPr>
            <w:tcW w:type="dxa" w:w="3168"/>
            <w:shd w:val="clear" w:fill="0F2B4C"/>
          </w:tcPr>
          <w:p>
            <w:r>
              <w:rPr>
                <w:b/>
                <w:color w:val="FFFFFF"/>
                <w:sz w:val="18"/>
              </w:rPr>
              <w:t>Exposure</w:t>
            </w:r>
          </w:p>
        </w:tc>
        <w:tc>
          <w:tcPr>
            <w:tcW w:type="dxa" w:w="1872"/>
            <w:shd w:val="clear" w:fill="0F2B4C"/>
          </w:tcPr>
          <w:p>
            <w:r>
              <w:rPr>
                <w:b/>
                <w:color w:val="FFFFFF"/>
                <w:sz w:val="18"/>
              </w:rPr>
              <w:t>Status</w:t>
            </w:r>
          </w:p>
        </w:tc>
        <w:tc>
          <w:tcPr>
            <w:tcW w:type="dxa" w:w="2592"/>
            <w:shd w:val="clear" w:fill="0F2B4C"/>
          </w:tcPr>
          <w:p>
            <w:r>
              <w:rPr>
                <w:b/>
                <w:color w:val="FFFFFF"/>
                <w:sz w:val="18"/>
              </w:rPr>
              <w:t>Required action</w:t>
            </w:r>
          </w:p>
        </w:tc>
      </w:tr>
      <w:tr>
        <w:tc>
          <w:tcPr>
            <w:tcW w:type="dxa" w:w="1584"/>
          </w:tcPr>
          <w:p>
            <w:r>
              <w:rPr>
                <w:sz w:val="18"/>
              </w:rPr>
              <w:t>Anthropic</w:t>
            </w:r>
          </w:p>
        </w:tc>
        <w:tc>
          <w:tcPr>
            <w:tcW w:type="dxa" w:w="3168"/>
          </w:tcPr>
          <w:p>
            <w:r>
              <w:rPr>
                <w:sz w:val="18"/>
              </w:rPr>
              <w:t>Clinical text submitted for note and care-plan generation</w:t>
            </w:r>
          </w:p>
        </w:tc>
        <w:tc>
          <w:tcPr>
            <w:tcW w:type="dxa" w:w="1872"/>
          </w:tcPr>
          <w:p>
            <w:r>
              <w:rPr>
                <w:sz w:val="18"/>
              </w:rPr>
              <w:t>No BAA executed</w:t>
            </w:r>
          </w:p>
        </w:tc>
        <w:tc>
          <w:tcPr>
            <w:tcW w:type="dxa" w:w="2592"/>
          </w:tcPr>
          <w:p>
            <w:r>
              <w:rPr>
                <w:sz w:val="18"/>
              </w:rPr>
              <w:t>Execute BAA with zero-retention terms, or block PHI paths</w:t>
            </w:r>
          </w:p>
        </w:tc>
      </w:tr>
      <w:tr>
        <w:tc>
          <w:tcPr>
            <w:tcW w:type="dxa" w:w="1584"/>
          </w:tcPr>
          <w:p>
            <w:r>
              <w:rPr>
                <w:sz w:val="18"/>
              </w:rPr>
              <w:t>OpenAI</w:t>
            </w:r>
          </w:p>
        </w:tc>
        <w:tc>
          <w:tcPr>
            <w:tcW w:type="dxa" w:w="3168"/>
          </w:tcPr>
          <w:p>
            <w:r>
              <w:rPr>
                <w:sz w:val="18"/>
              </w:rPr>
              <w:t>Audio submitted for transcription; transcripts returned</w:t>
            </w:r>
          </w:p>
        </w:tc>
        <w:tc>
          <w:tcPr>
            <w:tcW w:type="dxa" w:w="1872"/>
          </w:tcPr>
          <w:p>
            <w:r>
              <w:rPr>
                <w:sz w:val="18"/>
              </w:rPr>
              <w:t>No BAA executed</w:t>
            </w:r>
          </w:p>
        </w:tc>
        <w:tc>
          <w:tcPr>
            <w:tcW w:type="dxa" w:w="2592"/>
          </w:tcPr>
          <w:p>
            <w:r>
              <w:rPr>
                <w:sz w:val="18"/>
              </w:rPr>
              <w:t>Execute BAA with zero-retention terms, or block PHI paths</w:t>
            </w:r>
          </w:p>
        </w:tc>
      </w:tr>
    </w:tbl>
    <w:p/>
    <w:p>
      <w:r>
        <w:t>Under HIPAA 164.308(b)(1) a covered entity or business associate may not permit a business associate to create, receive, maintain, or transmit PHI on its behalf without satisfactory assurances in the form of a written agreement. Until those agreements exist, the compliant position is that PHI must not reach these providers, and the controls in AGT-AIGOV-013 are what enforce that. This is recorded in the POA&amp;M as an open item with executive visibility rather than presented as an accepted risk.</w:t>
      </w:r>
    </w:p>
    <w:p>
      <w:pPr>
        <w:pStyle w:val="Heading1"/>
      </w:pPr>
      <w:r>
        <w:t>8. Ongoing monitoring</w:t>
      </w:r>
    </w:p>
    <w:p>
      <w:pPr>
        <w:pStyle w:val="ListBullet"/>
      </w:pPr>
      <w:r>
        <w:t>Annual reassessment for Critical and High tiers; the review record is retained.</w:t>
      </w:r>
    </w:p>
    <w:p>
      <w:pPr>
        <w:pStyle w:val="ListBullet"/>
      </w:pPr>
      <w:r>
        <w:t>Vendor breach notifications are handled as AGT incidents under AGT-IRP-022.</w:t>
      </w:r>
    </w:p>
    <w:p>
      <w:pPr>
        <w:pStyle w:val="ListBullet"/>
      </w:pPr>
      <w:r>
        <w:t>Vendor status changes - acquisition, certification lapse, publicized breach - trigger an out-of-cycle review.</w:t>
      </w:r>
    </w:p>
    <w:p>
      <w:pPr>
        <w:pStyle w:val="ListBullet"/>
      </w:pPr>
      <w:r>
        <w:t>Vendor concentration is reviewed annually: the platform's dependence on a single cloud provider is a deliberate, documented risk acceptance rather than an oversight.</w:t>
      </w:r>
    </w:p>
    <w:p>
      <w:pPr>
        <w:pStyle w:val="Heading1"/>
      </w:pPr>
      <w:r>
        <w:t>9. Termination</w:t>
      </w:r>
    </w:p>
    <w:p>
      <w:pPr>
        <w:pStyle w:val="ListNumber"/>
      </w:pPr>
      <w:r>
        <w:t>Revoke the vendor's access to AGT systems and rotate any shared credential.</w:t>
      </w:r>
    </w:p>
    <w:p>
      <w:pPr>
        <w:pStyle w:val="ListNumber"/>
      </w:pPr>
      <w:r>
        <w:t>Obtain written confirmation of data return or destruction.</w:t>
      </w:r>
    </w:p>
    <w:p>
      <w:pPr>
        <w:pStyle w:val="ListNumber"/>
      </w:pPr>
      <w:r>
        <w:t>Record the confirmation as evidence; retain per AGT-DRP-007.</w:t>
      </w:r>
    </w:p>
    <w:p>
      <w:pPr>
        <w:pStyle w:val="ListNumber"/>
      </w:pPr>
      <w:r>
        <w:t>Update the vendor register and the asset inventory.</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Approves Critical-tier vendors and accepts residual vendor risk.</w:t>
            </w:r>
          </w:p>
        </w:tc>
      </w:tr>
      <w:tr>
        <w:tc>
          <w:tcPr>
            <w:tcW w:type="dxa" w:w="2592"/>
          </w:tcPr>
          <w:p>
            <w:r>
              <w:rPr>
                <w:sz w:val="18"/>
              </w:rPr>
              <w:t>Security Officer</w:t>
            </w:r>
          </w:p>
        </w:tc>
        <w:tc>
          <w:tcPr>
            <w:tcW w:type="dxa" w:w="6336"/>
          </w:tcPr>
          <w:p>
            <w:r>
              <w:rPr>
                <w:sz w:val="18"/>
              </w:rPr>
              <w:t>Performs assessments; maintains the register; monitors annually.</w:t>
            </w:r>
          </w:p>
        </w:tc>
      </w:tr>
      <w:tr>
        <w:tc>
          <w:tcPr>
            <w:tcW w:type="dxa" w:w="2592"/>
          </w:tcPr>
          <w:p>
            <w:r>
              <w:rPr>
                <w:sz w:val="18"/>
              </w:rPr>
              <w:t>Privacy Officer</w:t>
            </w:r>
          </w:p>
        </w:tc>
        <w:tc>
          <w:tcPr>
            <w:tcW w:type="dxa" w:w="6336"/>
          </w:tcPr>
          <w:p>
            <w:r>
              <w:rPr>
                <w:sz w:val="18"/>
              </w:rPr>
              <w:t>Determines BAA applicability; reviews PHI flows to vendors.</w:t>
            </w:r>
          </w:p>
        </w:tc>
      </w:tr>
      <w:tr>
        <w:tc>
          <w:tcPr>
            <w:tcW w:type="dxa" w:w="2592"/>
          </w:tcPr>
          <w:p>
            <w:r>
              <w:rPr>
                <w:sz w:val="18"/>
              </w:rPr>
              <w:t>Engineering</w:t>
            </w:r>
          </w:p>
        </w:tc>
        <w:tc>
          <w:tcPr>
            <w:tcW w:type="dxa" w:w="6336"/>
          </w:tcPr>
          <w:p>
            <w:r>
              <w:rPr>
                <w:sz w:val="18"/>
              </w:rPr>
              <w:t>Implements technical controls that constrain what data reaches a vendor.</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SA-9, SA-4, SR-3, SR-6</w:t>
            </w:r>
          </w:p>
        </w:tc>
        <w:tc>
          <w:tcPr>
            <w:tcW w:type="dxa" w:w="4320"/>
          </w:tcPr>
          <w:p>
            <w:r>
              <w:rPr>
                <w:sz w:val="18"/>
              </w:rPr>
              <w:t>External system services, acquisition, supply chain controls and assessments.</w:t>
            </w:r>
          </w:p>
        </w:tc>
        <w:tc>
          <w:tcPr>
            <w:tcW w:type="dxa" w:w="1152"/>
          </w:tcPr>
          <w:p>
            <w:r>
              <w:rPr>
                <w:sz w:val="18"/>
              </w:rPr>
              <w:t>Met</w:t>
            </w:r>
          </w:p>
        </w:tc>
      </w:tr>
      <w:tr>
        <w:tc>
          <w:tcPr>
            <w:tcW w:type="dxa" w:w="1584"/>
          </w:tcPr>
          <w:p>
            <w:r>
              <w:rPr>
                <w:sz w:val="18"/>
              </w:rPr>
              <w:t>HIPAA</w:t>
            </w:r>
          </w:p>
        </w:tc>
        <w:tc>
          <w:tcPr>
            <w:tcW w:type="dxa" w:w="2160"/>
          </w:tcPr>
          <w:p>
            <w:r>
              <w:rPr>
                <w:sz w:val="18"/>
              </w:rPr>
              <w:t>164.308(b)(1)</w:t>
            </w:r>
          </w:p>
        </w:tc>
        <w:tc>
          <w:tcPr>
            <w:tcW w:type="dxa" w:w="4320"/>
          </w:tcPr>
          <w:p>
            <w:r>
              <w:rPr>
                <w:sz w:val="18"/>
              </w:rPr>
              <w:t>Business associate contracts and other arrangements.</w:t>
            </w:r>
          </w:p>
        </w:tc>
        <w:tc>
          <w:tcPr>
            <w:tcW w:type="dxa" w:w="1152"/>
          </w:tcPr>
          <w:p>
            <w:r>
              <w:rPr>
                <w:sz w:val="18"/>
              </w:rPr>
              <w:t>Partial - two AI provider BAAs outstanding.</w:t>
            </w:r>
          </w:p>
        </w:tc>
      </w:tr>
      <w:tr>
        <w:tc>
          <w:tcPr>
            <w:tcW w:type="dxa" w:w="1584"/>
          </w:tcPr>
          <w:p>
            <w:r>
              <w:rPr>
                <w:sz w:val="18"/>
              </w:rPr>
              <w:t>HIPAA</w:t>
            </w:r>
          </w:p>
        </w:tc>
        <w:tc>
          <w:tcPr>
            <w:tcW w:type="dxa" w:w="2160"/>
          </w:tcPr>
          <w:p>
            <w:r>
              <w:rPr>
                <w:sz w:val="18"/>
              </w:rPr>
              <w:t>164.314(a)</w:t>
            </w:r>
          </w:p>
        </w:tc>
        <w:tc>
          <w:tcPr>
            <w:tcW w:type="dxa" w:w="4320"/>
          </w:tcPr>
          <w:p>
            <w:r>
              <w:rPr>
                <w:sz w:val="18"/>
              </w:rPr>
              <w:t>Business associate contract content requirements.</w:t>
            </w:r>
          </w:p>
        </w:tc>
        <w:tc>
          <w:tcPr>
            <w:tcW w:type="dxa" w:w="1152"/>
          </w:tcPr>
          <w:p>
            <w:r>
              <w:rPr>
                <w:sz w:val="18"/>
              </w:rPr>
              <w:t>Met where executed</w:t>
            </w:r>
          </w:p>
        </w:tc>
      </w:tr>
      <w:tr>
        <w:tc>
          <w:tcPr>
            <w:tcW w:type="dxa" w:w="1584"/>
          </w:tcPr>
          <w:p>
            <w:r>
              <w:rPr>
                <w:sz w:val="18"/>
              </w:rPr>
              <w:t>SOC 2</w:t>
            </w:r>
          </w:p>
        </w:tc>
        <w:tc>
          <w:tcPr>
            <w:tcW w:type="dxa" w:w="2160"/>
          </w:tcPr>
          <w:p>
            <w:r>
              <w:rPr>
                <w:sz w:val="18"/>
              </w:rPr>
              <w:t>CC9.2</w:t>
            </w:r>
          </w:p>
        </w:tc>
        <w:tc>
          <w:tcPr>
            <w:tcW w:type="dxa" w:w="4320"/>
          </w:tcPr>
          <w:p>
            <w:r>
              <w:rPr>
                <w:sz w:val="18"/>
              </w:rPr>
              <w:t>Vendor and business partner risk management.</w:t>
            </w:r>
          </w:p>
        </w:tc>
        <w:tc>
          <w:tcPr>
            <w:tcW w:type="dxa" w:w="1152"/>
          </w:tcPr>
          <w:p>
            <w:r>
              <w:rPr>
                <w:sz w:val="18"/>
              </w:rPr>
              <w:t>Met</w:t>
            </w:r>
          </w:p>
        </w:tc>
      </w:tr>
      <w:tr>
        <w:tc>
          <w:tcPr>
            <w:tcW w:type="dxa" w:w="1584"/>
          </w:tcPr>
          <w:p>
            <w:r>
              <w:rPr>
                <w:sz w:val="18"/>
              </w:rPr>
              <w:t>ISO 27001</w:t>
            </w:r>
          </w:p>
        </w:tc>
        <w:tc>
          <w:tcPr>
            <w:tcW w:type="dxa" w:w="2160"/>
          </w:tcPr>
          <w:p>
            <w:r>
              <w:rPr>
                <w:sz w:val="18"/>
              </w:rPr>
              <w:t>A.5.19, A.5.20, A.5.21, A.5.22</w:t>
            </w:r>
          </w:p>
        </w:tc>
        <w:tc>
          <w:tcPr>
            <w:tcW w:type="dxa" w:w="4320"/>
          </w:tcPr>
          <w:p>
            <w:r>
              <w:rPr>
                <w:sz w:val="18"/>
              </w:rPr>
              <w:t>Supplier relationships, agreements, ICT supply chain, monitoring.</w:t>
            </w:r>
          </w:p>
        </w:tc>
        <w:tc>
          <w:tcPr>
            <w:tcW w:type="dxa" w:w="1152"/>
          </w:tcPr>
          <w:p>
            <w:r>
              <w:rPr>
                <w:sz w:val="18"/>
              </w:rPr>
              <w:t>Met</w:t>
            </w:r>
          </w:p>
        </w:tc>
      </w:tr>
      <w:tr>
        <w:tc>
          <w:tcPr>
            <w:tcW w:type="dxa" w:w="1584"/>
          </w:tcPr>
          <w:p>
            <w:r>
              <w:rPr>
                <w:sz w:val="18"/>
              </w:rPr>
              <w:t>FedRAMP</w:t>
            </w:r>
          </w:p>
        </w:tc>
        <w:tc>
          <w:tcPr>
            <w:tcW w:type="dxa" w:w="2160"/>
          </w:tcPr>
          <w:p>
            <w:r>
              <w:rPr>
                <w:sz w:val="18"/>
              </w:rPr>
              <w:t>SA-9(1)</w:t>
            </w:r>
          </w:p>
        </w:tc>
        <w:tc>
          <w:tcPr>
            <w:tcW w:type="dxa" w:w="4320"/>
          </w:tcPr>
          <w:p>
            <w:r>
              <w:rPr>
                <w:sz w:val="18"/>
              </w:rPr>
              <w:t>Risk assessment of external service providers.</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AGT-AIGOV-013</w:t>
            </w:r>
          </w:p>
        </w:tc>
        <w:tc>
          <w:tcPr>
            <w:tcW w:type="dxa" w:w="4176"/>
          </w:tcPr>
          <w:p>
            <w:r>
              <w:rPr>
                <w:sz w:val="18"/>
              </w:rPr>
              <w:t>AI Governance Policy</w:t>
            </w:r>
          </w:p>
        </w:tc>
        <w:tc>
          <w:tcPr>
            <w:tcW w:type="dxa" w:w="3168"/>
          </w:tcPr>
          <w:p>
            <w:r>
              <w:rPr>
                <w:sz w:val="18"/>
              </w:rPr>
              <w:t>Controls what data may reach AI vendors</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Determines what may be shared externally</w:t>
            </w:r>
          </w:p>
        </w:tc>
      </w:tr>
      <w:tr>
        <w:tc>
          <w:tcPr>
            <w:tcW w:type="dxa" w:w="1872"/>
          </w:tcPr>
          <w:p>
            <w:r>
              <w:rPr>
                <w:sz w:val="18"/>
              </w:rPr>
              <w:t>AGT-AMP-011</w:t>
            </w:r>
          </w:p>
        </w:tc>
        <w:tc>
          <w:tcPr>
            <w:tcW w:type="dxa" w:w="4176"/>
          </w:tcPr>
          <w:p>
            <w:r>
              <w:rPr>
                <w:sz w:val="18"/>
              </w:rPr>
              <w:t>Asset Management Policy</w:t>
            </w:r>
          </w:p>
        </w:tc>
        <w:tc>
          <w:tcPr>
            <w:tcW w:type="dxa" w:w="3168"/>
          </w:tcPr>
          <w:p>
            <w:r>
              <w:rPr>
                <w:sz w:val="18"/>
              </w:rPr>
              <w:t>Third-party service inventory</w:t>
            </w:r>
          </w:p>
        </w:tc>
      </w:tr>
      <w:tr>
        <w:tc>
          <w:tcPr>
            <w:tcW w:type="dxa" w:w="1872"/>
          </w:tcPr>
          <w:p>
            <w:r>
              <w:rPr>
                <w:sz w:val="18"/>
              </w:rPr>
              <w:t>AGT-IRP-022</w:t>
            </w:r>
          </w:p>
        </w:tc>
        <w:tc>
          <w:tcPr>
            <w:tcW w:type="dxa" w:w="4176"/>
          </w:tcPr>
          <w:p>
            <w:r>
              <w:rPr>
                <w:sz w:val="18"/>
              </w:rPr>
              <w:t>Incident Response Plan</w:t>
            </w:r>
          </w:p>
        </w:tc>
        <w:tc>
          <w:tcPr>
            <w:tcW w:type="dxa" w:w="3168"/>
          </w:tcPr>
          <w:p>
            <w:r>
              <w:rPr>
                <w:sz w:val="18"/>
              </w:rPr>
              <w:t>Vendor breach handling</w:t>
            </w:r>
          </w:p>
        </w:tc>
      </w:tr>
      <w:tr>
        <w:tc>
          <w:tcPr>
            <w:tcW w:type="dxa" w:w="1872"/>
          </w:tcPr>
          <w:p>
            <w:r>
              <w:rPr>
                <w:sz w:val="18"/>
              </w:rPr>
              <w:t>AGT-RMP-023</w:t>
            </w:r>
          </w:p>
        </w:tc>
        <w:tc>
          <w:tcPr>
            <w:tcW w:type="dxa" w:w="4176"/>
          </w:tcPr>
          <w:p>
            <w:r>
              <w:rPr>
                <w:sz w:val="18"/>
              </w:rPr>
              <w:t>Risk Management Plan</w:t>
            </w:r>
          </w:p>
        </w:tc>
        <w:tc>
          <w:tcPr>
            <w:tcW w:type="dxa" w:w="3168"/>
          </w:tcPr>
          <w:p>
            <w:r>
              <w:rPr>
                <w:sz w:val="18"/>
              </w:rPr>
              <w:t>Vendor risk feeds the risk register</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AGT-VRM-012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