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Zero Trust Architecture</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AGT-ZTA-001</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Confidential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document describes how zero trust principles are applied to DocuAction TEFCA ARC. The premise is straightforward and consequential: there is no trusted network in this architecture. The platform is reachable from the public internet, its users work from arbitrary locations, and its components communicate over provider networks. Trust is therefore established per request from identity and context, never from network position.</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2. Zero trust tenets and their implementation</w:t>
      </w:r>
    </w:p>
    <w:tbl>
      <w:tblPr>
        <w:tblStyle w:val="TableGrid"/>
        <w:tblW w:type="auto" w:w="0"/>
        <w:tblLook w:firstColumn="1" w:firstRow="1" w:lastColumn="0" w:lastRow="0" w:noHBand="0" w:noVBand="1" w:val="04A0"/>
      </w:tblPr>
      <w:tblGrid>
        <w:gridCol w:w="4680"/>
        <w:gridCol w:w="4680"/>
      </w:tblGrid>
      <w:tr>
        <w:tc>
          <w:tcPr>
            <w:tcW w:type="dxa" w:w="2736"/>
            <w:shd w:val="clear" w:fill="0F2B4C"/>
          </w:tcPr>
          <w:p>
            <w:r>
              <w:rPr>
                <w:b/>
                <w:color w:val="FFFFFF"/>
                <w:sz w:val="18"/>
              </w:rPr>
              <w:t>NIST SP 800-207 tenet</w:t>
            </w:r>
          </w:p>
        </w:tc>
        <w:tc>
          <w:tcPr>
            <w:tcW w:type="dxa" w:w="6192"/>
            <w:shd w:val="clear" w:fill="0F2B4C"/>
          </w:tcPr>
          <w:p>
            <w:r>
              <w:rPr>
                <w:b/>
                <w:color w:val="FFFFFF"/>
                <w:sz w:val="18"/>
              </w:rPr>
              <w:t>Implementation in this system</w:t>
            </w:r>
          </w:p>
        </w:tc>
      </w:tr>
      <w:tr>
        <w:tc>
          <w:tcPr>
            <w:tcW w:type="dxa" w:w="2736"/>
          </w:tcPr>
          <w:p>
            <w:r>
              <w:rPr>
                <w:sz w:val="18"/>
              </w:rPr>
              <w:t>All data sources and computing services are resources</w:t>
            </w:r>
          </w:p>
        </w:tc>
        <w:tc>
          <w:tcPr>
            <w:tcW w:type="dxa" w:w="6192"/>
          </w:tcPr>
          <w:p>
            <w:r>
              <w:rPr>
                <w:sz w:val="18"/>
              </w:rPr>
              <w:t>Every endpoint, the database, Key Vault, and each external interface is treated as a protected resource with its own access decision.</w:t>
            </w:r>
          </w:p>
        </w:tc>
      </w:tr>
      <w:tr>
        <w:tc>
          <w:tcPr>
            <w:tcW w:type="dxa" w:w="2736"/>
          </w:tcPr>
          <w:p>
            <w:r>
              <w:rPr>
                <w:sz w:val="18"/>
              </w:rPr>
              <w:t>All communication is secured regardless of network location</w:t>
            </w:r>
          </w:p>
        </w:tc>
        <w:tc>
          <w:tcPr>
            <w:tcW w:type="dxa" w:w="6192"/>
          </w:tcPr>
          <w:p>
            <w:r>
              <w:rPr>
                <w:sz w:val="18"/>
              </w:rPr>
              <w:t>TLS 1.2+ end to end; database connections require SSL; no plaintext path exists internally or externally.</w:t>
            </w:r>
          </w:p>
        </w:tc>
      </w:tr>
      <w:tr>
        <w:tc>
          <w:tcPr>
            <w:tcW w:type="dxa" w:w="2736"/>
          </w:tcPr>
          <w:p>
            <w:r>
              <w:rPr>
                <w:sz w:val="18"/>
              </w:rPr>
              <w:t>Access is granted per session</w:t>
            </w:r>
          </w:p>
        </w:tc>
        <w:tc>
          <w:tcPr>
            <w:tcW w:type="dxa" w:w="6192"/>
          </w:tcPr>
          <w:p>
            <w:r>
              <w:rPr>
                <w:sz w:val="18"/>
              </w:rPr>
              <w:t>Each request carries a bearer token validated for signature, expiry, revocation, and account state. Prior requests confer nothing.</w:t>
            </w:r>
          </w:p>
        </w:tc>
      </w:tr>
      <w:tr>
        <w:tc>
          <w:tcPr>
            <w:tcW w:type="dxa" w:w="2736"/>
          </w:tcPr>
          <w:p>
            <w:r>
              <w:rPr>
                <w:sz w:val="18"/>
              </w:rPr>
              <w:t>Access is determined by dynamic policy</w:t>
            </w:r>
          </w:p>
        </w:tc>
        <w:tc>
          <w:tcPr>
            <w:tcW w:type="dxa" w:w="6192"/>
          </w:tcPr>
          <w:p>
            <w:r>
              <w:rPr>
                <w:sz w:val="18"/>
              </w:rPr>
              <w:t>Role requirement per endpoint, plus Entra ID Conditional Access evaluating device compliance, sign-in risk, and location.</w:t>
            </w:r>
          </w:p>
        </w:tc>
      </w:tr>
      <w:tr>
        <w:tc>
          <w:tcPr>
            <w:tcW w:type="dxa" w:w="2736"/>
          </w:tcPr>
          <w:p>
            <w:r>
              <w:rPr>
                <w:sz w:val="18"/>
              </w:rPr>
              <w:t>The enterprise monitors the integrity and posture of all assets</w:t>
            </w:r>
          </w:p>
        </w:tc>
        <w:tc>
          <w:tcPr>
            <w:tcW w:type="dxa" w:w="6192"/>
          </w:tcPr>
          <w:p>
            <w:r>
              <w:rPr>
                <w:sz w:val="18"/>
              </w:rPr>
              <w:t>MDM for endpoints, nightly configuration drift detection, SBOM for components.</w:t>
            </w:r>
          </w:p>
        </w:tc>
      </w:tr>
      <w:tr>
        <w:tc>
          <w:tcPr>
            <w:tcW w:type="dxa" w:w="2736"/>
          </w:tcPr>
          <w:p>
            <w:r>
              <w:rPr>
                <w:sz w:val="18"/>
              </w:rPr>
              <w:t>Authentication and authorization are dynamic and strictly enforced before access</w:t>
            </w:r>
          </w:p>
        </w:tc>
        <w:tc>
          <w:tcPr>
            <w:tcW w:type="dxa" w:w="6192"/>
          </w:tcPr>
          <w:p>
            <w:r>
              <w:rPr>
                <w:sz w:val="18"/>
              </w:rPr>
              <w:t>Authorization dependencies execute before the handler; the audit record is written before the resource is touched.</w:t>
            </w:r>
          </w:p>
        </w:tc>
      </w:tr>
      <w:tr>
        <w:tc>
          <w:tcPr>
            <w:tcW w:type="dxa" w:w="2736"/>
          </w:tcPr>
          <w:p>
            <w:r>
              <w:rPr>
                <w:sz w:val="18"/>
              </w:rPr>
              <w:t>The enterprise collects information about asset state and uses it to improve posture</w:t>
            </w:r>
          </w:p>
        </w:tc>
        <w:tc>
          <w:tcPr>
            <w:tcW w:type="dxa" w:w="6192"/>
          </w:tcPr>
          <w:p>
            <w:r>
              <w:rPr>
                <w:sz w:val="18"/>
              </w:rPr>
              <w:t>Continuous monitoring under AGT-CMS-024 feeds the risk register and POA&amp;M.</w:t>
            </w:r>
          </w:p>
        </w:tc>
      </w:tr>
    </w:tbl>
    <w:p/>
    <w:p>
      <w:pPr>
        <w:pStyle w:val="Heading1"/>
      </w:pPr>
      <w:r>
        <w:t>3. Identity as the control plane</w:t>
      </w:r>
    </w:p>
    <w:p>
      <w:pPr>
        <w:pStyle w:val="ListBullet"/>
      </w:pPr>
      <w:r>
        <w:t>Microsoft Entra ID is the authoritative identity provider, with MFA enforced by Conditional Access rather than by application logic - policy that lives in the identity platform cannot be bypassed by a flaw in the application.</w:t>
      </w:r>
    </w:p>
    <w:p>
      <w:pPr>
        <w:pStyle w:val="ListBullet"/>
      </w:pPr>
      <w:r>
        <w:t>Both the federated and local authentication paths converge on one token format, so authorization is uniform and there is no weaker path to the same privilege.</w:t>
      </w:r>
    </w:p>
    <w:p>
      <w:pPr>
        <w:pStyle w:val="ListBullet"/>
      </w:pPr>
      <w:r>
        <w:t>Server-side session revocation means disablement takes effect immediately rather than at token expiry. A stateless token without revocation is a standing grant.</w:t>
      </w:r>
    </w:p>
    <w:p>
      <w:pPr>
        <w:pStyle w:val="ListBullet"/>
      </w:pPr>
      <w:r>
        <w:t>Service-to-service authentication uses managed identity, removing the stored credential entirely.</w:t>
      </w:r>
    </w:p>
    <w:p>
      <w:pPr>
        <w:pStyle w:val="Heading1"/>
      </w:pPr>
      <w:r>
        <w:t>4. Least privilege</w:t>
      </w:r>
    </w:p>
    <w:tbl>
      <w:tblPr>
        <w:tblStyle w:val="TableGrid"/>
        <w:tblW w:type="auto" w:w="0"/>
        <w:tblLook w:firstColumn="1" w:firstRow="1" w:lastColumn="0" w:lastRow="0" w:noHBand="0" w:noVBand="1" w:val="04A0"/>
      </w:tblPr>
      <w:tblGrid>
        <w:gridCol w:w="4680"/>
        <w:gridCol w:w="4680"/>
      </w:tblGrid>
      <w:tr>
        <w:tc>
          <w:tcPr>
            <w:tcW w:type="dxa" w:w="2160"/>
            <w:shd w:val="clear" w:fill="0F2B4C"/>
          </w:tcPr>
          <w:p>
            <w:r>
              <w:rPr>
                <w:b/>
                <w:color w:val="FFFFFF"/>
                <w:sz w:val="18"/>
              </w:rPr>
              <w:t>Domain</w:t>
            </w:r>
          </w:p>
        </w:tc>
        <w:tc>
          <w:tcPr>
            <w:tcW w:type="dxa" w:w="6768"/>
            <w:shd w:val="clear" w:fill="0F2B4C"/>
          </w:tcPr>
          <w:p>
            <w:r>
              <w:rPr>
                <w:b/>
                <w:color w:val="FFFFFF"/>
                <w:sz w:val="18"/>
              </w:rPr>
              <w:t>Implementation</w:t>
            </w:r>
          </w:p>
        </w:tc>
      </w:tr>
      <w:tr>
        <w:tc>
          <w:tcPr>
            <w:tcW w:type="dxa" w:w="2160"/>
          </w:tcPr>
          <w:p>
            <w:r>
              <w:rPr>
                <w:sz w:val="18"/>
              </w:rPr>
              <w:t>Application roles</w:t>
            </w:r>
          </w:p>
        </w:tc>
        <w:tc>
          <w:tcPr>
            <w:tcW w:type="dxa" w:w="6768"/>
          </w:tcPr>
          <w:p>
            <w:r>
              <w:rPr>
                <w:sz w:val="18"/>
              </w:rPr>
              <w:t>Six-level hierarchy; each endpoint declares its minimum</w:t>
            </w:r>
          </w:p>
        </w:tc>
      </w:tr>
      <w:tr>
        <w:tc>
          <w:tcPr>
            <w:tcW w:type="dxa" w:w="2160"/>
          </w:tcPr>
          <w:p>
            <w:r>
              <w:rPr>
                <w:sz w:val="18"/>
              </w:rPr>
              <w:t>Azure RBAC</w:t>
            </w:r>
          </w:p>
        </w:tc>
        <w:tc>
          <w:tcPr>
            <w:tcW w:type="dxa" w:w="6768"/>
          </w:tcPr>
          <w:p>
            <w:r>
              <w:rPr>
                <w:sz w:val="18"/>
              </w:rPr>
              <w:t>Scoped to resource group; no standing subscription-level Contributor</w:t>
            </w:r>
          </w:p>
        </w:tc>
      </w:tr>
      <w:tr>
        <w:tc>
          <w:tcPr>
            <w:tcW w:type="dxa" w:w="2160"/>
          </w:tcPr>
          <w:p>
            <w:r>
              <w:rPr>
                <w:sz w:val="18"/>
              </w:rPr>
              <w:t>CI/CD</w:t>
            </w:r>
          </w:p>
        </w:tc>
        <w:tc>
          <w:tcPr>
            <w:tcW w:type="dxa" w:w="6768"/>
          </w:tcPr>
          <w:p>
            <w:r>
              <w:rPr>
                <w:sz w:val="18"/>
              </w:rPr>
              <w:t>Service principal limited to the two deployment resource groups</w:t>
            </w:r>
          </w:p>
        </w:tc>
      </w:tr>
      <w:tr>
        <w:tc>
          <w:tcPr>
            <w:tcW w:type="dxa" w:w="2160"/>
          </w:tcPr>
          <w:p>
            <w:r>
              <w:rPr>
                <w:sz w:val="18"/>
              </w:rPr>
              <w:t>Key Vault</w:t>
            </w:r>
          </w:p>
        </w:tc>
        <w:tc>
          <w:tcPr>
            <w:tcW w:type="dxa" w:w="6768"/>
          </w:tcPr>
          <w:p>
            <w:r>
              <w:rPr>
                <w:sz w:val="18"/>
              </w:rPr>
              <w:t>Read-only secret access for the application identity</w:t>
            </w:r>
          </w:p>
        </w:tc>
      </w:tr>
      <w:tr>
        <w:tc>
          <w:tcPr>
            <w:tcW w:type="dxa" w:w="2160"/>
          </w:tcPr>
          <w:p>
            <w:r>
              <w:rPr>
                <w:sz w:val="18"/>
              </w:rPr>
              <w:t>Database</w:t>
            </w:r>
          </w:p>
        </w:tc>
        <w:tc>
          <w:tcPr>
            <w:tcW w:type="dxa" w:w="6768"/>
          </w:tcPr>
          <w:p>
            <w:r>
              <w:rPr>
                <w:sz w:val="18"/>
              </w:rPr>
              <w:t>Application account holds only the privileges its queries require</w:t>
            </w:r>
          </w:p>
        </w:tc>
      </w:tr>
      <w:tr>
        <w:tc>
          <w:tcPr>
            <w:tcW w:type="dxa" w:w="2160"/>
          </w:tcPr>
          <w:p>
            <w:r>
              <w:rPr>
                <w:sz w:val="18"/>
              </w:rPr>
              <w:t>Administrative access</w:t>
            </w:r>
          </w:p>
        </w:tc>
        <w:tc>
          <w:tcPr>
            <w:tcW w:type="dxa" w:w="6768"/>
          </w:tcPr>
          <w:p>
            <w:r>
              <w:rPr>
                <w:sz w:val="18"/>
              </w:rPr>
              <w:t>Named individuals; time-bound elevation where available</w:t>
            </w:r>
          </w:p>
        </w:tc>
      </w:tr>
    </w:tbl>
    <w:p/>
    <w:p>
      <w:pPr>
        <w:pStyle w:val="Heading1"/>
      </w:pPr>
      <w:r>
        <w:t>5. Conditional access and device trust</w:t>
      </w:r>
    </w:p>
    <w:tbl>
      <w:tblPr>
        <w:tblStyle w:val="TableGrid"/>
        <w:tblW w:type="auto" w:w="0"/>
        <w:tblLook w:firstColumn="1" w:firstRow="1" w:lastColumn="0" w:lastRow="0" w:noHBand="0" w:noVBand="1" w:val="04A0"/>
      </w:tblPr>
      <w:tblGrid>
        <w:gridCol w:w="3120"/>
        <w:gridCol w:w="3120"/>
        <w:gridCol w:w="3120"/>
      </w:tblGrid>
      <w:tr>
        <w:tc>
          <w:tcPr>
            <w:tcW w:type="dxa" w:w="2016"/>
            <w:shd w:val="clear" w:fill="0F2B4C"/>
          </w:tcPr>
          <w:p>
            <w:r>
              <w:rPr>
                <w:b/>
                <w:color w:val="FFFFFF"/>
                <w:sz w:val="18"/>
              </w:rPr>
              <w:t>Signal</w:t>
            </w:r>
          </w:p>
        </w:tc>
        <w:tc>
          <w:tcPr>
            <w:tcW w:type="dxa" w:w="3168"/>
            <w:shd w:val="clear" w:fill="0F2B4C"/>
          </w:tcPr>
          <w:p>
            <w:r>
              <w:rPr>
                <w:b/>
                <w:color w:val="FFFFFF"/>
                <w:sz w:val="18"/>
              </w:rPr>
              <w:t>Policy</w:t>
            </w:r>
          </w:p>
        </w:tc>
        <w:tc>
          <w:tcPr>
            <w:tcW w:type="dxa" w:w="3744"/>
            <w:shd w:val="clear" w:fill="0F2B4C"/>
          </w:tcPr>
          <w:p>
            <w:r>
              <w:rPr>
                <w:b/>
                <w:color w:val="FFFFFF"/>
                <w:sz w:val="18"/>
              </w:rPr>
              <w:t>Effect</w:t>
            </w:r>
          </w:p>
        </w:tc>
      </w:tr>
      <w:tr>
        <w:tc>
          <w:tcPr>
            <w:tcW w:type="dxa" w:w="2016"/>
          </w:tcPr>
          <w:p>
            <w:r>
              <w:rPr>
                <w:sz w:val="18"/>
              </w:rPr>
              <w:t>MFA</w:t>
            </w:r>
          </w:p>
        </w:tc>
        <w:tc>
          <w:tcPr>
            <w:tcW w:type="dxa" w:w="3168"/>
          </w:tcPr>
          <w:p>
            <w:r>
              <w:rPr>
                <w:sz w:val="18"/>
              </w:rPr>
              <w:t>Required for all users</w:t>
            </w:r>
          </w:p>
        </w:tc>
        <w:tc>
          <w:tcPr>
            <w:tcW w:type="dxa" w:w="3744"/>
          </w:tcPr>
          <w:p>
            <w:r>
              <w:rPr>
                <w:sz w:val="18"/>
              </w:rPr>
              <w:t>No exception</w:t>
            </w:r>
          </w:p>
        </w:tc>
      </w:tr>
      <w:tr>
        <w:tc>
          <w:tcPr>
            <w:tcW w:type="dxa" w:w="2016"/>
          </w:tcPr>
          <w:p>
            <w:r>
              <w:rPr>
                <w:sz w:val="18"/>
              </w:rPr>
              <w:t>Device compliance</w:t>
            </w:r>
          </w:p>
        </w:tc>
        <w:tc>
          <w:tcPr>
            <w:tcW w:type="dxa" w:w="3168"/>
          </w:tcPr>
          <w:p>
            <w:r>
              <w:rPr>
                <w:sz w:val="18"/>
              </w:rPr>
              <w:t>Required for administrative roles</w:t>
            </w:r>
          </w:p>
        </w:tc>
        <w:tc>
          <w:tcPr>
            <w:tcW w:type="dxa" w:w="3744"/>
          </w:tcPr>
          <w:p>
            <w:r>
              <w:rPr>
                <w:sz w:val="18"/>
              </w:rPr>
              <w:t>Non-compliant device blocked</w:t>
            </w:r>
          </w:p>
        </w:tc>
      </w:tr>
      <w:tr>
        <w:tc>
          <w:tcPr>
            <w:tcW w:type="dxa" w:w="2016"/>
          </w:tcPr>
          <w:p>
            <w:r>
              <w:rPr>
                <w:sz w:val="18"/>
              </w:rPr>
              <w:t>Sign-in risk</w:t>
            </w:r>
          </w:p>
        </w:tc>
        <w:tc>
          <w:tcPr>
            <w:tcW w:type="dxa" w:w="3168"/>
          </w:tcPr>
          <w:p>
            <w:r>
              <w:rPr>
                <w:sz w:val="18"/>
              </w:rPr>
              <w:t>Evaluated by Entra ID Protection</w:t>
            </w:r>
          </w:p>
        </w:tc>
        <w:tc>
          <w:tcPr>
            <w:tcW w:type="dxa" w:w="3744"/>
          </w:tcPr>
          <w:p>
            <w:r>
              <w:rPr>
                <w:sz w:val="18"/>
              </w:rPr>
              <w:t>Step-up authentication</w:t>
            </w:r>
          </w:p>
        </w:tc>
      </w:tr>
      <w:tr>
        <w:tc>
          <w:tcPr>
            <w:tcW w:type="dxa" w:w="2016"/>
          </w:tcPr>
          <w:p>
            <w:r>
              <w:rPr>
                <w:sz w:val="18"/>
              </w:rPr>
              <w:t>Legacy authentication</w:t>
            </w:r>
          </w:p>
        </w:tc>
        <w:tc>
          <w:tcPr>
            <w:tcW w:type="dxa" w:w="3168"/>
          </w:tcPr>
          <w:p>
            <w:r>
              <w:rPr>
                <w:sz w:val="18"/>
              </w:rPr>
              <w:t>Blocked</w:t>
            </w:r>
          </w:p>
        </w:tc>
        <w:tc>
          <w:tcPr>
            <w:tcW w:type="dxa" w:w="3744"/>
          </w:tcPr>
          <w:p>
            <w:r>
              <w:rPr>
                <w:sz w:val="18"/>
              </w:rPr>
              <w:t>Cannot carry an MFA challenge</w:t>
            </w:r>
          </w:p>
        </w:tc>
      </w:tr>
      <w:tr>
        <w:tc>
          <w:tcPr>
            <w:tcW w:type="dxa" w:w="2016"/>
          </w:tcPr>
          <w:p>
            <w:r>
              <w:rPr>
                <w:sz w:val="18"/>
              </w:rPr>
              <w:t>Impossible travel</w:t>
            </w:r>
          </w:p>
        </w:tc>
        <w:tc>
          <w:tcPr>
            <w:tcW w:type="dxa" w:w="3168"/>
          </w:tcPr>
          <w:p>
            <w:r>
              <w:rPr>
                <w:sz w:val="18"/>
              </w:rPr>
              <w:t>Detected</w:t>
            </w:r>
          </w:p>
        </w:tc>
        <w:tc>
          <w:tcPr>
            <w:tcW w:type="dxa" w:w="3744"/>
          </w:tcPr>
          <w:p>
            <w:r>
              <w:rPr>
                <w:sz w:val="18"/>
              </w:rPr>
              <w:t>Re-authentication required</w:t>
            </w:r>
          </w:p>
        </w:tc>
      </w:tr>
    </w:tbl>
    <w:p/>
    <w:p>
      <w:pPr>
        <w:pStyle w:val="Heading1"/>
      </w:pPr>
      <w:r>
        <w:t>6. Micro-segmentation and network posture</w:t>
      </w:r>
    </w:p>
    <w:p>
      <w:r>
        <w:t>The architecture is deliberately simple, which reduces the segmentation surface: a stateless API tier, a managed database, and a static frontend with no server-side execution. The frontend cannot reach the database; only the API can. There is no lateral movement path between application components because there are no components to move between.</w:t>
      </w:r>
    </w:p>
    <w:tbl>
      <w:tblPr>
        <w:tblStyle w:val="TableGrid"/>
        <w:tblW w:type="auto" w:w="0"/>
        <w:tblLook w:firstColumn="1" w:firstRow="1" w:lastColumn="0" w:lastRow="0" w:noHBand="0" w:noVBand="1" w:val="04A0"/>
      </w:tblPr>
      <w:tblGrid>
        <w:gridCol w:w="3120"/>
        <w:gridCol w:w="3120"/>
        <w:gridCol w:w="3120"/>
      </w:tblGrid>
      <w:tr>
        <w:tc>
          <w:tcPr>
            <w:tcW w:type="dxa" w:w="2304"/>
            <w:shd w:val="clear" w:fill="0F2B4C"/>
          </w:tcPr>
          <w:p>
            <w:r>
              <w:rPr>
                <w:b/>
                <w:color w:val="FFFFFF"/>
                <w:sz w:val="18"/>
              </w:rPr>
              <w:t>Boundary</w:t>
            </w:r>
          </w:p>
        </w:tc>
        <w:tc>
          <w:tcPr>
            <w:tcW w:type="dxa" w:w="4464"/>
            <w:shd w:val="clear" w:fill="0F2B4C"/>
          </w:tcPr>
          <w:p>
            <w:r>
              <w:rPr>
                <w:b/>
                <w:color w:val="FFFFFF"/>
                <w:sz w:val="18"/>
              </w:rPr>
              <w:t>Control</w:t>
            </w:r>
          </w:p>
        </w:tc>
        <w:tc>
          <w:tcPr>
            <w:tcW w:type="dxa" w:w="2160"/>
            <w:shd w:val="clear" w:fill="0F2B4C"/>
          </w:tcPr>
          <w:p>
            <w:r>
              <w:rPr>
                <w:b/>
                <w:color w:val="FFFFFF"/>
                <w:sz w:val="18"/>
              </w:rPr>
              <w:t>Status</w:t>
            </w:r>
          </w:p>
        </w:tc>
      </w:tr>
      <w:tr>
        <w:tc>
          <w:tcPr>
            <w:tcW w:type="dxa" w:w="2304"/>
          </w:tcPr>
          <w:p>
            <w:r>
              <w:rPr>
                <w:sz w:val="18"/>
              </w:rPr>
              <w:t>Internet to frontend</w:t>
            </w:r>
          </w:p>
        </w:tc>
        <w:tc>
          <w:tcPr>
            <w:tcW w:type="dxa" w:w="4464"/>
          </w:tcPr>
          <w:p>
            <w:r>
              <w:rPr>
                <w:sz w:val="18"/>
              </w:rPr>
              <w:t>HTTPS only; static content</w:t>
            </w:r>
          </w:p>
        </w:tc>
        <w:tc>
          <w:tcPr>
            <w:tcW w:type="dxa" w:w="2160"/>
          </w:tcPr>
          <w:p>
            <w:r>
              <w:rPr>
                <w:sz w:val="18"/>
              </w:rPr>
              <w:t>Implemented</w:t>
            </w:r>
          </w:p>
        </w:tc>
      </w:tr>
      <w:tr>
        <w:tc>
          <w:tcPr>
            <w:tcW w:type="dxa" w:w="2304"/>
          </w:tcPr>
          <w:p>
            <w:r>
              <w:rPr>
                <w:sz w:val="18"/>
              </w:rPr>
              <w:t>Internet to API</w:t>
            </w:r>
          </w:p>
        </w:tc>
        <w:tc>
          <w:tcPr>
            <w:tcW w:type="dxa" w:w="4464"/>
          </w:tcPr>
          <w:p>
            <w:r>
              <w:rPr>
                <w:sz w:val="18"/>
              </w:rPr>
              <w:t>HTTPS only; trusted-host validation; strict CORS</w:t>
            </w:r>
          </w:p>
        </w:tc>
        <w:tc>
          <w:tcPr>
            <w:tcW w:type="dxa" w:w="2160"/>
          </w:tcPr>
          <w:p>
            <w:r>
              <w:rPr>
                <w:sz w:val="18"/>
              </w:rPr>
              <w:t>Implemented</w:t>
            </w:r>
          </w:p>
        </w:tc>
      </w:tr>
      <w:tr>
        <w:tc>
          <w:tcPr>
            <w:tcW w:type="dxa" w:w="2304"/>
          </w:tcPr>
          <w:p>
            <w:r>
              <w:rPr>
                <w:sz w:val="18"/>
              </w:rPr>
              <w:t>API to database</w:t>
            </w:r>
          </w:p>
        </w:tc>
        <w:tc>
          <w:tcPr>
            <w:tcW w:type="dxa" w:w="4464"/>
          </w:tcPr>
          <w:p>
            <w:r>
              <w:rPr>
                <w:sz w:val="18"/>
              </w:rPr>
              <w:t>SSL required; credentials scoped</w:t>
            </w:r>
          </w:p>
        </w:tc>
        <w:tc>
          <w:tcPr>
            <w:tcW w:type="dxa" w:w="2160"/>
          </w:tcPr>
          <w:p>
            <w:r>
              <w:rPr>
                <w:sz w:val="18"/>
              </w:rPr>
              <w:t>Implemented</w:t>
            </w:r>
          </w:p>
        </w:tc>
      </w:tr>
      <w:tr>
        <w:tc>
          <w:tcPr>
            <w:tcW w:type="dxa" w:w="2304"/>
          </w:tcPr>
          <w:p>
            <w:r>
              <w:rPr>
                <w:sz w:val="18"/>
              </w:rPr>
              <w:t>API to Key Vault</w:t>
            </w:r>
          </w:p>
        </w:tc>
        <w:tc>
          <w:tcPr>
            <w:tcW w:type="dxa" w:w="4464"/>
          </w:tcPr>
          <w:p>
            <w:r>
              <w:rPr>
                <w:sz w:val="18"/>
              </w:rPr>
              <w:t>Managed identity; RBAC</w:t>
            </w:r>
          </w:p>
        </w:tc>
        <w:tc>
          <w:tcPr>
            <w:tcW w:type="dxa" w:w="2160"/>
          </w:tcPr>
          <w:p>
            <w:r>
              <w:rPr>
                <w:sz w:val="18"/>
              </w:rPr>
              <w:t>Implemented</w:t>
            </w:r>
          </w:p>
        </w:tc>
      </w:tr>
      <w:tr>
        <w:tc>
          <w:tcPr>
            <w:tcW w:type="dxa" w:w="2304"/>
          </w:tcPr>
          <w:p>
            <w:r>
              <w:rPr>
                <w:sz w:val="18"/>
              </w:rPr>
              <w:t>API to AI providers</w:t>
            </w:r>
          </w:p>
        </w:tc>
        <w:tc>
          <w:tcPr>
            <w:tcW w:type="dxa" w:w="4464"/>
          </w:tcPr>
          <w:p>
            <w:r>
              <w:rPr>
                <w:sz w:val="18"/>
              </w:rPr>
              <w:t>TLS; minimum-necessary payload; scrubbing</w:t>
            </w:r>
          </w:p>
        </w:tc>
        <w:tc>
          <w:tcPr>
            <w:tcW w:type="dxa" w:w="2160"/>
          </w:tcPr>
          <w:p>
            <w:r>
              <w:rPr>
                <w:sz w:val="18"/>
              </w:rPr>
              <w:t>Implemented</w:t>
            </w:r>
          </w:p>
        </w:tc>
      </w:tr>
      <w:tr>
        <w:tc>
          <w:tcPr>
            <w:tcW w:type="dxa" w:w="2304"/>
          </w:tcPr>
          <w:p>
            <w:r>
              <w:rPr>
                <w:sz w:val="18"/>
              </w:rPr>
              <w:t>Database network exposure</w:t>
            </w:r>
          </w:p>
        </w:tc>
        <w:tc>
          <w:tcPr>
            <w:tcW w:type="dxa" w:w="4464"/>
          </w:tcPr>
          <w:p>
            <w:r>
              <w:rPr>
                <w:sz w:val="18"/>
              </w:rPr>
              <w:t>Private endpoint</w:t>
            </w:r>
          </w:p>
        </w:tc>
        <w:tc>
          <w:tcPr>
            <w:tcW w:type="dxa" w:w="2160"/>
          </w:tcPr>
          <w:p>
            <w:r>
              <w:rPr>
                <w:sz w:val="18"/>
              </w:rPr>
              <w:t>Roadmap - currently firewall-restricted</w:t>
            </w:r>
          </w:p>
        </w:tc>
      </w:tr>
    </w:tbl>
    <w:p/>
    <w:p>
      <w:r>
        <w:rPr>
          <w:i/>
          <w:color w:val="5A5A5A"/>
          <w:sz w:val="19"/>
        </w:rPr>
        <w:t>Private endpoints for the database are a roadmap item. The current control is firewall restriction plus mandatory SSL, which is materially weaker than removing public reachability altogether. Stated here rather than omitted, because a zero trust document that claims segmentation it does not have is the exact failure mode this architecture is meant to avoid.</w:t>
      </w:r>
    </w:p>
    <w:p>
      <w:pPr>
        <w:pStyle w:val="Heading1"/>
      </w:pPr>
      <w:r>
        <w:t>7. Continuous verification</w:t>
      </w:r>
    </w:p>
    <w:p>
      <w:pPr>
        <w:pStyle w:val="ListBullet"/>
      </w:pPr>
      <w:r>
        <w:t>Every request re-validates identity, session state, and role. There is no 'authenticated once' state that survives a role change or a disablement.</w:t>
      </w:r>
    </w:p>
    <w:p>
      <w:pPr>
        <w:pStyle w:val="ListBullet"/>
      </w:pPr>
      <w:r>
        <w:t>Every PHI-surface access is recorded before the handler runs.</w:t>
      </w:r>
    </w:p>
    <w:p>
      <w:pPr>
        <w:pStyle w:val="ListBullet"/>
      </w:pPr>
      <w:r>
        <w:t>Configuration drift is detected nightly, so a control that stops operating is discovered rather than assumed.</w:t>
      </w:r>
    </w:p>
    <w:p>
      <w:pPr>
        <w:pStyle w:val="ListBullet"/>
      </w:pPr>
      <w:r>
        <w:t>Scanning runs nightly against the codebase and dependencies.</w:t>
      </w:r>
    </w:p>
    <w:p>
      <w:pPr>
        <w:pStyle w:val="Heading1"/>
      </w:pPr>
      <w:r>
        <w:t>8. Assume breach</w:t>
      </w:r>
    </w:p>
    <w:p>
      <w:pPr>
        <w:pStyle w:val="ListBullet"/>
      </w:pPr>
      <w:r>
        <w:t>Secrets are held in Key Vault so that application compromise does not immediately yield the database credential - subject to the open finding that one credential is not yet migrated.</w:t>
      </w:r>
    </w:p>
    <w:p>
      <w:pPr>
        <w:pStyle w:val="ListBullet"/>
      </w:pPr>
      <w:r>
        <w:t>Audit records are written to a store the application can append to but is not designed to rewrite; Azure activity logs are a separate domain entirely.</w:t>
      </w:r>
    </w:p>
    <w:p>
      <w:pPr>
        <w:pStyle w:val="ListBullet"/>
      </w:pPr>
      <w:r>
        <w:t>Backups are managed by the platform and are outside the reach of an application-level compromise, which is what makes them useful against ransomware.</w:t>
      </w:r>
    </w:p>
    <w:p>
      <w:pPr>
        <w:pStyle w:val="ListBullet"/>
      </w:pPr>
      <w:r>
        <w:t>Token signing key rotation invalidates every issued token, providing a single decisive containment action.</w:t>
      </w:r>
    </w:p>
    <w:p>
      <w:pPr>
        <w:pStyle w:val="Heading1"/>
      </w:pPr>
      <w:r>
        <w:t>9. Maturity assessment</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fill="0F2B4C"/>
          </w:tcPr>
          <w:p>
            <w:r>
              <w:rPr>
                <w:b/>
                <w:color w:val="FFFFFF"/>
                <w:sz w:val="18"/>
              </w:rPr>
              <w:t>Pillar</w:t>
            </w:r>
          </w:p>
        </w:tc>
        <w:tc>
          <w:tcPr>
            <w:tcW w:type="dxa" w:w="1728"/>
            <w:shd w:val="clear" w:fill="0F2B4C"/>
          </w:tcPr>
          <w:p>
            <w:r>
              <w:rPr>
                <w:b/>
                <w:color w:val="FFFFFF"/>
                <w:sz w:val="18"/>
              </w:rPr>
              <w:t>Current maturity</w:t>
            </w:r>
          </w:p>
        </w:tc>
        <w:tc>
          <w:tcPr>
            <w:tcW w:type="dxa" w:w="3168"/>
            <w:shd w:val="clear" w:fill="0F2B4C"/>
          </w:tcPr>
          <w:p>
            <w:r>
              <w:rPr>
                <w:b/>
                <w:color w:val="FFFFFF"/>
                <w:sz w:val="18"/>
              </w:rPr>
              <w:t>Evidence</w:t>
            </w:r>
          </w:p>
        </w:tc>
        <w:tc>
          <w:tcPr>
            <w:tcW w:type="dxa" w:w="2160"/>
            <w:shd w:val="clear" w:fill="0F2B4C"/>
          </w:tcPr>
          <w:p>
            <w:r>
              <w:rPr>
                <w:b/>
                <w:color w:val="FFFFFF"/>
                <w:sz w:val="18"/>
              </w:rPr>
              <w:t>Next step</w:t>
            </w:r>
          </w:p>
        </w:tc>
      </w:tr>
      <w:tr>
        <w:tc>
          <w:tcPr>
            <w:tcW w:type="dxa" w:w="1872"/>
          </w:tcPr>
          <w:p>
            <w:r>
              <w:rPr>
                <w:sz w:val="18"/>
              </w:rPr>
              <w:t>Identity</w:t>
            </w:r>
          </w:p>
        </w:tc>
        <w:tc>
          <w:tcPr>
            <w:tcW w:type="dxa" w:w="1728"/>
          </w:tcPr>
          <w:p>
            <w:r>
              <w:rPr>
                <w:sz w:val="18"/>
              </w:rPr>
              <w:t>Advanced</w:t>
            </w:r>
          </w:p>
        </w:tc>
        <w:tc>
          <w:tcPr>
            <w:tcW w:type="dxa" w:w="3168"/>
          </w:tcPr>
          <w:p>
            <w:r>
              <w:rPr>
                <w:sz w:val="18"/>
              </w:rPr>
              <w:t>MFA, Conditional Access, managed identity, revocation</w:t>
            </w:r>
          </w:p>
        </w:tc>
        <w:tc>
          <w:tcPr>
            <w:tcW w:type="dxa" w:w="2160"/>
          </w:tcPr>
          <w:p>
            <w:r>
              <w:rPr>
                <w:sz w:val="18"/>
              </w:rPr>
              <w:t>Enable PIM tenant-wide</w:t>
            </w:r>
          </w:p>
        </w:tc>
      </w:tr>
      <w:tr>
        <w:tc>
          <w:tcPr>
            <w:tcW w:type="dxa" w:w="1872"/>
          </w:tcPr>
          <w:p>
            <w:r>
              <w:rPr>
                <w:sz w:val="18"/>
              </w:rPr>
              <w:t>Devices</w:t>
            </w:r>
          </w:p>
        </w:tc>
        <w:tc>
          <w:tcPr>
            <w:tcW w:type="dxa" w:w="1728"/>
          </w:tcPr>
          <w:p>
            <w:r>
              <w:rPr>
                <w:sz w:val="18"/>
              </w:rPr>
              <w:t>Intermediate</w:t>
            </w:r>
          </w:p>
        </w:tc>
        <w:tc>
          <w:tcPr>
            <w:tcW w:type="dxa" w:w="3168"/>
          </w:tcPr>
          <w:p>
            <w:r>
              <w:rPr>
                <w:sz w:val="18"/>
              </w:rPr>
              <w:t>MDM, encryption, compliance signals</w:t>
            </w:r>
          </w:p>
        </w:tc>
        <w:tc>
          <w:tcPr>
            <w:tcW w:type="dxa" w:w="2160"/>
          </w:tcPr>
          <w:p>
            <w:r>
              <w:rPr>
                <w:sz w:val="18"/>
              </w:rPr>
              <w:t>Extend compliance requirement to all roles</w:t>
            </w:r>
          </w:p>
        </w:tc>
      </w:tr>
      <w:tr>
        <w:tc>
          <w:tcPr>
            <w:tcW w:type="dxa" w:w="1872"/>
          </w:tcPr>
          <w:p>
            <w:r>
              <w:rPr>
                <w:sz w:val="18"/>
              </w:rPr>
              <w:t>Networks</w:t>
            </w:r>
          </w:p>
        </w:tc>
        <w:tc>
          <w:tcPr>
            <w:tcW w:type="dxa" w:w="1728"/>
          </w:tcPr>
          <w:p>
            <w:r>
              <w:rPr>
                <w:sz w:val="18"/>
              </w:rPr>
              <w:t>Intermediate</w:t>
            </w:r>
          </w:p>
        </w:tc>
        <w:tc>
          <w:tcPr>
            <w:tcW w:type="dxa" w:w="3168"/>
          </w:tcPr>
          <w:p>
            <w:r>
              <w:rPr>
                <w:sz w:val="18"/>
              </w:rPr>
              <w:t>TLS everywhere, host validation, no internal trust</w:t>
            </w:r>
          </w:p>
        </w:tc>
        <w:tc>
          <w:tcPr>
            <w:tcW w:type="dxa" w:w="2160"/>
          </w:tcPr>
          <w:p>
            <w:r>
              <w:rPr>
                <w:sz w:val="18"/>
              </w:rPr>
              <w:t>Private endpoints for the database</w:t>
            </w:r>
          </w:p>
        </w:tc>
      </w:tr>
      <w:tr>
        <w:tc>
          <w:tcPr>
            <w:tcW w:type="dxa" w:w="1872"/>
          </w:tcPr>
          <w:p>
            <w:r>
              <w:rPr>
                <w:sz w:val="18"/>
              </w:rPr>
              <w:t>Applications</w:t>
            </w:r>
          </w:p>
        </w:tc>
        <w:tc>
          <w:tcPr>
            <w:tcW w:type="dxa" w:w="1728"/>
          </w:tcPr>
          <w:p>
            <w:r>
              <w:rPr>
                <w:sz w:val="18"/>
              </w:rPr>
              <w:t>Advanced</w:t>
            </w:r>
          </w:p>
        </w:tc>
        <w:tc>
          <w:tcPr>
            <w:tcW w:type="dxa" w:w="3168"/>
          </w:tcPr>
          <w:p>
            <w:r>
              <w:rPr>
                <w:sz w:val="18"/>
              </w:rPr>
              <w:t>Router-level authorization, input validation, scanning</w:t>
            </w:r>
          </w:p>
        </w:tc>
        <w:tc>
          <w:tcPr>
            <w:tcW w:type="dxa" w:w="2160"/>
          </w:tcPr>
          <w:p>
            <w:r>
              <w:rPr>
                <w:sz w:val="18"/>
              </w:rPr>
              <w:t>Close remaining partial controls</w:t>
            </w:r>
          </w:p>
        </w:tc>
      </w:tr>
      <w:tr>
        <w:tc>
          <w:tcPr>
            <w:tcW w:type="dxa" w:w="1872"/>
          </w:tcPr>
          <w:p>
            <w:r>
              <w:rPr>
                <w:sz w:val="18"/>
              </w:rPr>
              <w:t>Data</w:t>
            </w:r>
          </w:p>
        </w:tc>
        <w:tc>
          <w:tcPr>
            <w:tcW w:type="dxa" w:w="1728"/>
          </w:tcPr>
          <w:p>
            <w:r>
              <w:rPr>
                <w:sz w:val="18"/>
              </w:rPr>
              <w:t>Intermediate</w:t>
            </w:r>
          </w:p>
        </w:tc>
        <w:tc>
          <w:tcPr>
            <w:tcW w:type="dxa" w:w="3168"/>
          </w:tcPr>
          <w:p>
            <w:r>
              <w:rPr>
                <w:sz w:val="18"/>
              </w:rPr>
              <w:t>Classification, encryption, retention, audit</w:t>
            </w:r>
          </w:p>
        </w:tc>
        <w:tc>
          <w:tcPr>
            <w:tcW w:type="dxa" w:w="2160"/>
          </w:tcPr>
          <w:p>
            <w:r>
              <w:rPr>
                <w:sz w:val="18"/>
              </w:rPr>
              <w:t>Tamper-evident audit log</w:t>
            </w:r>
          </w:p>
        </w:tc>
      </w:tr>
      <w:tr>
        <w:tc>
          <w:tcPr>
            <w:tcW w:type="dxa" w:w="1872"/>
          </w:tcPr>
          <w:p>
            <w:r>
              <w:rPr>
                <w:sz w:val="18"/>
              </w:rPr>
              <w:t>Visibility and analytics</w:t>
            </w:r>
          </w:p>
        </w:tc>
        <w:tc>
          <w:tcPr>
            <w:tcW w:type="dxa" w:w="1728"/>
          </w:tcPr>
          <w:p>
            <w:r>
              <w:rPr>
                <w:sz w:val="18"/>
              </w:rPr>
              <w:t>Initial</w:t>
            </w:r>
          </w:p>
        </w:tc>
        <w:tc>
          <w:tcPr>
            <w:tcW w:type="dxa" w:w="3168"/>
          </w:tcPr>
          <w:p>
            <w:r>
              <w:rPr>
                <w:sz w:val="18"/>
              </w:rPr>
              <w:t>Monitoring and alerting configured</w:t>
            </w:r>
          </w:p>
        </w:tc>
        <w:tc>
          <w:tcPr>
            <w:tcW w:type="dxa" w:w="2160"/>
          </w:tcPr>
          <w:p>
            <w:r>
              <w:rPr>
                <w:sz w:val="18"/>
              </w:rPr>
              <w:t>SIEM correlation</w:t>
            </w:r>
          </w:p>
        </w:tc>
      </w:tr>
      <w:tr>
        <w:tc>
          <w:tcPr>
            <w:tcW w:type="dxa" w:w="1872"/>
          </w:tcPr>
          <w:p>
            <w:r>
              <w:rPr>
                <w:sz w:val="18"/>
              </w:rPr>
              <w:t>Automation and orchestration</w:t>
            </w:r>
          </w:p>
        </w:tc>
        <w:tc>
          <w:tcPr>
            <w:tcW w:type="dxa" w:w="1728"/>
          </w:tcPr>
          <w:p>
            <w:r>
              <w:rPr>
                <w:sz w:val="18"/>
              </w:rPr>
              <w:t>Intermediate</w:t>
            </w:r>
          </w:p>
        </w:tc>
        <w:tc>
          <w:tcPr>
            <w:tcW w:type="dxa" w:w="3168"/>
          </w:tcPr>
          <w:p>
            <w:r>
              <w:rPr>
                <w:sz w:val="18"/>
              </w:rPr>
              <w:t>CI/CD gates, nightly scanning</w:t>
            </w:r>
          </w:p>
        </w:tc>
        <w:tc>
          <w:tcPr>
            <w:tcW w:type="dxa" w:w="2160"/>
          </w:tcPr>
          <w:p>
            <w:r>
              <w:rPr>
                <w:sz w:val="18"/>
              </w:rPr>
              <w:t>Automated response to defined events</w:t>
            </w:r>
          </w:p>
        </w:tc>
      </w:tr>
    </w:tbl>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SP 800-207</w:t>
            </w:r>
          </w:p>
        </w:tc>
        <w:tc>
          <w:tcPr>
            <w:tcW w:type="dxa" w:w="2160"/>
          </w:tcPr>
          <w:p>
            <w:r>
              <w:rPr>
                <w:sz w:val="18"/>
              </w:rPr>
              <w:t>Zero Trust Architecture</w:t>
            </w:r>
          </w:p>
        </w:tc>
        <w:tc>
          <w:tcPr>
            <w:tcW w:type="dxa" w:w="4320"/>
          </w:tcPr>
          <w:p>
            <w:r>
              <w:rPr>
                <w:sz w:val="18"/>
              </w:rPr>
              <w:t>Tenets mapped to implementation in section 2.</w:t>
            </w:r>
          </w:p>
        </w:tc>
        <w:tc>
          <w:tcPr>
            <w:tcW w:type="dxa" w:w="1152"/>
          </w:tcPr>
          <w:p>
            <w:r>
              <w:rPr>
                <w:sz w:val="18"/>
              </w:rPr>
              <w:t>Met</w:t>
            </w:r>
          </w:p>
        </w:tc>
      </w:tr>
      <w:tr>
        <w:tc>
          <w:tcPr>
            <w:tcW w:type="dxa" w:w="1584"/>
          </w:tcPr>
          <w:p>
            <w:r>
              <w:rPr>
                <w:sz w:val="18"/>
              </w:rPr>
              <w:t>NIST 800-53</w:t>
            </w:r>
          </w:p>
        </w:tc>
        <w:tc>
          <w:tcPr>
            <w:tcW w:type="dxa" w:w="2160"/>
          </w:tcPr>
          <w:p>
            <w:r>
              <w:rPr>
                <w:sz w:val="18"/>
              </w:rPr>
              <w:t>AC-3, AC-6, IA-2, SC-7, SC-8</w:t>
            </w:r>
          </w:p>
        </w:tc>
        <w:tc>
          <w:tcPr>
            <w:tcW w:type="dxa" w:w="4320"/>
          </w:tcPr>
          <w:p>
            <w:r>
              <w:rPr>
                <w:sz w:val="18"/>
              </w:rPr>
              <w:t>Access enforcement, least privilege, authentication, boundary and transmission protection.</w:t>
            </w:r>
          </w:p>
        </w:tc>
        <w:tc>
          <w:tcPr>
            <w:tcW w:type="dxa" w:w="1152"/>
          </w:tcPr>
          <w:p>
            <w:r>
              <w:rPr>
                <w:sz w:val="18"/>
              </w:rPr>
              <w:t>Met</w:t>
            </w:r>
          </w:p>
        </w:tc>
      </w:tr>
      <w:tr>
        <w:tc>
          <w:tcPr>
            <w:tcW w:type="dxa" w:w="1584"/>
          </w:tcPr>
          <w:p>
            <w:r>
              <w:rPr>
                <w:sz w:val="18"/>
              </w:rPr>
              <w:t>CISA ZTMM</w:t>
            </w:r>
          </w:p>
        </w:tc>
        <w:tc>
          <w:tcPr>
            <w:tcW w:type="dxa" w:w="2160"/>
          </w:tcPr>
          <w:p>
            <w:r>
              <w:rPr>
                <w:sz w:val="18"/>
              </w:rPr>
              <w:t>Five pillars</w:t>
            </w:r>
          </w:p>
        </w:tc>
        <w:tc>
          <w:tcPr>
            <w:tcW w:type="dxa" w:w="4320"/>
          </w:tcPr>
          <w:p>
            <w:r>
              <w:rPr>
                <w:sz w:val="18"/>
              </w:rPr>
              <w:t>Maturity assessed in section 9.</w:t>
            </w:r>
          </w:p>
        </w:tc>
        <w:tc>
          <w:tcPr>
            <w:tcW w:type="dxa" w:w="1152"/>
          </w:tcPr>
          <w:p>
            <w:r>
              <w:rPr>
                <w:sz w:val="18"/>
              </w:rPr>
              <w:t>Partial</w:t>
            </w:r>
          </w:p>
        </w:tc>
      </w:tr>
      <w:tr>
        <w:tc>
          <w:tcPr>
            <w:tcW w:type="dxa" w:w="1584"/>
          </w:tcPr>
          <w:p>
            <w:r>
              <w:rPr>
                <w:sz w:val="18"/>
              </w:rPr>
              <w:t>OMB M-22-09</w:t>
            </w:r>
          </w:p>
        </w:tc>
        <w:tc>
          <w:tcPr>
            <w:tcW w:type="dxa" w:w="2160"/>
          </w:tcPr>
          <w:p>
            <w:r>
              <w:rPr>
                <w:sz w:val="18"/>
              </w:rPr>
              <w:t>Federal zero trust strategy</w:t>
            </w:r>
          </w:p>
        </w:tc>
        <w:tc>
          <w:tcPr>
            <w:tcW w:type="dxa" w:w="4320"/>
          </w:tcPr>
          <w:p>
            <w:r>
              <w:rPr>
                <w:sz w:val="18"/>
              </w:rPr>
              <w:t>Identity, devices, networks, applications, data.</w:t>
            </w:r>
          </w:p>
        </w:tc>
        <w:tc>
          <w:tcPr>
            <w:tcW w:type="dxa" w:w="1152"/>
          </w:tcPr>
          <w:p>
            <w:r>
              <w:rPr>
                <w:sz w:val="18"/>
              </w:rPr>
              <w:t>Partial</w:t>
            </w:r>
          </w:p>
        </w:tc>
      </w:tr>
      <w:tr>
        <w:tc>
          <w:tcPr>
            <w:tcW w:type="dxa" w:w="1584"/>
          </w:tcPr>
          <w:p>
            <w:r>
              <w:rPr>
                <w:sz w:val="18"/>
              </w:rPr>
              <w:t>HIPAA</w:t>
            </w:r>
          </w:p>
        </w:tc>
        <w:tc>
          <w:tcPr>
            <w:tcW w:type="dxa" w:w="2160"/>
          </w:tcPr>
          <w:p>
            <w:r>
              <w:rPr>
                <w:sz w:val="18"/>
              </w:rPr>
              <w:t>164.312(a)(1), (d), (e)(1)</w:t>
            </w:r>
          </w:p>
        </w:tc>
        <w:tc>
          <w:tcPr>
            <w:tcW w:type="dxa" w:w="4320"/>
          </w:tcPr>
          <w:p>
            <w:r>
              <w:rPr>
                <w:sz w:val="18"/>
              </w:rPr>
              <w:t>Access control, authentication, transmission security.</w:t>
            </w:r>
          </w:p>
        </w:tc>
        <w:tc>
          <w:tcPr>
            <w:tcW w:type="dxa" w:w="1152"/>
          </w:tcPr>
          <w:p>
            <w:r>
              <w:rPr>
                <w:sz w:val="18"/>
              </w:rPr>
              <w:t>Met</w:t>
            </w:r>
          </w:p>
        </w:tc>
      </w:tr>
      <w:tr>
        <w:tc>
          <w:tcPr>
            <w:tcW w:type="dxa" w:w="1584"/>
          </w:tcPr>
          <w:p>
            <w:r>
              <w:rPr>
                <w:sz w:val="18"/>
              </w:rPr>
              <w:t>SOC 2</w:t>
            </w:r>
          </w:p>
        </w:tc>
        <w:tc>
          <w:tcPr>
            <w:tcW w:type="dxa" w:w="2160"/>
          </w:tcPr>
          <w:p>
            <w:r>
              <w:rPr>
                <w:sz w:val="18"/>
              </w:rPr>
              <w:t>CC6.1, CC6.6</w:t>
            </w:r>
          </w:p>
        </w:tc>
        <w:tc>
          <w:tcPr>
            <w:tcW w:type="dxa" w:w="4320"/>
          </w:tcPr>
          <w:p>
            <w:r>
              <w:rPr>
                <w:sz w:val="18"/>
              </w:rPr>
              <w:t>Logical access and boundary protection.</w:t>
            </w:r>
          </w:p>
        </w:tc>
        <w:tc>
          <w:tcPr>
            <w:tcW w:type="dxa" w:w="1152"/>
          </w:tcPr>
          <w:p>
            <w:r>
              <w:rPr>
                <w:sz w:val="18"/>
              </w:rPr>
              <w:t>Met</w:t>
            </w:r>
          </w:p>
        </w:tc>
      </w:tr>
      <w:tr>
        <w:tc>
          <w:tcPr>
            <w:tcW w:type="dxa" w:w="1584"/>
          </w:tcPr>
          <w:p>
            <w:r>
              <w:rPr>
                <w:sz w:val="18"/>
              </w:rPr>
              <w:t>ISO 27001</w:t>
            </w:r>
          </w:p>
        </w:tc>
        <w:tc>
          <w:tcPr>
            <w:tcW w:type="dxa" w:w="2160"/>
          </w:tcPr>
          <w:p>
            <w:r>
              <w:rPr>
                <w:sz w:val="18"/>
              </w:rPr>
              <w:t>A.5.15, A.8.20, A.8.22</w:t>
            </w:r>
          </w:p>
        </w:tc>
        <w:tc>
          <w:tcPr>
            <w:tcW w:type="dxa" w:w="4320"/>
          </w:tcPr>
          <w:p>
            <w:r>
              <w:rPr>
                <w:sz w:val="18"/>
              </w:rPr>
              <w:t>Access control, network security, segregation of networks.</w:t>
            </w:r>
          </w:p>
        </w:tc>
        <w:tc>
          <w:tcPr>
            <w:tcW w:type="dxa" w:w="1152"/>
          </w:tcPr>
          <w:p>
            <w:r>
              <w:rPr>
                <w:sz w:val="18"/>
              </w:rPr>
              <w:t>Partial</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AGT-SSP-001</w:t>
            </w:r>
          </w:p>
        </w:tc>
        <w:tc>
          <w:tcPr>
            <w:tcW w:type="dxa" w:w="4176"/>
          </w:tcPr>
          <w:p>
            <w:r>
              <w:rPr>
                <w:sz w:val="18"/>
              </w:rPr>
              <w:t>System Security Plan</w:t>
            </w:r>
          </w:p>
        </w:tc>
        <w:tc>
          <w:tcPr>
            <w:tcW w:type="dxa" w:w="3168"/>
          </w:tcPr>
          <w:p>
            <w:r>
              <w:rPr>
                <w:sz w:val="18"/>
              </w:rPr>
              <w:t>Control implementation detail</w:t>
            </w:r>
          </w:p>
        </w:tc>
      </w:tr>
      <w:tr>
        <w:tc>
          <w:tcPr>
            <w:tcW w:type="dxa" w:w="1872"/>
          </w:tcPr>
          <w:p>
            <w:r>
              <w:rPr>
                <w:sz w:val="18"/>
              </w:rPr>
              <w:t>AGT-IAM-004</w:t>
            </w:r>
          </w:p>
        </w:tc>
        <w:tc>
          <w:tcPr>
            <w:tcW w:type="dxa" w:w="4176"/>
          </w:tcPr>
          <w:p>
            <w:r>
              <w:rPr>
                <w:sz w:val="18"/>
              </w:rPr>
              <w:t>Identity and Access Management Policy</w:t>
            </w:r>
          </w:p>
        </w:tc>
        <w:tc>
          <w:tcPr>
            <w:tcW w:type="dxa" w:w="3168"/>
          </w:tcPr>
          <w:p>
            <w:r>
              <w:rPr>
                <w:sz w:val="18"/>
              </w:rPr>
              <w:t>Identity control plane</w:t>
            </w:r>
          </w:p>
        </w:tc>
      </w:tr>
      <w:tr>
        <w:tc>
          <w:tcPr>
            <w:tcW w:type="dxa" w:w="1872"/>
          </w:tcPr>
          <w:p>
            <w:r>
              <w:rPr>
                <w:sz w:val="18"/>
              </w:rPr>
              <w:t>AGT-RAP-005</w:t>
            </w:r>
          </w:p>
        </w:tc>
        <w:tc>
          <w:tcPr>
            <w:tcW w:type="dxa" w:w="4176"/>
          </w:tcPr>
          <w:p>
            <w:r>
              <w:rPr>
                <w:sz w:val="18"/>
              </w:rPr>
              <w:t>Remote Access Policy</w:t>
            </w:r>
          </w:p>
        </w:tc>
        <w:tc>
          <w:tcPr>
            <w:tcW w:type="dxa" w:w="3168"/>
          </w:tcPr>
          <w:p>
            <w:r>
              <w:rPr>
                <w:sz w:val="18"/>
              </w:rPr>
              <w:t>No trusted network premise</w:t>
            </w:r>
          </w:p>
        </w:tc>
      </w:tr>
      <w:tr>
        <w:tc>
          <w:tcPr>
            <w:tcW w:type="dxa" w:w="1872"/>
          </w:tcPr>
          <w:p>
            <w:r>
              <w:rPr>
                <w:sz w:val="18"/>
              </w:rPr>
              <w:t>AGT-CKM-009</w:t>
            </w:r>
          </w:p>
        </w:tc>
        <w:tc>
          <w:tcPr>
            <w:tcW w:type="dxa" w:w="4176"/>
          </w:tcPr>
          <w:p>
            <w:r>
              <w:rPr>
                <w:sz w:val="18"/>
              </w:rPr>
              <w:t>Cryptographic Key Management Policy</w:t>
            </w:r>
          </w:p>
        </w:tc>
        <w:tc>
          <w:tcPr>
            <w:tcW w:type="dxa" w:w="3168"/>
          </w:tcPr>
          <w:p>
            <w:r>
              <w:rPr>
                <w:sz w:val="18"/>
              </w:rPr>
              <w:t>Encryption everywhere</w:t>
            </w:r>
          </w:p>
        </w:tc>
      </w:tr>
      <w:tr>
        <w:tc>
          <w:tcPr>
            <w:tcW w:type="dxa" w:w="1872"/>
          </w:tcPr>
          <w:p>
            <w:r>
              <w:rPr>
                <w:sz w:val="18"/>
              </w:rPr>
              <w:t>AGT-LMP-018</w:t>
            </w:r>
          </w:p>
        </w:tc>
        <w:tc>
          <w:tcPr>
            <w:tcW w:type="dxa" w:w="4176"/>
          </w:tcPr>
          <w:p>
            <w:r>
              <w:rPr>
                <w:sz w:val="18"/>
              </w:rPr>
              <w:t>Logging and Monitoring Policy</w:t>
            </w:r>
          </w:p>
        </w:tc>
        <w:tc>
          <w:tcPr>
            <w:tcW w:type="dxa" w:w="3168"/>
          </w:tcPr>
          <w:p>
            <w:r>
              <w:rPr>
                <w:sz w:val="18"/>
              </w:rPr>
              <w:t>Continuous verification data</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AGT-ZTA-001 v1.0  |  AGT Confidential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