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F2B4C"/>
          <w:sz w:val="88"/>
        </w:rPr>
        <w:t>AGT</w:t>
      </w:r>
    </w:p>
    <w:p>
      <w:pPr>
        <w:jc w:val="center"/>
      </w:pPr>
      <w:r>
        <w:rPr>
          <w:color w:val="5A5A5A"/>
          <w:sz w:val="26"/>
        </w:rPr>
        <w:t>Alliance Global Tech Inc.</w:t>
      </w:r>
    </w:p>
    <w:p/>
    <w:p>
      <w:pPr>
        <w:jc w:val="center"/>
      </w:pPr>
      <w:r>
        <w:rPr>
          <w:b/>
          <w:color w:val="0F2B4C"/>
          <w:sz w:val="48"/>
        </w:rPr>
        <w:t>Continuous Monitoring Plan</w:t>
      </w:r>
    </w:p>
    <w:p>
      <w:pPr>
        <w:jc w:val="center"/>
      </w:pPr>
      <w:r>
        <w:rPr>
          <w:i/>
          <w:color w:val="0F6CBD"/>
          <w:sz w:val="26"/>
        </w:rPr>
        <w:t>DocuAction TEFCA ARC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AGT-A-004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Internal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Chief Executive Officer, AGT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Imran Siddiqui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Annual, or on material change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t>This plan is the operational companion to AGT-CMS-024. Where the strategy states what AGT monitors and why, this plan states who does what, on which day, and what artifact results.</w:t>
      </w:r>
    </w:p>
    <w:p>
      <w:pPr>
        <w:pStyle w:val="Heading2"/>
      </w:pPr>
      <w:r>
        <w:t>System context</w:t>
      </w:r>
    </w:p>
    <w:p>
      <w:r>
        <w:t>This document applies to DocuAction TEFCA ARC, operated by Alliance Global Tech Inc. on Microsoft Azure. The control descriptions in this document are written against the following implementation, not against a generic reference architecture.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fill="0F2B4C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6336"/>
            <w:shd w:val="clear" w:fill="0F2B4C"/>
          </w:tcPr>
          <w:p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Next.js 14 (React), static export, Azure Static Web Apps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FastAPI on Python 3.12, Azure App Service (Linux)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Azure Database for PostgreSQL - Flexible Server, geo-redundant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Microsoft Entra ID; OAuth 2.0, OIDC, JWT bearer, RBAC, MFA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Secrets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Azure Key Vault, resolved at runtime by system-assigned managed identity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Azure Monitor and Application Insights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Healthcare standards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FHIR R4, HL7, TEFCA Common Agreement / RCE IG v1.14.0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Certifications</w:t>
            </w:r>
          </w:p>
        </w:tc>
        <w:tc>
          <w:tcPr>
            <w:tcW w:type="dxa" w:w="6336"/>
          </w:tcPr>
          <w:p>
            <w:r>
              <w:rPr>
                <w:sz w:val="18"/>
              </w:rPr>
              <w:t>CMMI Level 3, ISO 27001, ISO 9001, ISO 20000-1, DoD Final Contractor</w:t>
            </w:r>
          </w:p>
        </w:tc>
      </w:tr>
    </w:tbl>
    <w:p/>
    <w:p>
      <w:pPr>
        <w:pStyle w:val="Heading1"/>
      </w:pPr>
      <w:r>
        <w:t>2. Monitoring calendar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fill="0F2B4C"/>
          </w:tcPr>
          <w:p>
            <w:r>
              <w:rPr>
                <w:b/>
                <w:color w:val="FFFFFF"/>
                <w:sz w:val="18"/>
              </w:rPr>
              <w:t>Cadence</w:t>
            </w:r>
          </w:p>
        </w:tc>
        <w:tc>
          <w:tcPr>
            <w:tcW w:type="dxa" w:w="3312"/>
            <w:shd w:val="clear" w:fill="0F2B4C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016"/>
            <w:shd w:val="clear" w:fill="0F2B4C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160"/>
            <w:shd w:val="clear" w:fill="0F2B4C"/>
          </w:tcPr>
          <w:p>
            <w:r>
              <w:rPr>
                <w:b/>
                <w:color w:val="FFFFFF"/>
                <w:sz w:val="18"/>
              </w:rPr>
              <w:t>Artifact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Nightly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Automated full security scan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Automated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 report, SBOM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Scan triage and disposition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Security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Vulnerability Scan Report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Security event log review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Security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 record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Privileged action review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Security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 record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Backup status verification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 record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POA&amp;M operational review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Security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Updated POA&amp;M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Metrics report to CEO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Security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Metrics Dashboard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Quarterly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Access review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Security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 Review record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Quarterly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Configuration drift review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Drift report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Quarterly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Backup restoration test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Backup Test Record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Quarterly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Risk register review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Security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Updated register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Quarterly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POA&amp;M executive review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CEO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Meeting record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Annually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HIPAA risk assessment refresh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Security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AGT-HIRA-025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Annually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DR test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Engineering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 Test Record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Annually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Incident response exercise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Security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Exercise record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Annually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Vendor reassessment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Security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Vendor Review records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Annually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Policy review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CEO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Version history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Annually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Penetration test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Third party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Penetration Test Report</w:t>
            </w:r>
          </w:p>
        </w:tc>
      </w:tr>
    </w:tbl>
    <w:p/>
    <w:p>
      <w:pPr>
        <w:pStyle w:val="Heading1"/>
      </w:pPr>
      <w:r>
        <w:t>3. Control-to-activity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96"/>
            <w:shd w:val="clear" w:fill="0F2B4C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4752"/>
            <w:shd w:val="clear" w:fill="0F2B4C"/>
          </w:tcPr>
          <w:p>
            <w:r>
              <w:rPr>
                <w:b/>
                <w:color w:val="FFFFFF"/>
                <w:sz w:val="18"/>
              </w:rPr>
              <w:t>Monitoring activity</w:t>
            </w:r>
          </w:p>
        </w:tc>
        <w:tc>
          <w:tcPr>
            <w:tcW w:type="dxa" w:w="2880"/>
            <w:shd w:val="clear" w:fill="0F2B4C"/>
          </w:tcPr>
          <w:p>
            <w:r>
              <w:rPr>
                <w:b/>
                <w:color w:val="FFFFFF"/>
                <w:sz w:val="18"/>
              </w:rPr>
              <w:t>Frequency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AC-2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Access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Quarterly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AU-6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Security event and privileged action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Weekly / monthly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CM-6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Configuration drift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Quarterly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CP-9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Backup verification and restoration 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Monthly / quarterly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IR-4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Incident response exercise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Annually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RA-3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Risk assessment refresh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Annually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RA-5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Vulnerability scanning and triage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Nightly / weekly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SA-9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Vendor reassessment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Annually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SI-2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Flaw remediation tracking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Weekly</w:t>
            </w:r>
          </w:p>
        </w:tc>
      </w:tr>
    </w:tbl>
    <w:p/>
    <w:p>
      <w:pPr>
        <w:pStyle w:val="Heading1"/>
      </w:pPr>
      <w:r>
        <w:t>4. Escalation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shd w:val="clear" w:fill="0F2B4C"/>
          </w:tcPr>
          <w:p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3312"/>
            <w:shd w:val="clear" w:fill="0F2B4C"/>
          </w:tcPr>
          <w:p>
            <w:r>
              <w:rPr>
                <w:b/>
                <w:color w:val="FFFFFF"/>
                <w:sz w:val="18"/>
              </w:rPr>
              <w:t>Escalate to</w:t>
            </w:r>
          </w:p>
        </w:tc>
        <w:tc>
          <w:tcPr>
            <w:tcW w:type="dxa" w:w="2304"/>
            <w:shd w:val="clear" w:fill="0F2B4C"/>
          </w:tcPr>
          <w:p>
            <w:r>
              <w:rPr>
                <w:b/>
                <w:color w:val="FFFFFF"/>
                <w:sz w:val="18"/>
              </w:rPr>
              <w:t>Within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Critical finding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CEO and Security Officer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Immediately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Control found not operating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Security Officer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 business day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POA&amp;M item 30 days past due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CEO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At monthly review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Two consecutive backup failures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CEO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Immediately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Scanner coverage loss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Security Officer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Next report, stated explicitly</w:t>
            </w:r>
          </w:p>
        </w:tc>
      </w:tr>
    </w:tbl>
    <w:p/>
    <w:p>
      <w:pPr>
        <w:pStyle w:val="Heading1"/>
      </w:pPr>
      <w:r>
        <w:t>5. What makes this plan fail</w:t>
      </w:r>
    </w:p>
    <w:p>
      <w:r>
        <w:t>Recorded deliberately, because these are the observed failure modes of continuous monitoring programmes rather than hypothetical ones:</w:t>
      </w:r>
    </w:p>
    <w:p>
      <w:pPr>
        <w:pStyle w:val="ListBullet"/>
      </w:pPr>
      <w:r>
        <w:t>Activities performed but not recorded - the control operated and cannot be shown to have operated.</w:t>
      </w:r>
    </w:p>
    <w:p>
      <w:pPr>
        <w:pStyle w:val="ListBullet"/>
      </w:pPr>
      <w:r>
        <w:t>Metrics reported without coverage caveats, so a partial scan reads as a clean one.</w:t>
      </w:r>
    </w:p>
    <w:p>
      <w:pPr>
        <w:pStyle w:val="ListBullet"/>
      </w:pPr>
      <w:r>
        <w:t>Suppression used as a substitute for remediation, improving the number without improving the system.</w:t>
      </w:r>
    </w:p>
    <w:p>
      <w:pPr>
        <w:pStyle w:val="ListBullet"/>
      </w:pPr>
      <w:r>
        <w:t>Reviews that confirm rather than examine - a quarterly access review that never revokes anything is not a review.</w:t>
      </w:r>
    </w:p>
    <w:p>
      <w:pPr>
        <w:pStyle w:val="Heading2"/>
      </w:pPr>
      <w:r>
        <w:t>Compliance mapping</w:t>
      </w:r>
    </w:p>
    <w:p>
      <w:r>
        <w:t>Each framework reference below identifies the control this document is written to satisfy. Where a control is only partially satisfied, the gap is stated in the row rather than omitted - a mapping table that shows only green is not evidence, it is decoration.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Framework</w:t>
            </w:r>
          </w:p>
        </w:tc>
        <w:tc>
          <w:tcPr>
            <w:tcW w:type="dxa" w:w="2160"/>
            <w:shd w:val="clear" w:fill="0F2B4C"/>
          </w:tcPr>
          <w:p>
            <w:r>
              <w:rPr>
                <w:b/>
                <w:color w:val="FFFFFF"/>
                <w:sz w:val="18"/>
              </w:rPr>
              <w:t>Control reference</w:t>
            </w:r>
          </w:p>
        </w:tc>
        <w:tc>
          <w:tcPr>
            <w:tcW w:type="dxa" w:w="4320"/>
            <w:shd w:val="clear" w:fill="0F2B4C"/>
          </w:tcPr>
          <w:p>
            <w:r>
              <w:rPr>
                <w:b/>
                <w:color w:val="FFFFFF"/>
                <w:sz w:val="18"/>
              </w:rPr>
              <w:t>How this document satisfies it</w:t>
            </w:r>
          </w:p>
        </w:tc>
        <w:tc>
          <w:tcPr>
            <w:tcW w:type="dxa" w:w="1152"/>
            <w:shd w:val="clear" w:fill="0F2B4C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NIST 800-53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CA-7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Continuous monitoring implementation.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Met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NIST 800-137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ISCM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Operational continuous monitoring plan.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Met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HIPAA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164.308(a)(1)(ii)(D)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Information system activity review.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Met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SOC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CC4.1, CC4.2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Ongoing monitoring and deficiency communication.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Met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ISO 27001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Clause 9.1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Monitoring, measurement, analysis, evaluation.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Met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FedRAMP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CA-7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Monthly, quarterly, annual monitoring deliverables.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Partial</w:t>
            </w:r>
          </w:p>
        </w:tc>
      </w:tr>
    </w:tbl>
    <w:p/>
    <w:p>
      <w:pPr>
        <w:pStyle w:val="Heading2"/>
      </w:pPr>
      <w:r>
        <w:t>Related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fill="0F2B4C"/>
          </w:tcPr>
          <w:p>
            <w:r>
              <w:rPr>
                <w:b/>
                <w:color w:val="FFFFFF"/>
                <w:sz w:val="18"/>
              </w:rPr>
              <w:t>Document ID</w:t>
            </w:r>
          </w:p>
        </w:tc>
        <w:tc>
          <w:tcPr>
            <w:tcW w:type="dxa" w:w="4176"/>
            <w:shd w:val="clear" w:fill="0F2B4C"/>
          </w:tcPr>
          <w:p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168"/>
            <w:shd w:val="clear" w:fill="0F2B4C"/>
          </w:tcPr>
          <w:p>
            <w:r>
              <w:rPr>
                <w:b/>
                <w:color w:val="FFFFFF"/>
                <w:sz w:val="18"/>
              </w:rPr>
              <w:t>Relationship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AGT-CMS-024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Continuous Monitoring Strategy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Strategy this plan operationalizes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AGT-A-003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POA&amp;M Process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Handling of items arising</w:t>
            </w:r>
          </w:p>
        </w:tc>
      </w:tr>
      <w:tr>
        <w:tc>
          <w:tcPr>
            <w:tcW w:type="dxa" w:w="1872"/>
          </w:tcPr>
          <w:p>
            <w:r>
              <w:rPr>
                <w:sz w:val="18"/>
              </w:rPr>
              <w:t>AGT-T-012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Evidence Collection Procedure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Artifact handling</w:t>
            </w:r>
          </w:p>
        </w:tc>
      </w:tr>
    </w:tbl>
    <w:p/>
    <w:p>
      <w:r>
        <w:br w:type="page"/>
      </w:r>
    </w:p>
    <w:p>
      <w:pPr>
        <w:pStyle w:val="Heading1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val="clear" w:fill="0F2B4C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584"/>
            <w:shd w:val="clear" w:fill="0F2B4C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016"/>
            <w:shd w:val="clear" w:fill="0F2B4C"/>
          </w:tcPr>
          <w:p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4176"/>
            <w:shd w:val="clear" w:fill="0F2B4C"/>
          </w:tcPr>
          <w:p>
            <w:r>
              <w:rPr>
                <w:b/>
                <w:color w:val="FFFFFF"/>
                <w:sz w:val="18"/>
              </w:rPr>
              <w:t>Summary of change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2026-07-28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Imran Siddiqui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Initial issue.</w:t>
            </w:r>
          </w:p>
        </w:tc>
      </w:tr>
    </w:tbl>
    <w:p/>
    <w:p>
      <w:pPr>
        <w:pStyle w:val="Heading1"/>
      </w:pPr>
      <w:r>
        <w:t>Approval</w:t>
      </w:r>
    </w:p>
    <w:p>
      <w:r>
        <w:t>This document is approved for use and is binding on all personnel and contractors with access to the systems in scope.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fill="0F2B4C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04"/>
            <w:shd w:val="clear" w:fill="0F2B4C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04"/>
            <w:shd w:val="clear" w:fill="0F2B4C"/>
          </w:tcPr>
          <w:p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1728"/>
            <w:shd w:val="clear" w:fill="0F2B4C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Chief Executive Officer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Imran Siddiqui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Security Officer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Privacy Officer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rPr>
          <w:i/>
          <w:color w:val="5A5A5A"/>
          <w:sz w:val="19"/>
        </w:rPr>
        <w:t>Approval is recorded in the document management system; a wet signature is not required where an auditable electronic approval exists.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AGT-A-004 v1.0  |  AGT Internal  |  Uncontrolled when printed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B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B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6C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