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FedRAMP Readiness Roadmap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AGT-A-006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roadmap assesses AGT's distance from a FedRAMP authorization and sets out the work required. It is deliberately conservative: FedRAMP is substantially more demanding than the frameworks AGT currently satisfies, and a roadmap that understates the gap is worse than no roadmap.</w:t>
      </w:r>
    </w:p>
    <w:p>
      <w:pPr>
        <w:pStyle w:val="Heading2"/>
      </w:pPr>
      <w:r>
        <w:t>System context</w:t>
      </w:r>
    </w:p>
    <w:p>
      <w:r>
        <w:t>This document applies to DocuAction TEFCA ARC, operated by Alliance Global Tech Inc. on Microsoft Azure. The control descriptions in this document are written against the following implementation, not against a generic reference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Next.js 14 (React), static export, Azure Static Web Apps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FastAPI on Python 3.12, Azure App Service (Linux)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Database for PostgreSQL - Flexible Server, geo-redundant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Microsoft Entra ID; OAuth 2.0, OIDC, JWT bearer, RBAC, MFA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Key Vault, resolved at runtime by system-assigned managed identity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Monitor and Application Insights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Healthcare standards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FHIR R4, HL7, TEFCA Common Agreement / RCE IG v1.14.0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CMMI Level 3, ISO 27001, ISO 9001, ISO 20000-1, DoD Final Contractor</w:t>
            </w:r>
          </w:p>
        </w:tc>
      </w:tr>
    </w:tbl>
    <w:p/>
    <w:p>
      <w:pPr>
        <w:pStyle w:val="Heading1"/>
      </w:pPr>
      <w:r>
        <w:t>2. Current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736"/>
            <w:shd w:val="clear" w:fill="0F2B4C"/>
          </w:tcPr>
          <w:p>
            <w:r>
              <w:rPr>
                <w:b/>
                <w:color w:val="FFFFFF"/>
                <w:sz w:val="18"/>
              </w:rPr>
              <w:t>FedRAMP MODERATE requirement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Control documentation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Full policy set and SSP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SSP in FedRAMP template with per-control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Reformatting and expansion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Control implementation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Majority implemented, several partial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All MODERATE baseline controls implemented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Close partials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Independent assessment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3PAO assessment required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Engage a 3PAO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Continuous monitoring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Internal programme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 deliverables to the authorizing official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Formalize reporting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Boundary and inventory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Detailed inventory with every component enumerated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Expand detail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Incident reporting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24-hour COR notification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US-CERT reporting within 1 hour for confirmed incidents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Tighten process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FIPS-validated cryptography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Azure-provided, validated modules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FIPS 140-2/3 validated throughout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Verify and evidence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Personnel screening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Performed, cadence informal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Defined screening per position risk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Formalize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Supply chain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Vendor assessment programme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SR family fully implemented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Expand provenance verification</w:t>
            </w:r>
          </w:p>
        </w:tc>
      </w:tr>
    </w:tbl>
    <w:p/>
    <w:p>
      <w:pPr>
        <w:pStyle w:val="Heading1"/>
      </w:pPr>
      <w:r>
        <w:t>3. Authorization path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56"/>
            <w:shd w:val="clear" w:fill="0F2B4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600"/>
            <w:shd w:val="clear" w:fill="0F2B4C"/>
          </w:tcPr>
          <w:p>
            <w:r>
              <w:rPr>
                <w:b/>
                <w:color w:val="FFFFFF"/>
                <w:sz w:val="18"/>
              </w:rPr>
              <w:t>Suitability for AGT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Agency ATO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 sponsoring agency authorizes; reusable by others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Most likely path given existing federal contract work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JAB P-ATO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Joint Authorization Board provisional authorization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High bar; typically for widely used services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FedRAMP Tailored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Reduced baseline for low-impact SaaS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Not applicable - the system handles PHI at MODERATE</w:t>
            </w:r>
          </w:p>
        </w:tc>
      </w:tr>
    </w:tbl>
    <w:p/>
    <w:p>
      <w:pPr>
        <w:pStyle w:val="Heading1"/>
      </w:pPr>
      <w:r>
        <w:t>4. Phased plan</w:t>
      </w:r>
    </w:p>
    <w:p>
      <w:pPr>
        <w:pStyle w:val="Heading2"/>
      </w:pPr>
      <w:r>
        <w:t>Phase 1 - Close known gaps (0-6 months)</w:t>
      </w:r>
    </w:p>
    <w:p>
      <w:pPr>
        <w:pStyle w:val="ListBullet"/>
      </w:pPr>
      <w:r>
        <w:t>Execute the outstanding business associate agreements.</w:t>
      </w:r>
    </w:p>
    <w:p>
      <w:pPr>
        <w:pStyle w:val="ListBullet"/>
      </w:pPr>
      <w:r>
        <w:t>Restore full scanner coverage.</w:t>
      </w:r>
    </w:p>
    <w:p>
      <w:pPr>
        <w:pStyle w:val="ListBullet"/>
      </w:pPr>
      <w:r>
        <w:t>Migrate the remaining secret to Key Vault; disable FTP; configure health checks.</w:t>
      </w:r>
    </w:p>
    <w:p>
      <w:pPr>
        <w:pStyle w:val="ListBullet"/>
      </w:pPr>
      <w:r>
        <w:t>Implement audit log tamper-evidence.</w:t>
      </w:r>
    </w:p>
    <w:p>
      <w:pPr>
        <w:pStyle w:val="ListBullet"/>
      </w:pPr>
      <w:r>
        <w:t>Commission an independent penetration test.</w:t>
      </w:r>
    </w:p>
    <w:p>
      <w:pPr>
        <w:pStyle w:val="Heading2"/>
      </w:pPr>
      <w:r>
        <w:t>Phase 2 - Formalize (6-12 months)</w:t>
      </w:r>
    </w:p>
    <w:p>
      <w:pPr>
        <w:pStyle w:val="ListBullet"/>
      </w:pPr>
      <w:r>
        <w:t>Re-author the SSP into the FedRAMP template with per-control implementation detail.</w:t>
      </w:r>
    </w:p>
    <w:p>
      <w:pPr>
        <w:pStyle w:val="ListBullet"/>
      </w:pPr>
      <w:r>
        <w:t>Formalize personnel screening cadence and position risk designation.</w:t>
      </w:r>
    </w:p>
    <w:p>
      <w:pPr>
        <w:pStyle w:val="ListBullet"/>
      </w:pPr>
      <w:r>
        <w:t>Stand up monthly continuous monitoring deliverables in the FedRAMP format.</w:t>
      </w:r>
    </w:p>
    <w:p>
      <w:pPr>
        <w:pStyle w:val="ListBullet"/>
      </w:pPr>
      <w:r>
        <w:t>Implement SIEM correlation to satisfy the SI-4 enhancements.</w:t>
      </w:r>
    </w:p>
    <w:p>
      <w:pPr>
        <w:pStyle w:val="ListBullet"/>
      </w:pPr>
      <w:r>
        <w:t>Expand the component inventory to FedRAMP granularity.</w:t>
      </w:r>
    </w:p>
    <w:p>
      <w:pPr>
        <w:pStyle w:val="Heading2"/>
      </w:pPr>
      <w:r>
        <w:t>Phase 3 - Assessment (12-18 months)</w:t>
      </w:r>
    </w:p>
    <w:p>
      <w:pPr>
        <w:pStyle w:val="ListBullet"/>
      </w:pPr>
      <w:r>
        <w:t>Secure an agency sponsor.</w:t>
      </w:r>
    </w:p>
    <w:p>
      <w:pPr>
        <w:pStyle w:val="ListBullet"/>
      </w:pPr>
      <w:r>
        <w:t>Engage an accredited 3PAO; complete a readiness assessment first.</w:t>
      </w:r>
    </w:p>
    <w:p>
      <w:pPr>
        <w:pStyle w:val="ListBullet"/>
      </w:pPr>
      <w:r>
        <w:t>Remediate 3PAO findings; produce the Security Assessment Report.</w:t>
      </w:r>
    </w:p>
    <w:p>
      <w:pPr>
        <w:pStyle w:val="ListBullet"/>
      </w:pPr>
      <w:r>
        <w:t>Submit the authorization package.</w:t>
      </w:r>
    </w:p>
    <w:p>
      <w:pPr>
        <w:pStyle w:val="Heading1"/>
      </w:pPr>
      <w:r>
        <w:t>5. Cost and effort considerations</w:t>
      </w:r>
    </w:p>
    <w:p>
      <w:r>
        <w:t>Stated plainly because they are the usual reason a roadmap stalls: a FedRAMP authorization requires sustained investment in assessment fees, 3PAO engagement, and continuous monitoring effort that does not decrease after authorization. For an organization of AGT's size this is a strategic commitment tied to specific federal revenue, not an incremental compliance improvement. The decision to proceed should follow an identified agency sponsor rather than precede one.</w:t>
      </w:r>
    </w:p>
    <w:p>
      <w:pPr>
        <w:pStyle w:val="Heading1"/>
      </w:pPr>
      <w:r>
        <w:t>6. What AGT already has in its favour</w:t>
      </w:r>
    </w:p>
    <w:p>
      <w:pPr>
        <w:pStyle w:val="ListBullet"/>
      </w:pPr>
      <w:r>
        <w:t>The system is built on Azure, which provides a substantial set of inheritable controls with existing FedRAMP authorization.</w:t>
      </w:r>
    </w:p>
    <w:p>
      <w:pPr>
        <w:pStyle w:val="ListBullet"/>
      </w:pPr>
      <w:r>
        <w:t>The policy set already covers every NIST 800-53 control family.</w:t>
      </w:r>
    </w:p>
    <w:p>
      <w:pPr>
        <w:pStyle w:val="ListBullet"/>
      </w:pPr>
      <w:r>
        <w:t>Automated scanning, SBOM generation, and a continuous monitoring programme are operating rather than planned.</w:t>
      </w:r>
    </w:p>
    <w:p>
      <w:pPr>
        <w:pStyle w:val="ListBullet"/>
      </w:pPr>
      <w:r>
        <w:t>CMMI Level 3 and ISO 27001 certification demonstrate defined, audited process.</w:t>
      </w:r>
    </w:p>
    <w:p>
      <w:pPr>
        <w:pStyle w:val="ListBullet"/>
      </w:pPr>
      <w:r>
        <w:t>The organization already reports coverage gaps honestly, which is the cultural prerequisite that most readiness efforts lack.</w:t>
      </w:r>
    </w:p>
    <w:p>
      <w:pPr>
        <w:pStyle w:val="Heading2"/>
      </w:pPr>
      <w:r>
        <w:t>Compliance mapping</w:t>
      </w:r>
    </w:p>
    <w:p>
      <w:r>
        <w:t>Each framework reference below identifies the control this document is written to satisfy. Where a control is only partially satisfied, the gap is stated in the row rather than omitted - a mapping table that shows only green is not evidence, it is decoration.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320"/>
            <w:shd w:val="clear" w:fill="0F2B4C"/>
          </w:tcPr>
          <w:p>
            <w:r>
              <w:rPr>
                <w:b/>
                <w:color w:val="FFFFFF"/>
                <w:sz w:val="18"/>
              </w:rPr>
              <w:t>How this document satisfies it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FedRAMP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MODERATE baseline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analysis against the baseline documented here.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Rev. 5 MODERATE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Control implementation described in AGT-SSP-001.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RMF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management framework alignment.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FIPS 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MODERATE determination complete.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FIPS 140-2/3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 modules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Inherited from Azure; evidence to be assembled.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</w:tr>
    </w:tbl>
    <w:p/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AGT-SSP-001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System Security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Basis for the FedRAMP SSP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AGT-A-002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ATO Readiness Guide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Broader authorization readiness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AGT-A-001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Security Assessment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Assessment approach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AGT-MCM-026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Master Compliance Matrix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Control coverage</w:t>
            </w:r>
          </w:p>
        </w:tc>
      </w:tr>
    </w:tbl>
    <w:p/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Summary of change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2026-07-28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Initial issue.</w:t>
            </w:r>
          </w:p>
        </w:tc>
      </w:tr>
    </w:tbl>
    <w:p/>
    <w:p>
      <w:pPr>
        <w:pStyle w:val="Heading1"/>
      </w:pPr>
      <w:r>
        <w:t>Approval</w:t>
      </w:r>
    </w:p>
    <w:p>
      <w:r>
        <w:t>This document is approved for use and is binding on all personnel and contractors with access to the systems in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Chief Executive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Privacy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Approval is recorded in the document management system; a wet signature is not required where an auditable electronic approval exists.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AGT-A-006 v1.0  |  AGT Confidential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