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Incident Report Template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AGT-T-004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Purpose of this template</w:t>
      </w:r>
    </w:p>
    <w:p>
      <w:r>
        <w:t>Records a security incident through the AGT-IRP-022 lifecycle. Retained for six years per AGT-DRP-007. Evidence for NIST IR-5 and HIPAA 164.308(a)(6).</w:t>
      </w:r>
    </w:p>
    <w:p>
      <w:r>
        <w:rPr>
          <w:i/>
          <w:color w:val="5A5A5A"/>
          <w:sz w:val="19"/>
        </w:rPr>
        <w:t>Complete every field. A field left blank is indistinguishable from a control that was not performed, and an assessor will read it as the latter. Where an item genuinely does not apply, write 'N/A' and the reason.</w:t>
      </w:r>
    </w:p>
    <w:p>
      <w:pPr>
        <w:pStyle w:val="Heading1"/>
      </w:pPr>
      <w:r>
        <w:t>Incident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472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Incident ID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Date and time of discovery (UTC)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Discovered by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Detection source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Severity (Critical/High/Medium/Low)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Incident lead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5A5A5A"/>
          <w:sz w:val="19"/>
        </w:rPr>
        <w:t>Time of discovery is a legal fact, not an administrative detail: under HIPAA it starts the 60-day notification clock. Record it precisely and do not revise it later to a more convenient value.</w:t>
      </w:r>
    </w:p>
    <w:p>
      <w:pPr>
        <w:pStyle w:val="Heading1"/>
      </w:pPr>
      <w:r>
        <w:t>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What happened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Systems affected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Data classes involved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PHI involved (yes/no/unknown)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Was affected data encrypted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Estimated individuals affected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</w:tbl>
    <w:p/>
    <w:p>
      <w:r>
        <w:t>Whether the data was encrypted to HHS guidance determines whether this is a breach of unsecured PHI. Establish it early - it changes every downstream obligation.</w:t>
      </w:r>
    </w:p>
    <w:p>
      <w:pPr>
        <w:pStyle w:val="Heading1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Time (UTC)</w:t>
            </w:r>
          </w:p>
        </w:tc>
        <w:tc>
          <w:tcPr>
            <w:tcW w:type="dxa" w:w="3456"/>
            <w:shd w:val="clear" w:fill="0F2B4C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Evidence reference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Containment, eradication,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744"/>
            <w:shd w:val="clear" w:fill="0F2B4C"/>
          </w:tcPr>
          <w:p>
            <w:r>
              <w:rPr>
                <w:b/>
                <w:color w:val="FFFFFF"/>
                <w:sz w:val="18"/>
              </w:rPr>
              <w:t>Actions taken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By whom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Containment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Evidence preservation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Eradication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Deadline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Date sent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By whom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Government COR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 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Covered entity customer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 hours per BAA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Affected individuals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HHS OCR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 days if 500+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 days if 500+ in a state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Cyber insurance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Law enforcement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 advised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Root cause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Immediate cause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Underlying cause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Why detection did or did not work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Why existing controls did not prevent it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Corrective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fill="0F2B4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Type (preventive/detective)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POA&amp;M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fill="0F2B4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Incident lead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Privacy Officer (if PHI)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AGT-T-004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