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Asset Management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AGT-AMP-011</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establishes how AGT identifies, records, owns, and retires its information assets. An asset inventory is the substrate every other control depends on: vulnerability management, configuration management, and incident response all begin with the question of what exists, and an incomplete answer silently reduces the coverage of each.</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Asset categories</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fill="0F2B4C"/>
          </w:tcPr>
          <w:p>
            <w:r>
              <w:rPr>
                <w:b/>
                <w:color w:val="FFFFFF"/>
                <w:sz w:val="18"/>
              </w:rPr>
              <w:t>Category</w:t>
            </w:r>
          </w:p>
        </w:tc>
        <w:tc>
          <w:tcPr>
            <w:tcW w:type="dxa" w:w="2880"/>
            <w:shd w:val="clear" w:fill="0F2B4C"/>
          </w:tcPr>
          <w:p>
            <w:r>
              <w:rPr>
                <w:b/>
                <w:color w:val="FFFFFF"/>
                <w:sz w:val="18"/>
              </w:rPr>
              <w:t>Examples</w:t>
            </w:r>
          </w:p>
        </w:tc>
        <w:tc>
          <w:tcPr>
            <w:tcW w:type="dxa" w:w="2304"/>
            <w:shd w:val="clear" w:fill="0F2B4C"/>
          </w:tcPr>
          <w:p>
            <w:r>
              <w:rPr>
                <w:b/>
                <w:color w:val="FFFFFF"/>
                <w:sz w:val="18"/>
              </w:rPr>
              <w:t>Inventory source</w:t>
            </w:r>
          </w:p>
        </w:tc>
        <w:tc>
          <w:tcPr>
            <w:tcW w:type="dxa" w:w="1728"/>
            <w:shd w:val="clear" w:fill="0F2B4C"/>
          </w:tcPr>
          <w:p>
            <w:r>
              <w:rPr>
                <w:b/>
                <w:color w:val="FFFFFF"/>
                <w:sz w:val="18"/>
              </w:rPr>
              <w:t>Owner</w:t>
            </w:r>
          </w:p>
        </w:tc>
      </w:tr>
      <w:tr>
        <w:tc>
          <w:tcPr>
            <w:tcW w:type="dxa" w:w="2016"/>
          </w:tcPr>
          <w:p>
            <w:r>
              <w:rPr>
                <w:sz w:val="18"/>
              </w:rPr>
              <w:t>Cloud compute</w:t>
            </w:r>
          </w:p>
        </w:tc>
        <w:tc>
          <w:tcPr>
            <w:tcW w:type="dxa" w:w="2880"/>
          </w:tcPr>
          <w:p>
            <w:r>
              <w:rPr>
                <w:sz w:val="18"/>
              </w:rPr>
              <w:t>Azure App Service (prod, dev)</w:t>
            </w:r>
          </w:p>
        </w:tc>
        <w:tc>
          <w:tcPr>
            <w:tcW w:type="dxa" w:w="2304"/>
          </w:tcPr>
          <w:p>
            <w:r>
              <w:rPr>
                <w:sz w:val="18"/>
              </w:rPr>
              <w:t>Azure Resource Graph</w:t>
            </w:r>
          </w:p>
        </w:tc>
        <w:tc>
          <w:tcPr>
            <w:tcW w:type="dxa" w:w="1728"/>
          </w:tcPr>
          <w:p>
            <w:r>
              <w:rPr>
                <w:sz w:val="18"/>
              </w:rPr>
              <w:t>Engineering</w:t>
            </w:r>
          </w:p>
        </w:tc>
      </w:tr>
      <w:tr>
        <w:tc>
          <w:tcPr>
            <w:tcW w:type="dxa" w:w="2016"/>
          </w:tcPr>
          <w:p>
            <w:r>
              <w:rPr>
                <w:sz w:val="18"/>
              </w:rPr>
              <w:t>Cloud data</w:t>
            </w:r>
          </w:p>
        </w:tc>
        <w:tc>
          <w:tcPr>
            <w:tcW w:type="dxa" w:w="2880"/>
          </w:tcPr>
          <w:p>
            <w:r>
              <w:rPr>
                <w:sz w:val="18"/>
              </w:rPr>
              <w:t>Azure PostgreSQL Flexible Server</w:t>
            </w:r>
          </w:p>
        </w:tc>
        <w:tc>
          <w:tcPr>
            <w:tcW w:type="dxa" w:w="2304"/>
          </w:tcPr>
          <w:p>
            <w:r>
              <w:rPr>
                <w:sz w:val="18"/>
              </w:rPr>
              <w:t>Azure Resource Graph</w:t>
            </w:r>
          </w:p>
        </w:tc>
        <w:tc>
          <w:tcPr>
            <w:tcW w:type="dxa" w:w="1728"/>
          </w:tcPr>
          <w:p>
            <w:r>
              <w:rPr>
                <w:sz w:val="18"/>
              </w:rPr>
              <w:t>Engineering</w:t>
            </w:r>
          </w:p>
        </w:tc>
      </w:tr>
      <w:tr>
        <w:tc>
          <w:tcPr>
            <w:tcW w:type="dxa" w:w="2016"/>
          </w:tcPr>
          <w:p>
            <w:r>
              <w:rPr>
                <w:sz w:val="18"/>
              </w:rPr>
              <w:t>Cloud static hosting</w:t>
            </w:r>
          </w:p>
        </w:tc>
        <w:tc>
          <w:tcPr>
            <w:tcW w:type="dxa" w:w="2880"/>
          </w:tcPr>
          <w:p>
            <w:r>
              <w:rPr>
                <w:sz w:val="18"/>
              </w:rPr>
              <w:t>Azure Static Web Apps (prod, dev)</w:t>
            </w:r>
          </w:p>
        </w:tc>
        <w:tc>
          <w:tcPr>
            <w:tcW w:type="dxa" w:w="2304"/>
          </w:tcPr>
          <w:p>
            <w:r>
              <w:rPr>
                <w:sz w:val="18"/>
              </w:rPr>
              <w:t>Azure Resource Graph</w:t>
            </w:r>
          </w:p>
        </w:tc>
        <w:tc>
          <w:tcPr>
            <w:tcW w:type="dxa" w:w="1728"/>
          </w:tcPr>
          <w:p>
            <w:r>
              <w:rPr>
                <w:sz w:val="18"/>
              </w:rPr>
              <w:t>Engineering</w:t>
            </w:r>
          </w:p>
        </w:tc>
      </w:tr>
      <w:tr>
        <w:tc>
          <w:tcPr>
            <w:tcW w:type="dxa" w:w="2016"/>
          </w:tcPr>
          <w:p>
            <w:r>
              <w:rPr>
                <w:sz w:val="18"/>
              </w:rPr>
              <w:t>Secret stores</w:t>
            </w:r>
          </w:p>
        </w:tc>
        <w:tc>
          <w:tcPr>
            <w:tcW w:type="dxa" w:w="2880"/>
          </w:tcPr>
          <w:p>
            <w:r>
              <w:rPr>
                <w:sz w:val="18"/>
              </w:rPr>
              <w:t>Azure Key Vault</w:t>
            </w:r>
          </w:p>
        </w:tc>
        <w:tc>
          <w:tcPr>
            <w:tcW w:type="dxa" w:w="2304"/>
          </w:tcPr>
          <w:p>
            <w:r>
              <w:rPr>
                <w:sz w:val="18"/>
              </w:rPr>
              <w:t>Azure Resource Graph</w:t>
            </w:r>
          </w:p>
        </w:tc>
        <w:tc>
          <w:tcPr>
            <w:tcW w:type="dxa" w:w="1728"/>
          </w:tcPr>
          <w:p>
            <w:r>
              <w:rPr>
                <w:sz w:val="18"/>
              </w:rPr>
              <w:t>Security Officer</w:t>
            </w:r>
          </w:p>
        </w:tc>
      </w:tr>
      <w:tr>
        <w:tc>
          <w:tcPr>
            <w:tcW w:type="dxa" w:w="2016"/>
          </w:tcPr>
          <w:p>
            <w:r>
              <w:rPr>
                <w:sz w:val="18"/>
              </w:rPr>
              <w:t>Identity</w:t>
            </w:r>
          </w:p>
        </w:tc>
        <w:tc>
          <w:tcPr>
            <w:tcW w:type="dxa" w:w="2880"/>
          </w:tcPr>
          <w:p>
            <w:r>
              <w:rPr>
                <w:sz w:val="18"/>
              </w:rPr>
              <w:t>Entra ID tenant, service principals, managed identities</w:t>
            </w:r>
          </w:p>
        </w:tc>
        <w:tc>
          <w:tcPr>
            <w:tcW w:type="dxa" w:w="2304"/>
          </w:tcPr>
          <w:p>
            <w:r>
              <w:rPr>
                <w:sz w:val="18"/>
              </w:rPr>
              <w:t>Entra ID export</w:t>
            </w:r>
          </w:p>
        </w:tc>
        <w:tc>
          <w:tcPr>
            <w:tcW w:type="dxa" w:w="1728"/>
          </w:tcPr>
          <w:p>
            <w:r>
              <w:rPr>
                <w:sz w:val="18"/>
              </w:rPr>
              <w:t>Security Officer</w:t>
            </w:r>
          </w:p>
        </w:tc>
      </w:tr>
      <w:tr>
        <w:tc>
          <w:tcPr>
            <w:tcW w:type="dxa" w:w="2016"/>
          </w:tcPr>
          <w:p>
            <w:r>
              <w:rPr>
                <w:sz w:val="18"/>
              </w:rPr>
              <w:t>Software components</w:t>
            </w:r>
          </w:p>
        </w:tc>
        <w:tc>
          <w:tcPr>
            <w:tcW w:type="dxa" w:w="2880"/>
          </w:tcPr>
          <w:p>
            <w:r>
              <w:rPr>
                <w:sz w:val="18"/>
              </w:rPr>
              <w:t>Python and npm dependencies</w:t>
            </w:r>
          </w:p>
        </w:tc>
        <w:tc>
          <w:tcPr>
            <w:tcW w:type="dxa" w:w="2304"/>
          </w:tcPr>
          <w:p>
            <w:r>
              <w:rPr>
                <w:sz w:val="18"/>
              </w:rPr>
              <w:t>SBOM (CycloneDX)</w:t>
            </w:r>
          </w:p>
        </w:tc>
        <w:tc>
          <w:tcPr>
            <w:tcW w:type="dxa" w:w="1728"/>
          </w:tcPr>
          <w:p>
            <w:r>
              <w:rPr>
                <w:sz w:val="18"/>
              </w:rPr>
              <w:t>Engineering</w:t>
            </w:r>
          </w:p>
        </w:tc>
      </w:tr>
      <w:tr>
        <w:tc>
          <w:tcPr>
            <w:tcW w:type="dxa" w:w="2016"/>
          </w:tcPr>
          <w:p>
            <w:r>
              <w:rPr>
                <w:sz w:val="18"/>
              </w:rPr>
              <w:t>Source repositories</w:t>
            </w:r>
          </w:p>
        </w:tc>
        <w:tc>
          <w:tcPr>
            <w:tcW w:type="dxa" w:w="2880"/>
          </w:tcPr>
          <w:p>
            <w:r>
              <w:rPr>
                <w:sz w:val="18"/>
              </w:rPr>
              <w:t>GitHub - docuaction-backend, docuaction-frontend</w:t>
            </w:r>
          </w:p>
        </w:tc>
        <w:tc>
          <w:tcPr>
            <w:tcW w:type="dxa" w:w="2304"/>
          </w:tcPr>
          <w:p>
            <w:r>
              <w:rPr>
                <w:sz w:val="18"/>
              </w:rPr>
              <w:t>GitHub API</w:t>
            </w:r>
          </w:p>
        </w:tc>
        <w:tc>
          <w:tcPr>
            <w:tcW w:type="dxa" w:w="1728"/>
          </w:tcPr>
          <w:p>
            <w:r>
              <w:rPr>
                <w:sz w:val="18"/>
              </w:rPr>
              <w:t>Engineering</w:t>
            </w:r>
          </w:p>
        </w:tc>
      </w:tr>
      <w:tr>
        <w:tc>
          <w:tcPr>
            <w:tcW w:type="dxa" w:w="2016"/>
          </w:tcPr>
          <w:p>
            <w:r>
              <w:rPr>
                <w:sz w:val="18"/>
              </w:rPr>
              <w:t>Endpoints</w:t>
            </w:r>
          </w:p>
        </w:tc>
        <w:tc>
          <w:tcPr>
            <w:tcW w:type="dxa" w:w="2880"/>
          </w:tcPr>
          <w:p>
            <w:r>
              <w:rPr>
                <w:sz w:val="18"/>
              </w:rPr>
              <w:t>Workstations and mobile devices</w:t>
            </w:r>
          </w:p>
        </w:tc>
        <w:tc>
          <w:tcPr>
            <w:tcW w:type="dxa" w:w="2304"/>
          </w:tcPr>
          <w:p>
            <w:r>
              <w:rPr>
                <w:sz w:val="18"/>
              </w:rPr>
              <w:t>MDM inventory</w:t>
            </w:r>
          </w:p>
        </w:tc>
        <w:tc>
          <w:tcPr>
            <w:tcW w:type="dxa" w:w="1728"/>
          </w:tcPr>
          <w:p>
            <w:r>
              <w:rPr>
                <w:sz w:val="18"/>
              </w:rPr>
              <w:t>Security Officer</w:t>
            </w:r>
          </w:p>
        </w:tc>
      </w:tr>
      <w:tr>
        <w:tc>
          <w:tcPr>
            <w:tcW w:type="dxa" w:w="2016"/>
          </w:tcPr>
          <w:p>
            <w:r>
              <w:rPr>
                <w:sz w:val="18"/>
              </w:rPr>
              <w:t>Third-party services</w:t>
            </w:r>
          </w:p>
        </w:tc>
        <w:tc>
          <w:tcPr>
            <w:tcW w:type="dxa" w:w="2880"/>
          </w:tcPr>
          <w:p>
            <w:r>
              <w:rPr>
                <w:sz w:val="18"/>
              </w:rPr>
              <w:t>AI providers, email, data feeds</w:t>
            </w:r>
          </w:p>
        </w:tc>
        <w:tc>
          <w:tcPr>
            <w:tcW w:type="dxa" w:w="2304"/>
          </w:tcPr>
          <w:p>
            <w:r>
              <w:rPr>
                <w:sz w:val="18"/>
              </w:rPr>
              <w:t>Vendor register (AGT-VRM-012)</w:t>
            </w:r>
          </w:p>
        </w:tc>
        <w:tc>
          <w:tcPr>
            <w:tcW w:type="dxa" w:w="1728"/>
          </w:tcPr>
          <w:p>
            <w:r>
              <w:rPr>
                <w:sz w:val="18"/>
              </w:rPr>
              <w:t>Security Officer</w:t>
            </w:r>
          </w:p>
        </w:tc>
      </w:tr>
    </w:tbl>
    <w:p/>
    <w:p>
      <w:pPr>
        <w:pStyle w:val="Heading1"/>
      </w:pPr>
      <w:r>
        <w:t>4. Software bill of materials</w:t>
      </w:r>
    </w:p>
    <w:p>
      <w:r>
        <w:t>A CycloneDX SBOM is generated for both the backend and frontend on every full security scan and is retained as evidence. The SBOM is the authoritative component inventory; a dependency that does not appear in it is not being assessed for vulnerabilities.</w:t>
      </w:r>
    </w:p>
    <w:p>
      <w:pPr>
        <w:pStyle w:val="ListBullet"/>
      </w:pPr>
      <w:r>
        <w:t>SBOM generation is automated as part of the security platform's scan pipeline.</w:t>
      </w:r>
    </w:p>
    <w:p>
      <w:pPr>
        <w:pStyle w:val="ListBullet"/>
      </w:pPr>
      <w:r>
        <w:t>SBOMs are retained for the life of the release they describe.</w:t>
      </w:r>
    </w:p>
    <w:p>
      <w:pPr>
        <w:pStyle w:val="ListBullet"/>
      </w:pPr>
      <w:r>
        <w:t>A build artifact that produces an SBOM inconsistent with its manifest is treated as a build defect. Orphaned package metadata left by an overlay deployment will misreport component versions and silently corrupt vulnerability assessment - which is why production deployment replaces rather than overlays.</w:t>
      </w:r>
    </w:p>
    <w:p>
      <w:pPr>
        <w:pStyle w:val="Heading1"/>
      </w:pPr>
      <w:r>
        <w:t>5. Asset lifecycle</w:t>
      </w:r>
    </w:p>
    <w:tbl>
      <w:tblPr>
        <w:tblStyle w:val="TableGrid"/>
        <w:tblW w:type="auto" w:w="0"/>
        <w:tblLook w:firstColumn="1" w:firstRow="1" w:lastColumn="0" w:lastRow="0" w:noHBand="0" w:noVBand="1" w:val="04A0"/>
      </w:tblPr>
      <w:tblGrid>
        <w:gridCol w:w="4680"/>
        <w:gridCol w:w="4680"/>
      </w:tblGrid>
      <w:tr>
        <w:tc>
          <w:tcPr>
            <w:tcW w:type="dxa" w:w="1872"/>
            <w:shd w:val="clear" w:fill="0F2B4C"/>
          </w:tcPr>
          <w:p>
            <w:r>
              <w:rPr>
                <w:b/>
                <w:color w:val="FFFFFF"/>
                <w:sz w:val="18"/>
              </w:rPr>
              <w:t>Stage</w:t>
            </w:r>
          </w:p>
        </w:tc>
        <w:tc>
          <w:tcPr>
            <w:tcW w:type="dxa" w:w="7056"/>
            <w:shd w:val="clear" w:fill="0F2B4C"/>
          </w:tcPr>
          <w:p>
            <w:r>
              <w:rPr>
                <w:b/>
                <w:color w:val="FFFFFF"/>
                <w:sz w:val="18"/>
              </w:rPr>
              <w:t>Requirement</w:t>
            </w:r>
          </w:p>
        </w:tc>
      </w:tr>
      <w:tr>
        <w:tc>
          <w:tcPr>
            <w:tcW w:type="dxa" w:w="1872"/>
          </w:tcPr>
          <w:p>
            <w:r>
              <w:rPr>
                <w:sz w:val="18"/>
              </w:rPr>
              <w:t>Acquisition</w:t>
            </w:r>
          </w:p>
        </w:tc>
        <w:tc>
          <w:tcPr>
            <w:tcW w:type="dxa" w:w="7056"/>
          </w:tcPr>
          <w:p>
            <w:r>
              <w:rPr>
                <w:sz w:val="18"/>
              </w:rPr>
              <w:t>Recorded in the inventory before it holds data; owner assigned.</w:t>
            </w:r>
          </w:p>
        </w:tc>
      </w:tr>
      <w:tr>
        <w:tc>
          <w:tcPr>
            <w:tcW w:type="dxa" w:w="1872"/>
          </w:tcPr>
          <w:p>
            <w:r>
              <w:rPr>
                <w:sz w:val="18"/>
              </w:rPr>
              <w:t>Classification</w:t>
            </w:r>
          </w:p>
        </w:tc>
        <w:tc>
          <w:tcPr>
            <w:tcW w:type="dxa" w:w="7056"/>
          </w:tcPr>
          <w:p>
            <w:r>
              <w:rPr>
                <w:sz w:val="18"/>
              </w:rPr>
              <w:t>Tagged with the highest data classification it holds (AGT-DCP-006).</w:t>
            </w:r>
          </w:p>
        </w:tc>
      </w:tr>
      <w:tr>
        <w:tc>
          <w:tcPr>
            <w:tcW w:type="dxa" w:w="1872"/>
          </w:tcPr>
          <w:p>
            <w:r>
              <w:rPr>
                <w:sz w:val="18"/>
              </w:rPr>
              <w:t>Operation</w:t>
            </w:r>
          </w:p>
        </w:tc>
        <w:tc>
          <w:tcPr>
            <w:tcW w:type="dxa" w:w="7056"/>
          </w:tcPr>
          <w:p>
            <w:r>
              <w:rPr>
                <w:sz w:val="18"/>
              </w:rPr>
              <w:t>Covered by configuration baseline (AGT-CfMP-016) and monitoring (AGT-LMP-018).</w:t>
            </w:r>
          </w:p>
        </w:tc>
      </w:tr>
      <w:tr>
        <w:tc>
          <w:tcPr>
            <w:tcW w:type="dxa" w:w="1872"/>
          </w:tcPr>
          <w:p>
            <w:r>
              <w:rPr>
                <w:sz w:val="18"/>
              </w:rPr>
              <w:t>Change</w:t>
            </w:r>
          </w:p>
        </w:tc>
        <w:tc>
          <w:tcPr>
            <w:tcW w:type="dxa" w:w="7056"/>
          </w:tcPr>
          <w:p>
            <w:r>
              <w:rPr>
                <w:sz w:val="18"/>
              </w:rPr>
              <w:t>Modified only through AGT-ChMP-017.</w:t>
            </w:r>
          </w:p>
        </w:tc>
      </w:tr>
      <w:tr>
        <w:tc>
          <w:tcPr>
            <w:tcW w:type="dxa" w:w="1872"/>
          </w:tcPr>
          <w:p>
            <w:r>
              <w:rPr>
                <w:sz w:val="18"/>
              </w:rPr>
              <w:t>Retirement</w:t>
            </w:r>
          </w:p>
        </w:tc>
        <w:tc>
          <w:tcPr>
            <w:tcW w:type="dxa" w:w="7056"/>
          </w:tcPr>
          <w:p>
            <w:r>
              <w:rPr>
                <w:sz w:val="18"/>
              </w:rPr>
              <w:t>Data sanitized per AGT-MPP-008; entry closed with a disposal record.</w:t>
            </w:r>
          </w:p>
        </w:tc>
      </w:tr>
    </w:tbl>
    <w:p/>
    <w:p>
      <w:pPr>
        <w:pStyle w:val="Heading1"/>
      </w:pPr>
      <w:r>
        <w:t>6. Tagging standard</w:t>
      </w:r>
    </w:p>
    <w:tbl>
      <w:tblPr>
        <w:tblStyle w:val="TableGrid"/>
        <w:tblW w:type="auto" w:w="0"/>
        <w:tblLook w:firstColumn="1" w:firstRow="1" w:lastColumn="0" w:lastRow="0" w:noHBand="0" w:noVBand="1" w:val="04A0"/>
      </w:tblPr>
      <w:tblGrid>
        <w:gridCol w:w="3120"/>
        <w:gridCol w:w="3120"/>
        <w:gridCol w:w="3120"/>
      </w:tblGrid>
      <w:tr>
        <w:tc>
          <w:tcPr>
            <w:tcW w:type="dxa" w:w="2016"/>
            <w:shd w:val="clear" w:fill="0F2B4C"/>
          </w:tcPr>
          <w:p>
            <w:r>
              <w:rPr>
                <w:b/>
                <w:color w:val="FFFFFF"/>
                <w:sz w:val="18"/>
              </w:rPr>
              <w:t>Tag</w:t>
            </w:r>
          </w:p>
        </w:tc>
        <w:tc>
          <w:tcPr>
            <w:tcW w:type="dxa" w:w="3456"/>
            <w:shd w:val="clear" w:fill="0F2B4C"/>
          </w:tcPr>
          <w:p>
            <w:r>
              <w:rPr>
                <w:b/>
                <w:color w:val="FFFFFF"/>
                <w:sz w:val="18"/>
              </w:rPr>
              <w:t>Values</w:t>
            </w:r>
          </w:p>
        </w:tc>
        <w:tc>
          <w:tcPr>
            <w:tcW w:type="dxa" w:w="3456"/>
            <w:shd w:val="clear" w:fill="0F2B4C"/>
          </w:tcPr>
          <w:p>
            <w:r>
              <w:rPr>
                <w:b/>
                <w:color w:val="FFFFFF"/>
                <w:sz w:val="18"/>
              </w:rPr>
              <w:t>Purpose</w:t>
            </w:r>
          </w:p>
        </w:tc>
      </w:tr>
      <w:tr>
        <w:tc>
          <w:tcPr>
            <w:tcW w:type="dxa" w:w="2016"/>
          </w:tcPr>
          <w:p>
            <w:r>
              <w:rPr>
                <w:sz w:val="18"/>
              </w:rPr>
              <w:t>environment</w:t>
            </w:r>
          </w:p>
        </w:tc>
        <w:tc>
          <w:tcPr>
            <w:tcW w:type="dxa" w:w="3456"/>
          </w:tcPr>
          <w:p>
            <w:r>
              <w:rPr>
                <w:sz w:val="18"/>
              </w:rPr>
              <w:t>prod | dev</w:t>
            </w:r>
          </w:p>
        </w:tc>
        <w:tc>
          <w:tcPr>
            <w:tcW w:type="dxa" w:w="3456"/>
          </w:tcPr>
          <w:p>
            <w:r>
              <w:rPr>
                <w:sz w:val="18"/>
              </w:rPr>
              <w:t>Determines change control and deployment method</w:t>
            </w:r>
          </w:p>
        </w:tc>
      </w:tr>
      <w:tr>
        <w:tc>
          <w:tcPr>
            <w:tcW w:type="dxa" w:w="2016"/>
          </w:tcPr>
          <w:p>
            <w:r>
              <w:rPr>
                <w:sz w:val="18"/>
              </w:rPr>
              <w:t>dataClassification</w:t>
            </w:r>
          </w:p>
        </w:tc>
        <w:tc>
          <w:tcPr>
            <w:tcW w:type="dxa" w:w="3456"/>
          </w:tcPr>
          <w:p>
            <w:r>
              <w:rPr>
                <w:sz w:val="18"/>
              </w:rPr>
              <w:t>Public | Internal | Confidential | Restricted</w:t>
            </w:r>
          </w:p>
        </w:tc>
        <w:tc>
          <w:tcPr>
            <w:tcW w:type="dxa" w:w="3456"/>
          </w:tcPr>
          <w:p>
            <w:r>
              <w:rPr>
                <w:sz w:val="18"/>
              </w:rPr>
              <w:t>Drives handling controls</w:t>
            </w:r>
          </w:p>
        </w:tc>
      </w:tr>
      <w:tr>
        <w:tc>
          <w:tcPr>
            <w:tcW w:type="dxa" w:w="2016"/>
          </w:tcPr>
          <w:p>
            <w:r>
              <w:rPr>
                <w:sz w:val="18"/>
              </w:rPr>
              <w:t>owner</w:t>
            </w:r>
          </w:p>
        </w:tc>
        <w:tc>
          <w:tcPr>
            <w:tcW w:type="dxa" w:w="3456"/>
          </w:tcPr>
          <w:p>
            <w:r>
              <w:rPr>
                <w:sz w:val="18"/>
              </w:rPr>
              <w:t>Named individual</w:t>
            </w:r>
          </w:p>
        </w:tc>
        <w:tc>
          <w:tcPr>
            <w:tcW w:type="dxa" w:w="3456"/>
          </w:tcPr>
          <w:p>
            <w:r>
              <w:rPr>
                <w:sz w:val="18"/>
              </w:rPr>
              <w:t>Accountability for review</w:t>
            </w:r>
          </w:p>
        </w:tc>
      </w:tr>
      <w:tr>
        <w:tc>
          <w:tcPr>
            <w:tcW w:type="dxa" w:w="2016"/>
          </w:tcPr>
          <w:p>
            <w:r>
              <w:rPr>
                <w:sz w:val="18"/>
              </w:rPr>
              <w:t>costCenter</w:t>
            </w:r>
          </w:p>
        </w:tc>
        <w:tc>
          <w:tcPr>
            <w:tcW w:type="dxa" w:w="3456"/>
          </w:tcPr>
          <w:p>
            <w:r>
              <w:rPr>
                <w:sz w:val="18"/>
              </w:rPr>
              <w:t>AGT cost code</w:t>
            </w:r>
          </w:p>
        </w:tc>
        <w:tc>
          <w:tcPr>
            <w:tcW w:type="dxa" w:w="3456"/>
          </w:tcPr>
          <w:p>
            <w:r>
              <w:rPr>
                <w:sz w:val="18"/>
              </w:rPr>
              <w:t>Financial attribution</w:t>
            </w:r>
          </w:p>
        </w:tc>
      </w:tr>
      <w:tr>
        <w:tc>
          <w:tcPr>
            <w:tcW w:type="dxa" w:w="2016"/>
          </w:tcPr>
          <w:p>
            <w:r>
              <w:rPr>
                <w:sz w:val="18"/>
              </w:rPr>
              <w:t>system</w:t>
            </w:r>
          </w:p>
        </w:tc>
        <w:tc>
          <w:tcPr>
            <w:tcW w:type="dxa" w:w="3456"/>
          </w:tcPr>
          <w:p>
            <w:r>
              <w:rPr>
                <w:sz w:val="18"/>
              </w:rPr>
              <w:t>docuaction-tefca-arc</w:t>
            </w:r>
          </w:p>
        </w:tc>
        <w:tc>
          <w:tcPr>
            <w:tcW w:type="dxa" w:w="3456"/>
          </w:tcPr>
          <w:p>
            <w:r>
              <w:rPr>
                <w:sz w:val="18"/>
              </w:rPr>
              <w:t>Groups assets to the authorization boundary</w:t>
            </w:r>
          </w:p>
        </w:tc>
      </w:tr>
    </w:tbl>
    <w:p/>
    <w:p>
      <w:pPr>
        <w:pStyle w:val="Heading1"/>
      </w:pPr>
      <w:r>
        <w:t>7. Unauthorized assets</w:t>
      </w:r>
    </w:p>
    <w:p>
      <w:r>
        <w:t>Any asset discovered that is not in the inventory is treated as unauthorized until an owner is identified and it is either recorded or removed. Shadow resources are a common source of unmonitored exposure precisely because nothing scans what nothing knows about.</w:t>
      </w:r>
    </w:p>
    <w:p>
      <w:pPr>
        <w:pStyle w:val="Heading1"/>
      </w:pPr>
      <w:r>
        <w:t>8. Review</w:t>
      </w:r>
    </w:p>
    <w:tbl>
      <w:tblPr>
        <w:tblStyle w:val="TableGrid"/>
        <w:tblW w:type="auto" w:w="0"/>
        <w:tblLook w:firstColumn="1" w:firstRow="1" w:lastColumn="0" w:lastRow="0" w:noHBand="0" w:noVBand="1" w:val="04A0"/>
      </w:tblPr>
      <w:tblGrid>
        <w:gridCol w:w="3120"/>
        <w:gridCol w:w="3120"/>
        <w:gridCol w:w="3120"/>
      </w:tblGrid>
      <w:tr>
        <w:tc>
          <w:tcPr>
            <w:tcW w:type="dxa" w:w="4320"/>
            <w:shd w:val="clear" w:fill="0F2B4C"/>
          </w:tcPr>
          <w:p>
            <w:r>
              <w:rPr>
                <w:b/>
                <w:color w:val="FFFFFF"/>
                <w:sz w:val="18"/>
              </w:rPr>
              <w:t>Activity</w:t>
            </w:r>
          </w:p>
        </w:tc>
        <w:tc>
          <w:tcPr>
            <w:tcW w:type="dxa" w:w="2016"/>
            <w:shd w:val="clear" w:fill="0F2B4C"/>
          </w:tcPr>
          <w:p>
            <w:r>
              <w:rPr>
                <w:b/>
                <w:color w:val="FFFFFF"/>
                <w:sz w:val="18"/>
              </w:rPr>
              <w:t>Frequency</w:t>
            </w:r>
          </w:p>
        </w:tc>
        <w:tc>
          <w:tcPr>
            <w:tcW w:type="dxa" w:w="2592"/>
            <w:shd w:val="clear" w:fill="0F2B4C"/>
          </w:tcPr>
          <w:p>
            <w:r>
              <w:rPr>
                <w:b/>
                <w:color w:val="FFFFFF"/>
                <w:sz w:val="18"/>
              </w:rPr>
              <w:t>Owner</w:t>
            </w:r>
          </w:p>
        </w:tc>
      </w:tr>
      <w:tr>
        <w:tc>
          <w:tcPr>
            <w:tcW w:type="dxa" w:w="4320"/>
          </w:tcPr>
          <w:p>
            <w:r>
              <w:rPr>
                <w:sz w:val="18"/>
              </w:rPr>
              <w:t>Reconcile cloud inventory against Azure Resource Graph</w:t>
            </w:r>
          </w:p>
        </w:tc>
        <w:tc>
          <w:tcPr>
            <w:tcW w:type="dxa" w:w="2016"/>
          </w:tcPr>
          <w:p>
            <w:r>
              <w:rPr>
                <w:sz w:val="18"/>
              </w:rPr>
              <w:t>Quarterly</w:t>
            </w:r>
          </w:p>
        </w:tc>
        <w:tc>
          <w:tcPr>
            <w:tcW w:type="dxa" w:w="2592"/>
          </w:tcPr>
          <w:p>
            <w:r>
              <w:rPr>
                <w:sz w:val="18"/>
              </w:rPr>
              <w:t>Engineering</w:t>
            </w:r>
          </w:p>
        </w:tc>
      </w:tr>
      <w:tr>
        <w:tc>
          <w:tcPr>
            <w:tcW w:type="dxa" w:w="4320"/>
          </w:tcPr>
          <w:p>
            <w:r>
              <w:rPr>
                <w:sz w:val="18"/>
              </w:rPr>
              <w:t>Reconcile endpoint inventory against MDM</w:t>
            </w:r>
          </w:p>
        </w:tc>
        <w:tc>
          <w:tcPr>
            <w:tcW w:type="dxa" w:w="2016"/>
          </w:tcPr>
          <w:p>
            <w:r>
              <w:rPr>
                <w:sz w:val="18"/>
              </w:rPr>
              <w:t>Quarterly</w:t>
            </w:r>
          </w:p>
        </w:tc>
        <w:tc>
          <w:tcPr>
            <w:tcW w:type="dxa" w:w="2592"/>
          </w:tcPr>
          <w:p>
            <w:r>
              <w:rPr>
                <w:sz w:val="18"/>
              </w:rPr>
              <w:t>Security Officer</w:t>
            </w:r>
          </w:p>
        </w:tc>
      </w:tr>
      <w:tr>
        <w:tc>
          <w:tcPr>
            <w:tcW w:type="dxa" w:w="4320"/>
          </w:tcPr>
          <w:p>
            <w:r>
              <w:rPr>
                <w:sz w:val="18"/>
              </w:rPr>
              <w:t>Review SBOM for unmaintained components</w:t>
            </w:r>
          </w:p>
        </w:tc>
        <w:tc>
          <w:tcPr>
            <w:tcW w:type="dxa" w:w="2016"/>
          </w:tcPr>
          <w:p>
            <w:r>
              <w:rPr>
                <w:sz w:val="18"/>
              </w:rPr>
              <w:t>Monthly with scan</w:t>
            </w:r>
          </w:p>
        </w:tc>
        <w:tc>
          <w:tcPr>
            <w:tcW w:type="dxa" w:w="2592"/>
          </w:tcPr>
          <w:p>
            <w:r>
              <w:rPr>
                <w:sz w:val="18"/>
              </w:rPr>
              <w:t>Engineering</w:t>
            </w:r>
          </w:p>
        </w:tc>
      </w:tr>
      <w:tr>
        <w:tc>
          <w:tcPr>
            <w:tcW w:type="dxa" w:w="4320"/>
          </w:tcPr>
          <w:p>
            <w:r>
              <w:rPr>
                <w:sz w:val="18"/>
              </w:rPr>
              <w:t>Review asset owners for accuracy</w:t>
            </w:r>
          </w:p>
        </w:tc>
        <w:tc>
          <w:tcPr>
            <w:tcW w:type="dxa" w:w="2016"/>
          </w:tcPr>
          <w:p>
            <w:r>
              <w:rPr>
                <w:sz w:val="18"/>
              </w:rPr>
              <w:t>Annually</w:t>
            </w:r>
          </w:p>
        </w:tc>
        <w:tc>
          <w:tcPr>
            <w:tcW w:type="dxa" w:w="2592"/>
          </w:tcPr>
          <w:p>
            <w:r>
              <w:rPr>
                <w:sz w:val="18"/>
              </w:rPr>
              <w:t>Security Officer</w:t>
            </w:r>
          </w:p>
        </w:tc>
      </w:tr>
    </w:tbl>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Engineering</w:t>
            </w:r>
          </w:p>
        </w:tc>
        <w:tc>
          <w:tcPr>
            <w:tcW w:type="dxa" w:w="6336"/>
          </w:tcPr>
          <w:p>
            <w:r>
              <w:rPr>
                <w:sz w:val="18"/>
              </w:rPr>
              <w:t>Maintains cloud and software inventory; generates SBOMs.</w:t>
            </w:r>
          </w:p>
        </w:tc>
      </w:tr>
      <w:tr>
        <w:tc>
          <w:tcPr>
            <w:tcW w:type="dxa" w:w="2592"/>
          </w:tcPr>
          <w:p>
            <w:r>
              <w:rPr>
                <w:sz w:val="18"/>
              </w:rPr>
              <w:t>Security Officer</w:t>
            </w:r>
          </w:p>
        </w:tc>
        <w:tc>
          <w:tcPr>
            <w:tcW w:type="dxa" w:w="6336"/>
          </w:tcPr>
          <w:p>
            <w:r>
              <w:rPr>
                <w:sz w:val="18"/>
              </w:rPr>
              <w:t>Maintains endpoint and identity inventory; investigates unauthorized assets.</w:t>
            </w:r>
          </w:p>
        </w:tc>
      </w:tr>
      <w:tr>
        <w:tc>
          <w:tcPr>
            <w:tcW w:type="dxa" w:w="2592"/>
          </w:tcPr>
          <w:p>
            <w:r>
              <w:rPr>
                <w:sz w:val="18"/>
              </w:rPr>
              <w:t>Asset owners</w:t>
            </w:r>
          </w:p>
        </w:tc>
        <w:tc>
          <w:tcPr>
            <w:tcW w:type="dxa" w:w="6336"/>
          </w:tcPr>
          <w:p>
            <w:r>
              <w:rPr>
                <w:sz w:val="18"/>
              </w:rPr>
              <w:t>Confirm accuracy at review; approve retirement.</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CM-8, CM-8(1), PM-5</w:t>
            </w:r>
          </w:p>
        </w:tc>
        <w:tc>
          <w:tcPr>
            <w:tcW w:type="dxa" w:w="4320"/>
          </w:tcPr>
          <w:p>
            <w:r>
              <w:rPr>
                <w:sz w:val="18"/>
              </w:rPr>
              <w:t>Information system component inventory and updates.</w:t>
            </w:r>
          </w:p>
        </w:tc>
        <w:tc>
          <w:tcPr>
            <w:tcW w:type="dxa" w:w="1152"/>
          </w:tcPr>
          <w:p>
            <w:r>
              <w:rPr>
                <w:sz w:val="18"/>
              </w:rPr>
              <w:t>Met</w:t>
            </w:r>
          </w:p>
        </w:tc>
      </w:tr>
      <w:tr>
        <w:tc>
          <w:tcPr>
            <w:tcW w:type="dxa" w:w="1584"/>
          </w:tcPr>
          <w:p>
            <w:r>
              <w:rPr>
                <w:sz w:val="18"/>
              </w:rPr>
              <w:t>NIST 800-53</w:t>
            </w:r>
          </w:p>
        </w:tc>
        <w:tc>
          <w:tcPr>
            <w:tcW w:type="dxa" w:w="2160"/>
          </w:tcPr>
          <w:p>
            <w:r>
              <w:rPr>
                <w:sz w:val="18"/>
              </w:rPr>
              <w:t>SA-4, SR-4</w:t>
            </w:r>
          </w:p>
        </w:tc>
        <w:tc>
          <w:tcPr>
            <w:tcW w:type="dxa" w:w="4320"/>
          </w:tcPr>
          <w:p>
            <w:r>
              <w:rPr>
                <w:sz w:val="18"/>
              </w:rPr>
              <w:t>Acquisition process; provenance of components.</w:t>
            </w:r>
          </w:p>
        </w:tc>
        <w:tc>
          <w:tcPr>
            <w:tcW w:type="dxa" w:w="1152"/>
          </w:tcPr>
          <w:p>
            <w:r>
              <w:rPr>
                <w:sz w:val="18"/>
              </w:rPr>
              <w:t>Partial</w:t>
            </w:r>
          </w:p>
        </w:tc>
      </w:tr>
      <w:tr>
        <w:tc>
          <w:tcPr>
            <w:tcW w:type="dxa" w:w="1584"/>
          </w:tcPr>
          <w:p>
            <w:r>
              <w:rPr>
                <w:sz w:val="18"/>
              </w:rPr>
              <w:t>HIPAA</w:t>
            </w:r>
          </w:p>
        </w:tc>
        <w:tc>
          <w:tcPr>
            <w:tcW w:type="dxa" w:w="2160"/>
          </w:tcPr>
          <w:p>
            <w:r>
              <w:rPr>
                <w:sz w:val="18"/>
              </w:rPr>
              <w:t>164.310(d)(1)</w:t>
            </w:r>
          </w:p>
        </w:tc>
        <w:tc>
          <w:tcPr>
            <w:tcW w:type="dxa" w:w="4320"/>
          </w:tcPr>
          <w:p>
            <w:r>
              <w:rPr>
                <w:sz w:val="18"/>
              </w:rPr>
              <w:t>Accountability for hardware and media movement.</w:t>
            </w:r>
          </w:p>
        </w:tc>
        <w:tc>
          <w:tcPr>
            <w:tcW w:type="dxa" w:w="1152"/>
          </w:tcPr>
          <w:p>
            <w:r>
              <w:rPr>
                <w:sz w:val="18"/>
              </w:rPr>
              <w:t>Met</w:t>
            </w:r>
          </w:p>
        </w:tc>
      </w:tr>
      <w:tr>
        <w:tc>
          <w:tcPr>
            <w:tcW w:type="dxa" w:w="1584"/>
          </w:tcPr>
          <w:p>
            <w:r>
              <w:rPr>
                <w:sz w:val="18"/>
              </w:rPr>
              <w:t>SOC 2</w:t>
            </w:r>
          </w:p>
        </w:tc>
        <w:tc>
          <w:tcPr>
            <w:tcW w:type="dxa" w:w="2160"/>
          </w:tcPr>
          <w:p>
            <w:r>
              <w:rPr>
                <w:sz w:val="18"/>
              </w:rPr>
              <w:t>CC6.1, CC3.2</w:t>
            </w:r>
          </w:p>
        </w:tc>
        <w:tc>
          <w:tcPr>
            <w:tcW w:type="dxa" w:w="4320"/>
          </w:tcPr>
          <w:p>
            <w:r>
              <w:rPr>
                <w:sz w:val="18"/>
              </w:rPr>
              <w:t>Inventory as the basis for access and risk identification.</w:t>
            </w:r>
          </w:p>
        </w:tc>
        <w:tc>
          <w:tcPr>
            <w:tcW w:type="dxa" w:w="1152"/>
          </w:tcPr>
          <w:p>
            <w:r>
              <w:rPr>
                <w:sz w:val="18"/>
              </w:rPr>
              <w:t>Met</w:t>
            </w:r>
          </w:p>
        </w:tc>
      </w:tr>
      <w:tr>
        <w:tc>
          <w:tcPr>
            <w:tcW w:type="dxa" w:w="1584"/>
          </w:tcPr>
          <w:p>
            <w:r>
              <w:rPr>
                <w:sz w:val="18"/>
              </w:rPr>
              <w:t>ISO 27001</w:t>
            </w:r>
          </w:p>
        </w:tc>
        <w:tc>
          <w:tcPr>
            <w:tcW w:type="dxa" w:w="2160"/>
          </w:tcPr>
          <w:p>
            <w:r>
              <w:rPr>
                <w:sz w:val="18"/>
              </w:rPr>
              <w:t>A.5.9, A.5.10</w:t>
            </w:r>
          </w:p>
        </w:tc>
        <w:tc>
          <w:tcPr>
            <w:tcW w:type="dxa" w:w="4320"/>
          </w:tcPr>
          <w:p>
            <w:r>
              <w:rPr>
                <w:sz w:val="18"/>
              </w:rPr>
              <w:t>Inventory of information and associated assets; acceptable use.</w:t>
            </w:r>
          </w:p>
        </w:tc>
        <w:tc>
          <w:tcPr>
            <w:tcW w:type="dxa" w:w="1152"/>
          </w:tcPr>
          <w:p>
            <w:r>
              <w:rPr>
                <w:sz w:val="18"/>
              </w:rPr>
              <w:t>Met</w:t>
            </w:r>
          </w:p>
        </w:tc>
      </w:tr>
      <w:tr>
        <w:tc>
          <w:tcPr>
            <w:tcW w:type="dxa" w:w="1584"/>
          </w:tcPr>
          <w:p>
            <w:r>
              <w:rPr>
                <w:sz w:val="18"/>
              </w:rPr>
              <w:t>CMMI L3</w:t>
            </w:r>
          </w:p>
        </w:tc>
        <w:tc>
          <w:tcPr>
            <w:tcW w:type="dxa" w:w="2160"/>
          </w:tcPr>
          <w:p>
            <w:r>
              <w:rPr>
                <w:sz w:val="18"/>
              </w:rPr>
              <w:t>CM</w:t>
            </w:r>
          </w:p>
        </w:tc>
        <w:tc>
          <w:tcPr>
            <w:tcW w:type="dxa" w:w="4320"/>
          </w:tcPr>
          <w:p>
            <w:r>
              <w:rPr>
                <w:sz w:val="18"/>
              </w:rPr>
              <w:t>Configuration identification of work products.</w:t>
            </w:r>
          </w:p>
        </w:tc>
        <w:tc>
          <w:tcPr>
            <w:tcW w:type="dxa" w:w="1152"/>
          </w:tcPr>
          <w:p>
            <w:r>
              <w:rPr>
                <w:sz w:val="18"/>
              </w:rPr>
              <w:t>Met</w:t>
            </w:r>
          </w:p>
        </w:tc>
      </w:tr>
      <w:tr>
        <w:tc>
          <w:tcPr>
            <w:tcW w:type="dxa" w:w="1584"/>
          </w:tcPr>
          <w:p>
            <w:r>
              <w:rPr>
                <w:sz w:val="18"/>
              </w:rPr>
              <w:t>FedRAMP</w:t>
            </w:r>
          </w:p>
        </w:tc>
        <w:tc>
          <w:tcPr>
            <w:tcW w:type="dxa" w:w="2160"/>
          </w:tcPr>
          <w:p>
            <w:r>
              <w:rPr>
                <w:sz w:val="18"/>
              </w:rPr>
              <w:t>CM-8(3)</w:t>
            </w:r>
          </w:p>
        </w:tc>
        <w:tc>
          <w:tcPr>
            <w:tcW w:type="dxa" w:w="4320"/>
          </w:tcPr>
          <w:p>
            <w:r>
              <w:rPr>
                <w:sz w:val="18"/>
              </w:rPr>
              <w:t>Automated unauthorized component detection.</w:t>
            </w:r>
          </w:p>
        </w:tc>
        <w:tc>
          <w:tcPr>
            <w:tcW w:type="dxa" w:w="1152"/>
          </w:tcPr>
          <w:p>
            <w:r>
              <w:rPr>
                <w:sz w:val="18"/>
              </w:rPr>
              <w:t>Partial - detection is periodic, not continuous.</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AGT-DCP-006</w:t>
            </w:r>
          </w:p>
        </w:tc>
        <w:tc>
          <w:tcPr>
            <w:tcW w:type="dxa" w:w="4176"/>
          </w:tcPr>
          <w:p>
            <w:r>
              <w:rPr>
                <w:sz w:val="18"/>
              </w:rPr>
              <w:t>Data Classification Policy</w:t>
            </w:r>
          </w:p>
        </w:tc>
        <w:tc>
          <w:tcPr>
            <w:tcW w:type="dxa" w:w="3168"/>
          </w:tcPr>
          <w:p>
            <w:r>
              <w:rPr>
                <w:sz w:val="18"/>
              </w:rPr>
              <w:t>Classification tags applied to assets</w:t>
            </w:r>
          </w:p>
        </w:tc>
      </w:tr>
      <w:tr>
        <w:tc>
          <w:tcPr>
            <w:tcW w:type="dxa" w:w="1872"/>
          </w:tcPr>
          <w:p>
            <w:r>
              <w:rPr>
                <w:sz w:val="18"/>
              </w:rPr>
              <w:t>AGT-CfMP-016</w:t>
            </w:r>
          </w:p>
        </w:tc>
        <w:tc>
          <w:tcPr>
            <w:tcW w:type="dxa" w:w="4176"/>
          </w:tcPr>
          <w:p>
            <w:r>
              <w:rPr>
                <w:sz w:val="18"/>
              </w:rPr>
              <w:t>Configuration Management Policy</w:t>
            </w:r>
          </w:p>
        </w:tc>
        <w:tc>
          <w:tcPr>
            <w:tcW w:type="dxa" w:w="3168"/>
          </w:tcPr>
          <w:p>
            <w:r>
              <w:rPr>
                <w:sz w:val="18"/>
              </w:rPr>
              <w:t>Baselines applied to inventoried assets</w:t>
            </w:r>
          </w:p>
        </w:tc>
      </w:tr>
      <w:tr>
        <w:tc>
          <w:tcPr>
            <w:tcW w:type="dxa" w:w="1872"/>
          </w:tcPr>
          <w:p>
            <w:r>
              <w:rPr>
                <w:sz w:val="18"/>
              </w:rPr>
              <w:t>AGT-VRM-012</w:t>
            </w:r>
          </w:p>
        </w:tc>
        <w:tc>
          <w:tcPr>
            <w:tcW w:type="dxa" w:w="4176"/>
          </w:tcPr>
          <w:p>
            <w:r>
              <w:rPr>
                <w:sz w:val="18"/>
              </w:rPr>
              <w:t>Vendor Risk Management Policy</w:t>
            </w:r>
          </w:p>
        </w:tc>
        <w:tc>
          <w:tcPr>
            <w:tcW w:type="dxa" w:w="3168"/>
          </w:tcPr>
          <w:p>
            <w:r>
              <w:rPr>
                <w:sz w:val="18"/>
              </w:rPr>
              <w:t>Third-party service inventory</w:t>
            </w:r>
          </w:p>
        </w:tc>
      </w:tr>
      <w:tr>
        <w:tc>
          <w:tcPr>
            <w:tcW w:type="dxa" w:w="1872"/>
          </w:tcPr>
          <w:p>
            <w:r>
              <w:rPr>
                <w:sz w:val="18"/>
              </w:rPr>
              <w:t>AGT-MPP-008</w:t>
            </w:r>
          </w:p>
        </w:tc>
        <w:tc>
          <w:tcPr>
            <w:tcW w:type="dxa" w:w="4176"/>
          </w:tcPr>
          <w:p>
            <w:r>
              <w:rPr>
                <w:sz w:val="18"/>
              </w:rPr>
              <w:t>Media Protection Policy</w:t>
            </w:r>
          </w:p>
        </w:tc>
        <w:tc>
          <w:tcPr>
            <w:tcW w:type="dxa" w:w="3168"/>
          </w:tcPr>
          <w:p>
            <w:r>
              <w:rPr>
                <w:sz w:val="18"/>
              </w:rPr>
              <w:t>Sanitization at retirement</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AGT-AMP-011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