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Business Continuity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AGT-BCP-020</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establishes how AGT continues to deliver its critical services during a disruption. It addresses the business dimension - people, communication, and process - while AGT-DRP-021 addresses the technical recovery of systems.</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Critical business functions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fill="0F2B4C"/>
          </w:tcPr>
          <w:p>
            <w:r>
              <w:rPr>
                <w:b/>
                <w:color w:val="FFFFFF"/>
                <w:sz w:val="18"/>
              </w:rPr>
              <w:t>Function</w:t>
            </w:r>
          </w:p>
        </w:tc>
        <w:tc>
          <w:tcPr>
            <w:tcW w:type="dxa" w:w="2736"/>
            <w:shd w:val="clear" w:fill="0F2B4C"/>
          </w:tcPr>
          <w:p>
            <w:r>
              <w:rPr>
                <w:b/>
                <w:color w:val="FFFFFF"/>
                <w:sz w:val="18"/>
              </w:rPr>
              <w:t>Impact of loss</w:t>
            </w:r>
          </w:p>
        </w:tc>
        <w:tc>
          <w:tcPr>
            <w:tcW w:type="dxa" w:w="1728"/>
            <w:shd w:val="clear" w:fill="0F2B4C"/>
          </w:tcPr>
          <w:p>
            <w:r>
              <w:rPr>
                <w:b/>
                <w:color w:val="FFFFFF"/>
                <w:sz w:val="18"/>
              </w:rPr>
              <w:t>Max tolerable outage</w:t>
            </w:r>
          </w:p>
        </w:tc>
        <w:tc>
          <w:tcPr>
            <w:tcW w:type="dxa" w:w="2016"/>
            <w:shd w:val="clear" w:fill="0F2B4C"/>
          </w:tcPr>
          <w:p>
            <w:r>
              <w:rPr>
                <w:b/>
                <w:color w:val="FFFFFF"/>
                <w:sz w:val="18"/>
              </w:rPr>
              <w:t>Dependency</w:t>
            </w:r>
          </w:p>
        </w:tc>
      </w:tr>
      <w:tr>
        <w:tc>
          <w:tcPr>
            <w:tcW w:type="dxa" w:w="2448"/>
          </w:tcPr>
          <w:p>
            <w:r>
              <w:rPr>
                <w:sz w:val="18"/>
              </w:rPr>
              <w:t>TEFCA validation and review delivery</w:t>
            </w:r>
          </w:p>
        </w:tc>
        <w:tc>
          <w:tcPr>
            <w:tcW w:type="dxa" w:w="2736"/>
          </w:tcPr>
          <w:p>
            <w:r>
              <w:rPr>
                <w:sz w:val="18"/>
              </w:rPr>
              <w:t>Contractual breach; customer operations halted</w:t>
            </w:r>
          </w:p>
        </w:tc>
        <w:tc>
          <w:tcPr>
            <w:tcW w:type="dxa" w:w="1728"/>
          </w:tcPr>
          <w:p>
            <w:r>
              <w:rPr>
                <w:sz w:val="18"/>
              </w:rPr>
              <w:t>8 hours</w:t>
            </w:r>
          </w:p>
        </w:tc>
        <w:tc>
          <w:tcPr>
            <w:tcW w:type="dxa" w:w="2016"/>
          </w:tcPr>
          <w:p>
            <w:r>
              <w:rPr>
                <w:sz w:val="18"/>
              </w:rPr>
              <w:t>Azure App Service, PostgreSQL</w:t>
            </w:r>
          </w:p>
        </w:tc>
      </w:tr>
      <w:tr>
        <w:tc>
          <w:tcPr>
            <w:tcW w:type="dxa" w:w="2448"/>
          </w:tcPr>
          <w:p>
            <w:r>
              <w:rPr>
                <w:sz w:val="18"/>
              </w:rPr>
              <w:t>Case management documentation</w:t>
            </w:r>
          </w:p>
        </w:tc>
        <w:tc>
          <w:tcPr>
            <w:tcW w:type="dxa" w:w="2736"/>
          </w:tcPr>
          <w:p>
            <w:r>
              <w:rPr>
                <w:sz w:val="18"/>
              </w:rPr>
              <w:t>Clinical documentation delayed</w:t>
            </w:r>
          </w:p>
        </w:tc>
        <w:tc>
          <w:tcPr>
            <w:tcW w:type="dxa" w:w="1728"/>
          </w:tcPr>
          <w:p>
            <w:r>
              <w:rPr>
                <w:sz w:val="18"/>
              </w:rPr>
              <w:t>8 hours</w:t>
            </w:r>
          </w:p>
        </w:tc>
        <w:tc>
          <w:tcPr>
            <w:tcW w:type="dxa" w:w="2016"/>
          </w:tcPr>
          <w:p>
            <w:r>
              <w:rPr>
                <w:sz w:val="18"/>
              </w:rPr>
              <w:t>App Service, AI providers</w:t>
            </w:r>
          </w:p>
        </w:tc>
      </w:tr>
      <w:tr>
        <w:tc>
          <w:tcPr>
            <w:tcW w:type="dxa" w:w="2448"/>
          </w:tcPr>
          <w:p>
            <w:r>
              <w:rPr>
                <w:sz w:val="18"/>
              </w:rPr>
              <w:t>FCC bulletin delivery</w:t>
            </w:r>
          </w:p>
        </w:tc>
        <w:tc>
          <w:tcPr>
            <w:tcW w:type="dxa" w:w="2736"/>
          </w:tcPr>
          <w:p>
            <w:r>
              <w:rPr>
                <w:sz w:val="18"/>
              </w:rPr>
              <w:t>Missed daily client commitment</w:t>
            </w:r>
          </w:p>
        </w:tc>
        <w:tc>
          <w:tcPr>
            <w:tcW w:type="dxa" w:w="1728"/>
          </w:tcPr>
          <w:p>
            <w:r>
              <w:rPr>
                <w:sz w:val="18"/>
              </w:rPr>
              <w:t>24 hours</w:t>
            </w:r>
          </w:p>
        </w:tc>
        <w:tc>
          <w:tcPr>
            <w:tcW w:type="dxa" w:w="2016"/>
          </w:tcPr>
          <w:p>
            <w:r>
              <w:rPr>
                <w:sz w:val="18"/>
              </w:rPr>
              <w:t>App Service, data feeds, email</w:t>
            </w:r>
          </w:p>
        </w:tc>
      </w:tr>
      <w:tr>
        <w:tc>
          <w:tcPr>
            <w:tcW w:type="dxa" w:w="2448"/>
          </w:tcPr>
          <w:p>
            <w:r>
              <w:rPr>
                <w:sz w:val="18"/>
              </w:rPr>
              <w:t>Customer authentication</w:t>
            </w:r>
          </w:p>
        </w:tc>
        <w:tc>
          <w:tcPr>
            <w:tcW w:type="dxa" w:w="2736"/>
          </w:tcPr>
          <w:p>
            <w:r>
              <w:rPr>
                <w:sz w:val="18"/>
              </w:rPr>
              <w:t>Total loss of access</w:t>
            </w:r>
          </w:p>
        </w:tc>
        <w:tc>
          <w:tcPr>
            <w:tcW w:type="dxa" w:w="1728"/>
          </w:tcPr>
          <w:p>
            <w:r>
              <w:rPr>
                <w:sz w:val="18"/>
              </w:rPr>
              <w:t>4 hours</w:t>
            </w:r>
          </w:p>
        </w:tc>
        <w:tc>
          <w:tcPr>
            <w:tcW w:type="dxa" w:w="2016"/>
          </w:tcPr>
          <w:p>
            <w:r>
              <w:rPr>
                <w:sz w:val="18"/>
              </w:rPr>
              <w:t>Entra ID, App Service</w:t>
            </w:r>
          </w:p>
        </w:tc>
      </w:tr>
      <w:tr>
        <w:tc>
          <w:tcPr>
            <w:tcW w:type="dxa" w:w="2448"/>
          </w:tcPr>
          <w:p>
            <w:r>
              <w:rPr>
                <w:sz w:val="18"/>
              </w:rPr>
              <w:t>Audit and compliance evidence</w:t>
            </w:r>
          </w:p>
        </w:tc>
        <w:tc>
          <w:tcPr>
            <w:tcW w:type="dxa" w:w="2736"/>
          </w:tcPr>
          <w:p>
            <w:r>
              <w:rPr>
                <w:sz w:val="18"/>
              </w:rPr>
              <w:t>Regulatory exposure</w:t>
            </w:r>
          </w:p>
        </w:tc>
        <w:tc>
          <w:tcPr>
            <w:tcW w:type="dxa" w:w="1728"/>
          </w:tcPr>
          <w:p>
            <w:r>
              <w:rPr>
                <w:sz w:val="18"/>
              </w:rPr>
              <w:t>72 hours</w:t>
            </w:r>
          </w:p>
        </w:tc>
        <w:tc>
          <w:tcPr>
            <w:tcW w:type="dxa" w:w="2016"/>
          </w:tcPr>
          <w:p>
            <w:r>
              <w:rPr>
                <w:sz w:val="18"/>
              </w:rPr>
              <w:t>PostgreSQL, log workspace</w:t>
            </w:r>
          </w:p>
        </w:tc>
      </w:tr>
    </w:tbl>
    <w:p/>
    <w:p>
      <w:pPr>
        <w:pStyle w:val="Heading1"/>
      </w:pPr>
      <w:r>
        <w:t>4. Business impact analysis summary</w:t>
      </w:r>
    </w:p>
    <w:p>
      <w:r>
        <w:t>AGT is a small, distributed organization whose production capability is almost entirely cloud-hosted. This shapes the continuity profile in two ways worth stating explicitly. Facility loss is close to irrelevant - there is no data centre and no office that production depends on. Key-person loss is the dominant risk, because operational knowledge is concentrated in a small number of people.</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fill="0F2B4C"/>
          </w:tcPr>
          <w:p>
            <w:r>
              <w:rPr>
                <w:b/>
                <w:color w:val="FFFFFF"/>
                <w:sz w:val="18"/>
              </w:rPr>
              <w:t>Threat</w:t>
            </w:r>
          </w:p>
        </w:tc>
        <w:tc>
          <w:tcPr>
            <w:tcW w:type="dxa" w:w="1440"/>
            <w:shd w:val="clear" w:fill="0F2B4C"/>
          </w:tcPr>
          <w:p>
            <w:r>
              <w:rPr>
                <w:b/>
                <w:color w:val="FFFFFF"/>
                <w:sz w:val="18"/>
              </w:rPr>
              <w:t>Likelihood</w:t>
            </w:r>
          </w:p>
        </w:tc>
        <w:tc>
          <w:tcPr>
            <w:tcW w:type="dxa" w:w="1296"/>
            <w:shd w:val="clear" w:fill="0F2B4C"/>
          </w:tcPr>
          <w:p>
            <w:r>
              <w:rPr>
                <w:b/>
                <w:color w:val="FFFFFF"/>
                <w:sz w:val="18"/>
              </w:rPr>
              <w:t>Impact</w:t>
            </w:r>
          </w:p>
        </w:tc>
        <w:tc>
          <w:tcPr>
            <w:tcW w:type="dxa" w:w="3456"/>
            <w:shd w:val="clear" w:fill="0F2B4C"/>
          </w:tcPr>
          <w:p>
            <w:r>
              <w:rPr>
                <w:b/>
                <w:color w:val="FFFFFF"/>
                <w:sz w:val="18"/>
              </w:rPr>
              <w:t>Primary mitigation</w:t>
            </w:r>
          </w:p>
        </w:tc>
      </w:tr>
      <w:tr>
        <w:tc>
          <w:tcPr>
            <w:tcW w:type="dxa" w:w="2736"/>
          </w:tcPr>
          <w:p>
            <w:r>
              <w:rPr>
                <w:sz w:val="18"/>
              </w:rPr>
              <w:t>Azure regional outage</w:t>
            </w:r>
          </w:p>
        </w:tc>
        <w:tc>
          <w:tcPr>
            <w:tcW w:type="dxa" w:w="1440"/>
          </w:tcPr>
          <w:p>
            <w:r>
              <w:rPr>
                <w:sz w:val="18"/>
              </w:rPr>
              <w:t>Low</w:t>
            </w:r>
          </w:p>
        </w:tc>
        <w:tc>
          <w:tcPr>
            <w:tcW w:type="dxa" w:w="1296"/>
          </w:tcPr>
          <w:p>
            <w:r>
              <w:rPr>
                <w:sz w:val="18"/>
              </w:rPr>
              <w:t>High</w:t>
            </w:r>
          </w:p>
        </w:tc>
        <w:tc>
          <w:tcPr>
            <w:tcW w:type="dxa" w:w="3456"/>
          </w:tcPr>
          <w:p>
            <w:r>
              <w:rPr>
                <w:sz w:val="18"/>
              </w:rPr>
              <w:t>Geo-redundant backup; documented recovery to the paired region</w:t>
            </w:r>
          </w:p>
        </w:tc>
      </w:tr>
      <w:tr>
        <w:tc>
          <w:tcPr>
            <w:tcW w:type="dxa" w:w="2736"/>
          </w:tcPr>
          <w:p>
            <w:r>
              <w:rPr>
                <w:sz w:val="18"/>
              </w:rPr>
              <w:t>Key person unavailable</w:t>
            </w:r>
          </w:p>
        </w:tc>
        <w:tc>
          <w:tcPr>
            <w:tcW w:type="dxa" w:w="1440"/>
          </w:tcPr>
          <w:p>
            <w:r>
              <w:rPr>
                <w:sz w:val="18"/>
              </w:rPr>
              <w:t>Medium</w:t>
            </w:r>
          </w:p>
        </w:tc>
        <w:tc>
          <w:tcPr>
            <w:tcW w:type="dxa" w:w="1296"/>
          </w:tcPr>
          <w:p>
            <w:r>
              <w:rPr>
                <w:sz w:val="18"/>
              </w:rPr>
              <w:t>High</w:t>
            </w:r>
          </w:p>
        </w:tc>
        <w:tc>
          <w:tcPr>
            <w:tcW w:type="dxa" w:w="3456"/>
          </w:tcPr>
          <w:p>
            <w:r>
              <w:rPr>
                <w:sz w:val="18"/>
              </w:rPr>
              <w:t>Documented runbooks; no single-person-only procedure</w:t>
            </w:r>
          </w:p>
        </w:tc>
      </w:tr>
      <w:tr>
        <w:tc>
          <w:tcPr>
            <w:tcW w:type="dxa" w:w="2736"/>
          </w:tcPr>
          <w:p>
            <w:r>
              <w:rPr>
                <w:sz w:val="18"/>
              </w:rPr>
              <w:t>Third-party AI provider outage</w:t>
            </w:r>
          </w:p>
        </w:tc>
        <w:tc>
          <w:tcPr>
            <w:tcW w:type="dxa" w:w="1440"/>
          </w:tcPr>
          <w:p>
            <w:r>
              <w:rPr>
                <w:sz w:val="18"/>
              </w:rPr>
              <w:t>Medium</w:t>
            </w:r>
          </w:p>
        </w:tc>
        <w:tc>
          <w:tcPr>
            <w:tcW w:type="dxa" w:w="1296"/>
          </w:tcPr>
          <w:p>
            <w:r>
              <w:rPr>
                <w:sz w:val="18"/>
              </w:rPr>
              <w:t>Medium</w:t>
            </w:r>
          </w:p>
        </w:tc>
        <w:tc>
          <w:tcPr>
            <w:tcW w:type="dxa" w:w="3456"/>
          </w:tcPr>
          <w:p>
            <w:r>
              <w:rPr>
                <w:sz w:val="18"/>
              </w:rPr>
              <w:t>Graceful degradation; features fail visibly, not silently</w:t>
            </w:r>
          </w:p>
        </w:tc>
      </w:tr>
      <w:tr>
        <w:tc>
          <w:tcPr>
            <w:tcW w:type="dxa" w:w="2736"/>
          </w:tcPr>
          <w:p>
            <w:r>
              <w:rPr>
                <w:sz w:val="18"/>
              </w:rPr>
              <w:t>Email provider outage</w:t>
            </w:r>
          </w:p>
        </w:tc>
        <w:tc>
          <w:tcPr>
            <w:tcW w:type="dxa" w:w="1440"/>
          </w:tcPr>
          <w:p>
            <w:r>
              <w:rPr>
                <w:sz w:val="18"/>
              </w:rPr>
              <w:t>Low</w:t>
            </w:r>
          </w:p>
        </w:tc>
        <w:tc>
          <w:tcPr>
            <w:tcW w:type="dxa" w:w="1296"/>
          </w:tcPr>
          <w:p>
            <w:r>
              <w:rPr>
                <w:sz w:val="18"/>
              </w:rPr>
              <w:t>Medium</w:t>
            </w:r>
          </w:p>
        </w:tc>
        <w:tc>
          <w:tcPr>
            <w:tcW w:type="dxa" w:w="3456"/>
          </w:tcPr>
          <w:p>
            <w:r>
              <w:rPr>
                <w:sz w:val="18"/>
              </w:rPr>
              <w:t>Bulletin delivery deferred; content preserved</w:t>
            </w:r>
          </w:p>
        </w:tc>
      </w:tr>
      <w:tr>
        <w:tc>
          <w:tcPr>
            <w:tcW w:type="dxa" w:w="2736"/>
          </w:tcPr>
          <w:p>
            <w:r>
              <w:rPr>
                <w:sz w:val="18"/>
              </w:rPr>
              <w:t>Ransomware or destructive compromise</w:t>
            </w:r>
          </w:p>
        </w:tc>
        <w:tc>
          <w:tcPr>
            <w:tcW w:type="dxa" w:w="1440"/>
          </w:tcPr>
          <w:p>
            <w:r>
              <w:rPr>
                <w:sz w:val="18"/>
              </w:rPr>
              <w:t>Low</w:t>
            </w:r>
          </w:p>
        </w:tc>
        <w:tc>
          <w:tcPr>
            <w:tcW w:type="dxa" w:w="1296"/>
          </w:tcPr>
          <w:p>
            <w:r>
              <w:rPr>
                <w:sz w:val="18"/>
              </w:rPr>
              <w:t>High</w:t>
            </w:r>
          </w:p>
        </w:tc>
        <w:tc>
          <w:tcPr>
            <w:tcW w:type="dxa" w:w="3456"/>
          </w:tcPr>
          <w:p>
            <w:r>
              <w:rPr>
                <w:sz w:val="18"/>
              </w:rPr>
              <w:t>Immutable platform backups; AGT-IRP-022</w:t>
            </w:r>
          </w:p>
        </w:tc>
      </w:tr>
      <w:tr>
        <w:tc>
          <w:tcPr>
            <w:tcW w:type="dxa" w:w="2736"/>
          </w:tcPr>
          <w:p>
            <w:r>
              <w:rPr>
                <w:sz w:val="18"/>
              </w:rPr>
              <w:t>Loss of internet connectivity for staff</w:t>
            </w:r>
          </w:p>
        </w:tc>
        <w:tc>
          <w:tcPr>
            <w:tcW w:type="dxa" w:w="1440"/>
          </w:tcPr>
          <w:p>
            <w:r>
              <w:rPr>
                <w:sz w:val="18"/>
              </w:rPr>
              <w:t>Medium</w:t>
            </w:r>
          </w:p>
        </w:tc>
        <w:tc>
          <w:tcPr>
            <w:tcW w:type="dxa" w:w="1296"/>
          </w:tcPr>
          <w:p>
            <w:r>
              <w:rPr>
                <w:sz w:val="18"/>
              </w:rPr>
              <w:t>Low</w:t>
            </w:r>
          </w:p>
        </w:tc>
        <w:tc>
          <w:tcPr>
            <w:tcW w:type="dxa" w:w="3456"/>
          </w:tcPr>
          <w:p>
            <w:r>
              <w:rPr>
                <w:sz w:val="18"/>
              </w:rPr>
              <w:t>Cellular fallback; work is location-independent</w:t>
            </w:r>
          </w:p>
        </w:tc>
      </w:tr>
    </w:tbl>
    <w:p/>
    <w:p>
      <w:pPr>
        <w:pStyle w:val="Heading1"/>
      </w:pPr>
      <w:r>
        <w:t>5. Continuity strategy</w:t>
      </w:r>
    </w:p>
    <w:p>
      <w:pPr>
        <w:pStyle w:val="ListBullet"/>
      </w:pPr>
      <w:r>
        <w:t>Work is location-independent by default, so a facility event does not interrupt operations.</w:t>
      </w:r>
    </w:p>
    <w:p>
      <w:pPr>
        <w:pStyle w:val="ListBullet"/>
      </w:pPr>
      <w:r>
        <w:t>Every operational procedure that matters is written down in a runbook, so that continuity does not depend on a specific individual being reachable.</w:t>
      </w:r>
    </w:p>
    <w:p>
      <w:pPr>
        <w:pStyle w:val="ListBullet"/>
      </w:pPr>
      <w:r>
        <w:t>Degradation is preferred to failure: where an external dependency is unavailable, the platform reports the degradation rather than presenting stale data as current.</w:t>
      </w:r>
    </w:p>
    <w:p>
      <w:pPr>
        <w:pStyle w:val="ListBullet"/>
      </w:pPr>
      <w:r>
        <w:t>Customer commitments with fixed daily deadlines are identified so that a disruption's contractual consequence is known before it is negotiated.</w:t>
      </w:r>
    </w:p>
    <w:p>
      <w:pPr>
        <w:pStyle w:val="Heading1"/>
      </w:pPr>
      <w:r>
        <w:t>6. Emergency contacts and escalation</w:t>
      </w:r>
    </w:p>
    <w:tbl>
      <w:tblPr>
        <w:tblStyle w:val="TableGrid"/>
        <w:tblW w:type="auto" w:w="0"/>
        <w:tblLook w:firstColumn="1" w:firstRow="1" w:lastColumn="0" w:lastRow="0" w:noHBand="0" w:noVBand="1" w:val="04A0"/>
      </w:tblPr>
      <w:tblGrid>
        <w:gridCol w:w="3120"/>
        <w:gridCol w:w="3120"/>
        <w:gridCol w:w="3120"/>
      </w:tblGrid>
      <w:tr>
        <w:tc>
          <w:tcPr>
            <w:tcW w:type="dxa" w:w="2304"/>
            <w:shd w:val="clear" w:fill="0F2B4C"/>
          </w:tcPr>
          <w:p>
            <w:r>
              <w:rPr>
                <w:b/>
                <w:color w:val="FFFFFF"/>
                <w:sz w:val="18"/>
              </w:rPr>
              <w:t>Role</w:t>
            </w:r>
          </w:p>
        </w:tc>
        <w:tc>
          <w:tcPr>
            <w:tcW w:type="dxa" w:w="2016"/>
            <w:shd w:val="clear" w:fill="0F2B4C"/>
          </w:tcPr>
          <w:p>
            <w:r>
              <w:rPr>
                <w:b/>
                <w:color w:val="FFFFFF"/>
                <w:sz w:val="18"/>
              </w:rPr>
              <w:t>Name</w:t>
            </w:r>
          </w:p>
        </w:tc>
        <w:tc>
          <w:tcPr>
            <w:tcW w:type="dxa" w:w="4608"/>
            <w:shd w:val="clear" w:fill="0F2B4C"/>
          </w:tcPr>
          <w:p>
            <w:r>
              <w:rPr>
                <w:b/>
                <w:color w:val="FFFFFF"/>
                <w:sz w:val="18"/>
              </w:rPr>
              <w:t>Responsibility during disruption</w:t>
            </w:r>
          </w:p>
        </w:tc>
      </w:tr>
      <w:tr>
        <w:tc>
          <w:tcPr>
            <w:tcW w:type="dxa" w:w="2304"/>
          </w:tcPr>
          <w:p>
            <w:r>
              <w:rPr>
                <w:sz w:val="18"/>
              </w:rPr>
              <w:t>Chief Executive Officer</w:t>
            </w:r>
          </w:p>
        </w:tc>
        <w:tc>
          <w:tcPr>
            <w:tcW w:type="dxa" w:w="2016"/>
          </w:tcPr>
          <w:p>
            <w:r>
              <w:rPr>
                <w:sz w:val="18"/>
              </w:rPr>
              <w:t>Imran Siddiqui</w:t>
            </w:r>
          </w:p>
        </w:tc>
        <w:tc>
          <w:tcPr>
            <w:tcW w:type="dxa" w:w="4608"/>
          </w:tcPr>
          <w:p>
            <w:r>
              <w:rPr>
                <w:sz w:val="18"/>
              </w:rPr>
              <w:t>Declares an event; customer and regulator communication</w:t>
            </w:r>
          </w:p>
        </w:tc>
      </w:tr>
      <w:tr>
        <w:tc>
          <w:tcPr>
            <w:tcW w:type="dxa" w:w="2304"/>
          </w:tcPr>
          <w:p>
            <w:r>
              <w:rPr>
                <w:sz w:val="18"/>
              </w:rPr>
              <w:t>Security Officer</w:t>
            </w:r>
          </w:p>
        </w:tc>
        <w:tc>
          <w:tcPr>
            <w:tcW w:type="dxa" w:w="2016"/>
          </w:tcPr>
          <w:p>
            <w:r>
              <w:rPr>
                <w:sz w:val="18"/>
              </w:rPr>
              <w:t>Assigned</w:t>
            </w:r>
          </w:p>
        </w:tc>
        <w:tc>
          <w:tcPr>
            <w:tcW w:type="dxa" w:w="4608"/>
          </w:tcPr>
          <w:p>
            <w:r>
              <w:rPr>
                <w:sz w:val="18"/>
              </w:rPr>
              <w:t>Assesses security implications; leads if the cause is a compromise</w:t>
            </w:r>
          </w:p>
        </w:tc>
      </w:tr>
      <w:tr>
        <w:tc>
          <w:tcPr>
            <w:tcW w:type="dxa" w:w="2304"/>
          </w:tcPr>
          <w:p>
            <w:r>
              <w:rPr>
                <w:sz w:val="18"/>
              </w:rPr>
              <w:t>Engineering lead</w:t>
            </w:r>
          </w:p>
        </w:tc>
        <w:tc>
          <w:tcPr>
            <w:tcW w:type="dxa" w:w="2016"/>
          </w:tcPr>
          <w:p>
            <w:r>
              <w:rPr>
                <w:sz w:val="18"/>
              </w:rPr>
              <w:t>Assigned</w:t>
            </w:r>
          </w:p>
        </w:tc>
        <w:tc>
          <w:tcPr>
            <w:tcW w:type="dxa" w:w="4608"/>
          </w:tcPr>
          <w:p>
            <w:r>
              <w:rPr>
                <w:sz w:val="18"/>
              </w:rPr>
              <w:t>Executes technical recovery per AGT-DRP-021</w:t>
            </w:r>
          </w:p>
        </w:tc>
      </w:tr>
      <w:tr>
        <w:tc>
          <w:tcPr>
            <w:tcW w:type="dxa" w:w="2304"/>
          </w:tcPr>
          <w:p>
            <w:r>
              <w:rPr>
                <w:sz w:val="18"/>
              </w:rPr>
              <w:t>Privacy Officer</w:t>
            </w:r>
          </w:p>
        </w:tc>
        <w:tc>
          <w:tcPr>
            <w:tcW w:type="dxa" w:w="2016"/>
          </w:tcPr>
          <w:p>
            <w:r>
              <w:rPr>
                <w:sz w:val="18"/>
              </w:rPr>
              <w:t>Assigned</w:t>
            </w:r>
          </w:p>
        </w:tc>
        <w:tc>
          <w:tcPr>
            <w:tcW w:type="dxa" w:w="4608"/>
          </w:tcPr>
          <w:p>
            <w:r>
              <w:rPr>
                <w:sz w:val="18"/>
              </w:rPr>
              <w:t>Determines notification obligations if data is affected</w:t>
            </w:r>
          </w:p>
        </w:tc>
      </w:tr>
    </w:tbl>
    <w:p/>
    <w:p>
      <w:r>
        <w:rPr>
          <w:i/>
          <w:color w:val="5A5A5A"/>
          <w:sz w:val="19"/>
        </w:rPr>
        <w:t>Contact details are maintained separately from this document and are available offline, because a continuity plan reachable only through the system that is down is not a continuity plan.</w:t>
      </w:r>
    </w:p>
    <w:p>
      <w:pPr>
        <w:pStyle w:val="Heading1"/>
      </w:pPr>
      <w:r>
        <w:t>7. Communication procedures</w:t>
      </w:r>
    </w:p>
    <w:p>
      <w:pPr>
        <w:pStyle w:val="ListNumber"/>
      </w:pPr>
      <w:r>
        <w:t>The CEO or delegate declares the event and opens a communication channel independent of AGT systems.</w:t>
      </w:r>
    </w:p>
    <w:p>
      <w:pPr>
        <w:pStyle w:val="ListNumber"/>
      </w:pPr>
      <w:r>
        <w:t>Internal notification within 1 hour of declaration.</w:t>
      </w:r>
    </w:p>
    <w:p>
      <w:pPr>
        <w:pStyle w:val="ListNumber"/>
      </w:pPr>
      <w:r>
        <w:t>Customer notification per contract; for federal customers within 24 hours.</w:t>
      </w:r>
    </w:p>
    <w:p>
      <w:pPr>
        <w:pStyle w:val="ListNumber"/>
      </w:pPr>
      <w:r>
        <w:t>Status updates at a stated cadence, even when the update is that there is no change - silence is interpreted as loss of control.</w:t>
      </w:r>
    </w:p>
    <w:p>
      <w:pPr>
        <w:pStyle w:val="ListNumber"/>
      </w:pPr>
      <w:r>
        <w:t>A single spokesperson handles external communication to prevent inconsistency.</w:t>
      </w:r>
    </w:p>
    <w:p>
      <w:pPr>
        <w:pStyle w:val="ListNumber"/>
      </w:pPr>
      <w:r>
        <w:t>Closure notice with a summary of impact and next steps.</w:t>
      </w:r>
    </w:p>
    <w:p>
      <w:pPr>
        <w:pStyle w:val="Heading1"/>
      </w:pPr>
      <w:r>
        <w:t>8. Recovery checklist</w:t>
      </w:r>
    </w:p>
    <w:p>
      <w:pPr>
        <w:pStyle w:val="ListNumber"/>
      </w:pPr>
      <w:r>
        <w:t>Confirm the nature of the disruption: availability, integrity, or confidentiality.</w:t>
      </w:r>
    </w:p>
    <w:p>
      <w:pPr>
        <w:pStyle w:val="ListNumber"/>
      </w:pPr>
      <w:r>
        <w:t>If a compromise is suspected, invoke AGT-IRP-022 before restoring, so evidence is preserved.</w:t>
      </w:r>
    </w:p>
    <w:p>
      <w:pPr>
        <w:pStyle w:val="ListNumber"/>
      </w:pPr>
      <w:r>
        <w:t>Determine the affected functions from section 3 and their tolerable outage.</w:t>
      </w:r>
    </w:p>
    <w:p>
      <w:pPr>
        <w:pStyle w:val="ListNumber"/>
      </w:pPr>
      <w:r>
        <w:t>Invoke AGT-DRP-021 for technical recovery.</w:t>
      </w:r>
    </w:p>
    <w:p>
      <w:pPr>
        <w:pStyle w:val="ListNumber"/>
      </w:pPr>
      <w:r>
        <w:t>Verify data integrity before declaring service restored.</w:t>
      </w:r>
    </w:p>
    <w:p>
      <w:pPr>
        <w:pStyle w:val="ListNumber"/>
      </w:pPr>
      <w:r>
        <w:t>Notify stakeholders of restoration.</w:t>
      </w:r>
    </w:p>
    <w:p>
      <w:pPr>
        <w:pStyle w:val="ListNumber"/>
      </w:pPr>
      <w:r>
        <w:t>Conduct a post-event review within 10 business days.</w:t>
      </w:r>
    </w:p>
    <w:p>
      <w:pPr>
        <w:pStyle w:val="Heading1"/>
      </w:pPr>
      <w:r>
        <w:t>9. Testing and maintenance</w:t>
      </w:r>
    </w:p>
    <w:tbl>
      <w:tblPr>
        <w:tblStyle w:val="TableGrid"/>
        <w:tblW w:type="auto" w:w="0"/>
        <w:tblLook w:firstColumn="1" w:firstRow="1" w:lastColumn="0" w:lastRow="0" w:noHBand="0" w:noVBand="1" w:val="04A0"/>
      </w:tblPr>
      <w:tblGrid>
        <w:gridCol w:w="3120"/>
        <w:gridCol w:w="3120"/>
        <w:gridCol w:w="3120"/>
      </w:tblGrid>
      <w:tr>
        <w:tc>
          <w:tcPr>
            <w:tcW w:type="dxa" w:w="3744"/>
            <w:shd w:val="clear" w:fill="0F2B4C"/>
          </w:tcPr>
          <w:p>
            <w:r>
              <w:rPr>
                <w:b/>
                <w:color w:val="FFFFFF"/>
                <w:sz w:val="18"/>
              </w:rPr>
              <w:t>Activity</w:t>
            </w:r>
          </w:p>
        </w:tc>
        <w:tc>
          <w:tcPr>
            <w:tcW w:type="dxa" w:w="2016"/>
            <w:shd w:val="clear" w:fill="0F2B4C"/>
          </w:tcPr>
          <w:p>
            <w:r>
              <w:rPr>
                <w:b/>
                <w:color w:val="FFFFFF"/>
                <w:sz w:val="18"/>
              </w:rPr>
              <w:t>Frequency</w:t>
            </w:r>
          </w:p>
        </w:tc>
        <w:tc>
          <w:tcPr>
            <w:tcW w:type="dxa" w:w="3168"/>
            <w:shd w:val="clear" w:fill="0F2B4C"/>
          </w:tcPr>
          <w:p>
            <w:r>
              <w:rPr>
                <w:b/>
                <w:color w:val="FFFFFF"/>
                <w:sz w:val="18"/>
              </w:rPr>
              <w:t>Participants</w:t>
            </w:r>
          </w:p>
        </w:tc>
      </w:tr>
      <w:tr>
        <w:tc>
          <w:tcPr>
            <w:tcW w:type="dxa" w:w="3744"/>
          </w:tcPr>
          <w:p>
            <w:r>
              <w:rPr>
                <w:sz w:val="18"/>
              </w:rPr>
              <w:t>Tabletop exercise of a regional outage</w:t>
            </w:r>
          </w:p>
        </w:tc>
        <w:tc>
          <w:tcPr>
            <w:tcW w:type="dxa" w:w="2016"/>
          </w:tcPr>
          <w:p>
            <w:r>
              <w:rPr>
                <w:sz w:val="18"/>
              </w:rPr>
              <w:t>Annually</w:t>
            </w:r>
          </w:p>
        </w:tc>
        <w:tc>
          <w:tcPr>
            <w:tcW w:type="dxa" w:w="3168"/>
          </w:tcPr>
          <w:p>
            <w:r>
              <w:rPr>
                <w:sz w:val="18"/>
              </w:rPr>
              <w:t>CEO, Security Officer, Engineering</w:t>
            </w:r>
          </w:p>
        </w:tc>
      </w:tr>
      <w:tr>
        <w:tc>
          <w:tcPr>
            <w:tcW w:type="dxa" w:w="3744"/>
          </w:tcPr>
          <w:p>
            <w:r>
              <w:rPr>
                <w:sz w:val="18"/>
              </w:rPr>
              <w:t>Contact list verification</w:t>
            </w:r>
          </w:p>
        </w:tc>
        <w:tc>
          <w:tcPr>
            <w:tcW w:type="dxa" w:w="2016"/>
          </w:tcPr>
          <w:p>
            <w:r>
              <w:rPr>
                <w:sz w:val="18"/>
              </w:rPr>
              <w:t>Semi-annually</w:t>
            </w:r>
          </w:p>
        </w:tc>
        <w:tc>
          <w:tcPr>
            <w:tcW w:type="dxa" w:w="3168"/>
          </w:tcPr>
          <w:p>
            <w:r>
              <w:rPr>
                <w:sz w:val="18"/>
              </w:rPr>
              <w:t>Security Officer</w:t>
            </w:r>
          </w:p>
        </w:tc>
      </w:tr>
      <w:tr>
        <w:tc>
          <w:tcPr>
            <w:tcW w:type="dxa" w:w="3744"/>
          </w:tcPr>
          <w:p>
            <w:r>
              <w:rPr>
                <w:sz w:val="18"/>
              </w:rPr>
              <w:t>Runbook accuracy review</w:t>
            </w:r>
          </w:p>
        </w:tc>
        <w:tc>
          <w:tcPr>
            <w:tcW w:type="dxa" w:w="2016"/>
          </w:tcPr>
          <w:p>
            <w:r>
              <w:rPr>
                <w:sz w:val="18"/>
              </w:rPr>
              <w:t>Annually</w:t>
            </w:r>
          </w:p>
        </w:tc>
        <w:tc>
          <w:tcPr>
            <w:tcW w:type="dxa" w:w="3168"/>
          </w:tcPr>
          <w:p>
            <w:r>
              <w:rPr>
                <w:sz w:val="18"/>
              </w:rPr>
              <w:t>Engineering</w:t>
            </w:r>
          </w:p>
        </w:tc>
      </w:tr>
      <w:tr>
        <w:tc>
          <w:tcPr>
            <w:tcW w:type="dxa" w:w="3744"/>
          </w:tcPr>
          <w:p>
            <w:r>
              <w:rPr>
                <w:sz w:val="18"/>
              </w:rPr>
              <w:t>Plan review and update</w:t>
            </w:r>
          </w:p>
        </w:tc>
        <w:tc>
          <w:tcPr>
            <w:tcW w:type="dxa" w:w="2016"/>
          </w:tcPr>
          <w:p>
            <w:r>
              <w:rPr>
                <w:sz w:val="18"/>
              </w:rPr>
              <w:t>Annually or after any real event</w:t>
            </w:r>
          </w:p>
        </w:tc>
        <w:tc>
          <w:tcPr>
            <w:tcW w:type="dxa" w:w="3168"/>
          </w:tcPr>
          <w:p>
            <w:r>
              <w:rPr>
                <w:sz w:val="18"/>
              </w:rPr>
              <w:t>CEO</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Declares events; owns external communication; approves plan.</w:t>
            </w:r>
          </w:p>
        </w:tc>
      </w:tr>
      <w:tr>
        <w:tc>
          <w:tcPr>
            <w:tcW w:type="dxa" w:w="2592"/>
          </w:tcPr>
          <w:p>
            <w:r>
              <w:rPr>
                <w:sz w:val="18"/>
              </w:rPr>
              <w:t>Security Officer</w:t>
            </w:r>
          </w:p>
        </w:tc>
        <w:tc>
          <w:tcPr>
            <w:tcW w:type="dxa" w:w="6336"/>
          </w:tcPr>
          <w:p>
            <w:r>
              <w:rPr>
                <w:sz w:val="18"/>
              </w:rPr>
              <w:t>Assesses security dimension; maintains contact list.</w:t>
            </w:r>
          </w:p>
        </w:tc>
      </w:tr>
      <w:tr>
        <w:tc>
          <w:tcPr>
            <w:tcW w:type="dxa" w:w="2592"/>
          </w:tcPr>
          <w:p>
            <w:r>
              <w:rPr>
                <w:sz w:val="18"/>
              </w:rPr>
              <w:t>Engineering</w:t>
            </w:r>
          </w:p>
        </w:tc>
        <w:tc>
          <w:tcPr>
            <w:tcW w:type="dxa" w:w="6336"/>
          </w:tcPr>
          <w:p>
            <w:r>
              <w:rPr>
                <w:sz w:val="18"/>
              </w:rPr>
              <w:t>Executes recovery; maintains runbooks.</w:t>
            </w:r>
          </w:p>
        </w:tc>
      </w:tr>
      <w:tr>
        <w:tc>
          <w:tcPr>
            <w:tcW w:type="dxa" w:w="2592"/>
          </w:tcPr>
          <w:p>
            <w:r>
              <w:rPr>
                <w:sz w:val="18"/>
              </w:rPr>
              <w:t>All personnel</w:t>
            </w:r>
          </w:p>
        </w:tc>
        <w:tc>
          <w:tcPr>
            <w:tcW w:type="dxa" w:w="6336"/>
          </w:tcPr>
          <w:p>
            <w:r>
              <w:rPr>
                <w:sz w:val="18"/>
              </w:rPr>
              <w:t>Know how to reach leadership through the out-of-band channel.</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CP-1, CP-2, CP-3, CP-4, CP-8</w:t>
            </w:r>
          </w:p>
        </w:tc>
        <w:tc>
          <w:tcPr>
            <w:tcW w:type="dxa" w:w="4320"/>
          </w:tcPr>
          <w:p>
            <w:r>
              <w:rPr>
                <w:sz w:val="18"/>
              </w:rPr>
              <w:t>Contingency planning, training, testing, telecommunications services.</w:t>
            </w:r>
          </w:p>
        </w:tc>
        <w:tc>
          <w:tcPr>
            <w:tcW w:type="dxa" w:w="1152"/>
          </w:tcPr>
          <w:p>
            <w:r>
              <w:rPr>
                <w:sz w:val="18"/>
              </w:rPr>
              <w:t>Met</w:t>
            </w:r>
          </w:p>
        </w:tc>
      </w:tr>
      <w:tr>
        <w:tc>
          <w:tcPr>
            <w:tcW w:type="dxa" w:w="1584"/>
          </w:tcPr>
          <w:p>
            <w:r>
              <w:rPr>
                <w:sz w:val="18"/>
              </w:rPr>
              <w:t>HIPAA</w:t>
            </w:r>
          </w:p>
        </w:tc>
        <w:tc>
          <w:tcPr>
            <w:tcW w:type="dxa" w:w="2160"/>
          </w:tcPr>
          <w:p>
            <w:r>
              <w:rPr>
                <w:sz w:val="18"/>
              </w:rPr>
              <w:t>164.308(a)(7)(i)</w:t>
            </w:r>
          </w:p>
        </w:tc>
        <w:tc>
          <w:tcPr>
            <w:tcW w:type="dxa" w:w="4320"/>
          </w:tcPr>
          <w:p>
            <w:r>
              <w:rPr>
                <w:sz w:val="18"/>
              </w:rPr>
              <w:t>Contingency plan.</w:t>
            </w:r>
          </w:p>
        </w:tc>
        <w:tc>
          <w:tcPr>
            <w:tcW w:type="dxa" w:w="1152"/>
          </w:tcPr>
          <w:p>
            <w:r>
              <w:rPr>
                <w:sz w:val="18"/>
              </w:rPr>
              <w:t>Met</w:t>
            </w:r>
          </w:p>
        </w:tc>
      </w:tr>
      <w:tr>
        <w:tc>
          <w:tcPr>
            <w:tcW w:type="dxa" w:w="1584"/>
          </w:tcPr>
          <w:p>
            <w:r>
              <w:rPr>
                <w:sz w:val="18"/>
              </w:rPr>
              <w:t>HIPAA</w:t>
            </w:r>
          </w:p>
        </w:tc>
        <w:tc>
          <w:tcPr>
            <w:tcW w:type="dxa" w:w="2160"/>
          </w:tcPr>
          <w:p>
            <w:r>
              <w:rPr>
                <w:sz w:val="18"/>
              </w:rPr>
              <w:t>164.308(a)(7)(ii)(C)</w:t>
            </w:r>
          </w:p>
        </w:tc>
        <w:tc>
          <w:tcPr>
            <w:tcW w:type="dxa" w:w="4320"/>
          </w:tcPr>
          <w:p>
            <w:r>
              <w:rPr>
                <w:sz w:val="18"/>
              </w:rPr>
              <w:t>Emergency mode operation plan.</w:t>
            </w:r>
          </w:p>
        </w:tc>
        <w:tc>
          <w:tcPr>
            <w:tcW w:type="dxa" w:w="1152"/>
          </w:tcPr>
          <w:p>
            <w:r>
              <w:rPr>
                <w:sz w:val="18"/>
              </w:rPr>
              <w:t>Met</w:t>
            </w:r>
          </w:p>
        </w:tc>
      </w:tr>
      <w:tr>
        <w:tc>
          <w:tcPr>
            <w:tcW w:type="dxa" w:w="1584"/>
          </w:tcPr>
          <w:p>
            <w:r>
              <w:rPr>
                <w:sz w:val="18"/>
              </w:rPr>
              <w:t>SOC 2</w:t>
            </w:r>
          </w:p>
        </w:tc>
        <w:tc>
          <w:tcPr>
            <w:tcW w:type="dxa" w:w="2160"/>
          </w:tcPr>
          <w:p>
            <w:r>
              <w:rPr>
                <w:sz w:val="18"/>
              </w:rPr>
              <w:t>A1.2, CC7.5</w:t>
            </w:r>
          </w:p>
        </w:tc>
        <w:tc>
          <w:tcPr>
            <w:tcW w:type="dxa" w:w="4320"/>
          </w:tcPr>
          <w:p>
            <w:r>
              <w:rPr>
                <w:sz w:val="18"/>
              </w:rPr>
              <w:t>Recovery of operations and incident recovery.</w:t>
            </w:r>
          </w:p>
        </w:tc>
        <w:tc>
          <w:tcPr>
            <w:tcW w:type="dxa" w:w="1152"/>
          </w:tcPr>
          <w:p>
            <w:r>
              <w:rPr>
                <w:sz w:val="18"/>
              </w:rPr>
              <w:t>Met</w:t>
            </w:r>
          </w:p>
        </w:tc>
      </w:tr>
      <w:tr>
        <w:tc>
          <w:tcPr>
            <w:tcW w:type="dxa" w:w="1584"/>
          </w:tcPr>
          <w:p>
            <w:r>
              <w:rPr>
                <w:sz w:val="18"/>
              </w:rPr>
              <w:t>ISO 27001</w:t>
            </w:r>
          </w:p>
        </w:tc>
        <w:tc>
          <w:tcPr>
            <w:tcW w:type="dxa" w:w="2160"/>
          </w:tcPr>
          <w:p>
            <w:r>
              <w:rPr>
                <w:sz w:val="18"/>
              </w:rPr>
              <w:t>A.5.29, A.5.30</w:t>
            </w:r>
          </w:p>
        </w:tc>
        <w:tc>
          <w:tcPr>
            <w:tcW w:type="dxa" w:w="4320"/>
          </w:tcPr>
          <w:p>
            <w:r>
              <w:rPr>
                <w:sz w:val="18"/>
              </w:rPr>
              <w:t>Information security during disruption; ICT readiness for continuity.</w:t>
            </w:r>
          </w:p>
        </w:tc>
        <w:tc>
          <w:tcPr>
            <w:tcW w:type="dxa" w:w="1152"/>
          </w:tcPr>
          <w:p>
            <w:r>
              <w:rPr>
                <w:sz w:val="18"/>
              </w:rPr>
              <w:t>Met</w:t>
            </w:r>
          </w:p>
        </w:tc>
      </w:tr>
      <w:tr>
        <w:tc>
          <w:tcPr>
            <w:tcW w:type="dxa" w:w="1584"/>
          </w:tcPr>
          <w:p>
            <w:r>
              <w:rPr>
                <w:sz w:val="18"/>
              </w:rPr>
              <w:t>ISO 20000-1</w:t>
            </w:r>
          </w:p>
        </w:tc>
        <w:tc>
          <w:tcPr>
            <w:tcW w:type="dxa" w:w="2160"/>
          </w:tcPr>
          <w:p>
            <w:r>
              <w:rPr>
                <w:sz w:val="18"/>
              </w:rPr>
              <w:t>Clause 8.7.2</w:t>
            </w:r>
          </w:p>
        </w:tc>
        <w:tc>
          <w:tcPr>
            <w:tcW w:type="dxa" w:w="4320"/>
          </w:tcPr>
          <w:p>
            <w:r>
              <w:rPr>
                <w:sz w:val="18"/>
              </w:rPr>
              <w:t>Service continuity management.</w:t>
            </w:r>
          </w:p>
        </w:tc>
        <w:tc>
          <w:tcPr>
            <w:tcW w:type="dxa" w:w="1152"/>
          </w:tcPr>
          <w:p>
            <w:r>
              <w:rPr>
                <w:sz w:val="18"/>
              </w:rPr>
              <w:t>Met</w:t>
            </w:r>
          </w:p>
        </w:tc>
      </w:tr>
      <w:tr>
        <w:tc>
          <w:tcPr>
            <w:tcW w:type="dxa" w:w="1584"/>
          </w:tcPr>
          <w:p>
            <w:r>
              <w:rPr>
                <w:sz w:val="18"/>
              </w:rPr>
              <w:t>ISO 22301</w:t>
            </w:r>
          </w:p>
        </w:tc>
        <w:tc>
          <w:tcPr>
            <w:tcW w:type="dxa" w:w="2160"/>
          </w:tcPr>
          <w:p>
            <w:r>
              <w:rPr>
                <w:sz w:val="18"/>
              </w:rPr>
              <w:t>Clause 8</w:t>
            </w:r>
          </w:p>
        </w:tc>
        <w:tc>
          <w:tcPr>
            <w:tcW w:type="dxa" w:w="4320"/>
          </w:tcPr>
          <w:p>
            <w:r>
              <w:rPr>
                <w:sz w:val="18"/>
              </w:rPr>
              <w:t>Business continuity operation and exercising.</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AGT-DRP-021</w:t>
            </w:r>
          </w:p>
        </w:tc>
        <w:tc>
          <w:tcPr>
            <w:tcW w:type="dxa" w:w="4176"/>
          </w:tcPr>
          <w:p>
            <w:r>
              <w:rPr>
                <w:sz w:val="18"/>
              </w:rPr>
              <w:t>Disaster Recovery Policy</w:t>
            </w:r>
          </w:p>
        </w:tc>
        <w:tc>
          <w:tcPr>
            <w:tcW w:type="dxa" w:w="3168"/>
          </w:tcPr>
          <w:p>
            <w:r>
              <w:rPr>
                <w:sz w:val="18"/>
              </w:rPr>
              <w:t>Technical recovery procedures</w:t>
            </w:r>
          </w:p>
        </w:tc>
      </w:tr>
      <w:tr>
        <w:tc>
          <w:tcPr>
            <w:tcW w:type="dxa" w:w="1872"/>
          </w:tcPr>
          <w:p>
            <w:r>
              <w:rPr>
                <w:sz w:val="18"/>
              </w:rPr>
              <w:t>AGT-BKP-019</w:t>
            </w:r>
          </w:p>
        </w:tc>
        <w:tc>
          <w:tcPr>
            <w:tcW w:type="dxa" w:w="4176"/>
          </w:tcPr>
          <w:p>
            <w:r>
              <w:rPr>
                <w:sz w:val="18"/>
              </w:rPr>
              <w:t>Backup Policy</w:t>
            </w:r>
          </w:p>
        </w:tc>
        <w:tc>
          <w:tcPr>
            <w:tcW w:type="dxa" w:w="3168"/>
          </w:tcPr>
          <w:p>
            <w:r>
              <w:rPr>
                <w:sz w:val="18"/>
              </w:rPr>
              <w:t>Recovery sources</w:t>
            </w:r>
          </w:p>
        </w:tc>
      </w:tr>
      <w:tr>
        <w:tc>
          <w:tcPr>
            <w:tcW w:type="dxa" w:w="1872"/>
          </w:tcPr>
          <w:p>
            <w:r>
              <w:rPr>
                <w:sz w:val="18"/>
              </w:rPr>
              <w:t>AGT-IRP-022</w:t>
            </w:r>
          </w:p>
        </w:tc>
        <w:tc>
          <w:tcPr>
            <w:tcW w:type="dxa" w:w="4176"/>
          </w:tcPr>
          <w:p>
            <w:r>
              <w:rPr>
                <w:sz w:val="18"/>
              </w:rPr>
              <w:t>Incident Response Plan</w:t>
            </w:r>
          </w:p>
        </w:tc>
        <w:tc>
          <w:tcPr>
            <w:tcW w:type="dxa" w:w="3168"/>
          </w:tcPr>
          <w:p>
            <w:r>
              <w:rPr>
                <w:sz w:val="18"/>
              </w:rPr>
              <w:t>Invoked when the cause is a compromise</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Third-party dependency risk</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AGT-BCP-020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