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F2B4C"/>
          <w:sz w:val="88"/>
        </w:rPr>
        <w:t>AGT</w:t>
      </w:r>
    </w:p>
    <w:p>
      <w:pPr>
        <w:jc w:val="center"/>
      </w:pPr>
      <w:r>
        <w:rPr>
          <w:color w:val="5A5A5A"/>
          <w:sz w:val="26"/>
        </w:rPr>
        <w:t>Alliance Global Tech Inc.</w:t>
      </w:r>
    </w:p>
    <w:p/>
    <w:p>
      <w:pPr>
        <w:jc w:val="center"/>
      </w:pPr>
      <w:r>
        <w:rPr>
          <w:b/>
          <w:color w:val="0F2B4C"/>
          <w:sz w:val="48"/>
        </w:rPr>
        <w:t>Control Traceability Matrix</w:t>
      </w:r>
    </w:p>
    <w:p>
      <w:pPr>
        <w:jc w:val="center"/>
      </w:pPr>
      <w:r>
        <w:rPr>
          <w:i/>
          <w:color w:val="0F6CBD"/>
          <w:sz w:val="26"/>
        </w:rPr>
        <w:t>DocuAction TEFCA ARC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Document ID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AGT-CTM-001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2026-07-28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Internal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Chief Executive Officer, AGT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Imran Siddiqui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Annual, or on material change</w:t>
            </w:r>
          </w:p>
        </w:tc>
      </w:tr>
    </w:tbl>
    <w:p>
      <w:r>
        <w:br w:type="page"/>
      </w:r>
    </w:p>
    <w:p>
      <w:pPr>
        <w:pStyle w:val="Heading1"/>
      </w:pPr>
      <w:r>
        <w:t>1. Purpose</w:t>
      </w:r>
    </w:p>
    <w:p>
      <w:r>
        <w:t>This matrix traces each requirement through to the evidence that demonstrates it is satisfied: requirement, to policy, to procedure, to technical control, to evidence, to assessment, to POA&amp;M where a gap remains. It answers the question an assessor actually asks, which is not 'do you have a policy' but 'show me that this operated'.</w:t>
      </w:r>
    </w:p>
    <w:p>
      <w:pPr>
        <w:pStyle w:val="Heading2"/>
      </w:pPr>
      <w:r>
        <w:t>System context</w:t>
      </w:r>
    </w:p>
    <w:p>
      <w:r>
        <w:t>This document applies to DocuAction TEFCA ARC, operated by Alliance Global Tech Inc. on Microsoft Azure. The control descriptions in this document are written against the following implementation, not against a generic reference architecture.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fill="0F2B4C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6336"/>
            <w:shd w:val="clear" w:fill="0F2B4C"/>
          </w:tcPr>
          <w:p>
            <w:r>
              <w:rPr>
                <w:b/>
                <w:color w:val="FFFFFF"/>
                <w:sz w:val="18"/>
              </w:rPr>
              <w:t>Implementation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Next.js 14 (React), static export, Azure Static Web Apps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FastAPI on Python 3.12, Azure App Service (Linux)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Azure Database for PostgreSQL - Flexible Server, geo-redundant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Identity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Microsoft Entra ID; OAuth 2.0, OIDC, JWT bearer, RBAC, MFA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Secrets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Azure Key Vault, resolved at runtime by system-assigned managed identity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Monitoring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Azure Monitor and Application Insights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Healthcare standards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FHIR R4, HL7, TEFCA Common Agreement / RCE IG v1.14.0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Certifications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CMMI Level 3, ISO 27001, ISO 9001, ISO 20000-1, DoD Final Contractor</w:t>
            </w:r>
          </w:p>
        </w:tc>
      </w:tr>
    </w:tbl>
    <w:p/>
    <w:p>
      <w:pPr>
        <w:pStyle w:val="Heading1"/>
      </w:pPr>
      <w:r>
        <w:t>2. How to read this matrix</w:t>
      </w:r>
    </w:p>
    <w:p>
      <w:pPr>
        <w:pStyle w:val="ListBullet"/>
      </w:pPr>
      <w:r>
        <w:t>Requirement - the external obligation, expressed in the source framework's terms.</w:t>
      </w:r>
    </w:p>
    <w:p>
      <w:pPr>
        <w:pStyle w:val="ListBullet"/>
      </w:pPr>
      <w:r>
        <w:t>Policy - the AGT document that governs it.</w:t>
      </w:r>
    </w:p>
    <w:p>
      <w:pPr>
        <w:pStyle w:val="ListBullet"/>
      </w:pPr>
      <w:r>
        <w:t>Procedure - the operational activity that carries it out.</w:t>
      </w:r>
    </w:p>
    <w:p>
      <w:pPr>
        <w:pStyle w:val="ListBullet"/>
      </w:pPr>
      <w:r>
        <w:t>Technical control - what actually enforces it in the system.</w:t>
      </w:r>
    </w:p>
    <w:p>
      <w:pPr>
        <w:pStyle w:val="ListBullet"/>
      </w:pPr>
      <w:r>
        <w:t>Evidence - the artifact that proves it operated.</w:t>
      </w:r>
    </w:p>
    <w:p>
      <w:pPr>
        <w:pStyle w:val="ListBullet"/>
      </w:pPr>
      <w:r>
        <w:t>Assessment - how it is verified.</w:t>
      </w:r>
    </w:p>
    <w:p>
      <w:pPr>
        <w:pStyle w:val="ListBullet"/>
      </w:pPr>
      <w:r>
        <w:t>POA&amp;M - the tracked gap, where one exists.</w:t>
      </w:r>
    </w:p>
    <w:p>
      <w:r>
        <w:t>A row with a policy and no evidence is a documented intention. A row with a technical control and no assessment is an untested assumption. Both are visible in this matrix by design.</w:t>
      </w:r>
    </w:p>
    <w:p>
      <w:pPr>
        <w:pStyle w:val="Heading1"/>
      </w:pPr>
      <w:r>
        <w:t>3. Traceability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296"/>
            <w:shd w:val="clear" w:fill="0F2B4C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296"/>
            <w:shd w:val="clear" w:fill="0F2B4C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152"/>
            <w:shd w:val="clear" w:fill="0F2B4C"/>
          </w:tcPr>
          <w:p>
            <w:r>
              <w:rPr>
                <w:b/>
                <w:color w:val="FFFFFF"/>
                <w:sz w:val="18"/>
              </w:rPr>
              <w:t>Policy</w:t>
            </w:r>
          </w:p>
        </w:tc>
        <w:tc>
          <w:tcPr>
            <w:tcW w:type="dxa" w:w="1152"/>
            <w:shd w:val="clear" w:fill="0F2B4C"/>
          </w:tcPr>
          <w:p>
            <w:r>
              <w:rPr>
                <w:b/>
                <w:color w:val="FFFFFF"/>
                <w:sz w:val="18"/>
              </w:rPr>
              <w:t>Procedure</w:t>
            </w:r>
          </w:p>
        </w:tc>
        <w:tc>
          <w:tcPr>
            <w:tcW w:type="dxa" w:w="1440"/>
            <w:shd w:val="clear" w:fill="0F2B4C"/>
          </w:tcPr>
          <w:p>
            <w:r>
              <w:rPr>
                <w:b/>
                <w:color w:val="FFFFFF"/>
                <w:sz w:val="18"/>
              </w:rPr>
              <w:t>Technical control</w:t>
            </w:r>
          </w:p>
        </w:tc>
        <w:tc>
          <w:tcPr>
            <w:tcW w:type="dxa" w:w="1296"/>
            <w:shd w:val="clear" w:fill="0F2B4C"/>
          </w:tcPr>
          <w:p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1152"/>
            <w:shd w:val="clear" w:fill="0F2B4C"/>
          </w:tcPr>
          <w:p>
            <w:r>
              <w:rPr>
                <w:b/>
                <w:color w:val="FFFFFF"/>
                <w:sz w:val="18"/>
              </w:rPr>
              <w:t>Assessment</w:t>
            </w:r>
          </w:p>
        </w:tc>
        <w:tc>
          <w:tcPr>
            <w:tcW w:type="dxa" w:w="1008"/>
            <w:shd w:val="clear" w:fill="0F2B4C"/>
          </w:tcPr>
          <w:p>
            <w:r>
              <w:rPr>
                <w:b/>
                <w:color w:val="FFFFFF"/>
                <w:sz w:val="18"/>
              </w:rPr>
              <w:t>POA&amp;M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Unique user identification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HIPAA 164.312(a)(2)(i); NIST IA-2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AGT-IAM-004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Account provisioning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Entra ID / application accounts; no shared accounts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Access Review record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Test: attempt shared login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Multi-factor authentication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NIST IA-2(1); FedRAMP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AGT-IAM-004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Conditional Access configuration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Entra ID CA policy, MFA required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CA policy export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Examine + test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Authorization enforcement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HIPAA 164.312(a)(1); NIST AC-3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AGT-ACP-003, AGT-IAM-004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Endpoint role declaration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Router-level dependency on every route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DAST authz results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Test: unauthenticated and under-privileged access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Automatic logoff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HIPAA 164.312(a)(2)(iii)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AGT-IAM-004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Session configuration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Token expiry + server-side revocation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Configuration; code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Test: expired token rejected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Encryption at rest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HIPAA 164.312(a)(2)(iv); NIST SC-28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AGT-CKM-009, AGT-DCP-006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Azure configuration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AES-256 storage and database encryption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Azure configuration export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Examine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Encryption in transit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HIPAA 164.312(e)(1); NIST SC-8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AGT-CKM-009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TLS enforcement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TLS 1.2+ minimum; database ssl=require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DAST header results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Test: TLS version negotiation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Key management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NIST SC-12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AGT-CKM-009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Key Vault operation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Managed identity resolution of secrets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Key Vault reference list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Examine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P-04 DATABASE_URL literal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Audit controls over ePHI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HIPAA 164.312(b); NIST AU-12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AGT-LMP-018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PHI access auditing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Router-level audit dependency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Audit records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Test: access produces a record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Audit record protection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NIST AU-9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AGT-LMP-018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Log access restriction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Access-controlled stores; separate Azure activity log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Access configuration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Examine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P-05 no tamper-evidence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Audit retention 6 years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HIPAA 164.316(b)(2); NIST AU-11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AGT-DRP-007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Retention configuration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Workspace and database retention settings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Retention configuration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Examine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Integrity of ePHI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HIPAA 164.312(c)(1); NIST SI-7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AGT-LMP-018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Database constraints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Referential integrity; transactional writes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Schema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Examine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P-05 audit integrity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Risk analysis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HIPAA 164.308(a)(1)(ii)(A)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AGT-RMP-023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Annual assessment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n/a - process control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AGT-HIRA-025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Examine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Risk management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HIPAA 164.308(a)(1)(ii)(B)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AGT-RMP-023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Risk treatment tracking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n/a - process control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Risk register; POA&amp;M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Examine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Information system activity review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HIPAA 164.308(a)(1)(ii)(D)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AGT-LMP-018, AGT-CMS-024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Weekly and monthly reviews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Application Insights, audit queries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Review records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Examine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Workforce access management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HIPAA 164.308(a)(4)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AGT-IAM-004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Quarterly access review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Role assignment in the application and Azure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Access Review record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Examine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Security incident procedures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HIPAA 164.308(a)(6); NIST IR-4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AGT-IRP-022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Incident handling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Alerting; audit trail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Incident Reports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Interview + examine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Contingency plan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HIPAA 164.308(a)(7)(i); NIST CP-2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AGT-BCP-020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Continuity planning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n/a - process control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AGT-BCP-020; exercise records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Examine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Data backup plan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HIPAA 164.308(a)(7)(ii)(A); NIST CP-9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AGT-BKP-019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Backup configuration and testing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Azure automated backup, geo-redundant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Backup Test Records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Test: restore and verify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Disaster recovery plan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HIPAA 164.308(a)(7)(ii)(B); NIST CP-10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AGT-DRP-021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DR procedures and testing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Geo-restore capability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DR Test Record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Test: geo-restore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Evaluation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HIPAA 164.308(a)(8); NIST CA-2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AGT-CMS-024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Annual assessment and continuous monitoring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Automated scanning platform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Scan reports; assessment report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Examine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P-10 no independent test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Business associate assurances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HIPAA 164.308(b)(1); NIST SA-9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AGT-VRM-012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Vendor assessment and contracting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Contractual; technical restriction of data flow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BAAs; Vendor Review records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Examine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P-01 two BAAs outstanding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Device and media controls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HIPAA 164.310(d)(1); NIST MP-2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AGT-MPP-008, AGT-MDBYOD-010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Media handling and disposal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Endpoint encryption; MDM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Disposal records; MDM inventory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Examine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Configuration baselines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NIST CM-2; SOC 2 CC7.1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AGT-CfMP-016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Baseline definition and drift detection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Azure configuration; nightly assessment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Drift reports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Examine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P-07, P-08 open settings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NIST CM-3; SOC 2 CC8.1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AGT-ChMP-017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RFC and CAB process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Pipeline-gated deployment from a tag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Change Records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Examine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Component inventory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NIST CM-8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AGT-AMP-011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Inventory maintenance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SBOM generation; Resource Graph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SBOM artifacts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Examine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Vulnerability scanning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NIST RA-5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AGT-CMS-024, AGT-SSDLC-015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Nightly scanning and weekly triage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Automated scanning platform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Scan reports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Examine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P-03 scanner coverage gap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Flaw remediation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NIST SI-2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AGT-CMS-024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Severity-based remediation windows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Dependency upgrades; code fixes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POA&amp;M; commit history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Examine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Secure development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NIST SA-3, SA-11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AGT-SSDLC-015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Lifecycle security gates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CI/CD gates; peer review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Pipeline definitions; PR records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Examine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Boundary protection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NIST SC-7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AGT-CfMP-016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Network and host configuration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HTTPS only; trusted-host; CORS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Configuration; DAST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Test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Private endpoints roadmap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System monitoring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NIST SI-4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AGT-LMP-018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Alerting and review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Azure Monitor; Application Insights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Alert configuration; review records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Examine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P-06 no SIEM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Individual rights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HIPAA 164.524-528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AGT-PPF-014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Rights request handling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Audit records support disclosure accounting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Request records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Examine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Breach notification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HIPAA 164.400-414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AGT-PPF-014, AGT-IRP-022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Breach assessment and notification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n/a - process control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Incident Reports; notification records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Examine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AI data governance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NIST AI RMF; HIPAA 164.502(b)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AGT-AIGOV-013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Prompt minimization and human review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Scrubbing; excerpting; fail-safe escalation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Code; AI risk register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Examine + test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P-01, P-02</w:t>
            </w:r>
          </w:p>
        </w:tc>
      </w:tr>
    </w:tbl>
    <w:p/>
    <w:p>
      <w:pPr>
        <w:pStyle w:val="Heading1"/>
      </w:pPr>
      <w:r>
        <w:t>4. Coverage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val="clear" w:fill="0F2B4C"/>
          </w:tcPr>
          <w:p>
            <w:r>
              <w:rPr>
                <w:b/>
                <w:color w:val="FFFFFF"/>
                <w:sz w:val="18"/>
              </w:rPr>
              <w:t>Framework</w:t>
            </w:r>
          </w:p>
        </w:tc>
        <w:tc>
          <w:tcPr>
            <w:tcW w:type="dxa" w:w="2160"/>
            <w:shd w:val="clear" w:fill="0F2B4C"/>
          </w:tcPr>
          <w:p>
            <w:r>
              <w:rPr>
                <w:b/>
                <w:color w:val="FFFFFF"/>
                <w:sz w:val="18"/>
              </w:rPr>
              <w:t>Requirements traced</w:t>
            </w:r>
          </w:p>
        </w:tc>
        <w:tc>
          <w:tcPr>
            <w:tcW w:type="dxa" w:w="1872"/>
            <w:shd w:val="clear" w:fill="0F2B4C"/>
          </w:tcPr>
          <w:p>
            <w:r>
              <w:rPr>
                <w:b/>
                <w:color w:val="FFFFFF"/>
                <w:sz w:val="18"/>
              </w:rPr>
              <w:t>Fully evidenced</w:t>
            </w:r>
          </w:p>
        </w:tc>
        <w:tc>
          <w:tcPr>
            <w:tcW w:type="dxa" w:w="2016"/>
            <w:shd w:val="clear" w:fill="0F2B4C"/>
          </w:tcPr>
          <w:p>
            <w:r>
              <w:rPr>
                <w:b/>
                <w:color w:val="FFFFFF"/>
                <w:sz w:val="18"/>
              </w:rPr>
              <w:t>Gap tracked in POA&amp;M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HIPAA Security Rule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HIPAA Privacy and Breach Rules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NIST 800-53 (families)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SOC 2 Trust Services Criteria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ISO 27001 Annex 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ISO 20000-1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CMMI Level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FedRAMP MODERATE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7</w:t>
            </w:r>
          </w:p>
        </w:tc>
      </w:tr>
    </w:tbl>
    <w:p/>
    <w:p>
      <w:r>
        <w:t>'Fully evidenced' means an artifact exists that demonstrates the control operated during the period, not that a policy describes it. The difference between those two counts is the honest measure of a compliance programme's maturity, and it is the reason this matrix separates the policy column from the evidence column.</w:t>
      </w:r>
    </w:p>
    <w:p>
      <w:pPr>
        <w:pStyle w:val="Heading2"/>
      </w:pPr>
      <w:r>
        <w:t>Compliance mapping</w:t>
      </w:r>
    </w:p>
    <w:p>
      <w:r>
        <w:t>Each framework reference below identifies the control this document is written to satisfy. Where a control is only partially satisfied, the gap is stated in the row rather than omitted - a mapping table that shows only green is not evidence, it is decoration.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shd w:val="clear" w:fill="0F2B4C"/>
          </w:tcPr>
          <w:p>
            <w:r>
              <w:rPr>
                <w:b/>
                <w:color w:val="FFFFFF"/>
                <w:sz w:val="18"/>
              </w:rPr>
              <w:t>Framework</w:t>
            </w:r>
          </w:p>
        </w:tc>
        <w:tc>
          <w:tcPr>
            <w:tcW w:type="dxa" w:w="2160"/>
            <w:shd w:val="clear" w:fill="0F2B4C"/>
          </w:tcPr>
          <w:p>
            <w:r>
              <w:rPr>
                <w:b/>
                <w:color w:val="FFFFFF"/>
                <w:sz w:val="18"/>
              </w:rPr>
              <w:t>Control reference</w:t>
            </w:r>
          </w:p>
        </w:tc>
        <w:tc>
          <w:tcPr>
            <w:tcW w:type="dxa" w:w="4320"/>
            <w:shd w:val="clear" w:fill="0F2B4C"/>
          </w:tcPr>
          <w:p>
            <w:r>
              <w:rPr>
                <w:b/>
                <w:color w:val="FFFFFF"/>
                <w:sz w:val="18"/>
              </w:rPr>
              <w:t>How this document satisfies it</w:t>
            </w:r>
          </w:p>
        </w:tc>
        <w:tc>
          <w:tcPr>
            <w:tcW w:type="dxa" w:w="1152"/>
            <w:shd w:val="clear" w:fill="0F2B4C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NIST 800-53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CA-2, PM-4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Traceability supporting assessment and POA&amp;M.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Met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HIPAA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164.316(a)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Documentation of policies and their implementation.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Met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SOC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CC4.1, CC5.3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Control monitoring and policy deployment.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Met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ISO 27001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Clause 4.3, 9.2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Scope and internal audit support.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Met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CMMI L3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PPQA, MA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Objective evaluation and measurement.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Met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FedRAMP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CA-2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Control traceability for authorization.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Partial</w:t>
            </w:r>
          </w:p>
        </w:tc>
      </w:tr>
    </w:tbl>
    <w:p/>
    <w:p>
      <w:pPr>
        <w:pStyle w:val="Heading2"/>
      </w:pPr>
      <w:r>
        <w:t>Related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val="clear" w:fill="0F2B4C"/>
          </w:tcPr>
          <w:p>
            <w:r>
              <w:rPr>
                <w:b/>
                <w:color w:val="FFFFFF"/>
                <w:sz w:val="18"/>
              </w:rPr>
              <w:t>Document ID</w:t>
            </w:r>
          </w:p>
        </w:tc>
        <w:tc>
          <w:tcPr>
            <w:tcW w:type="dxa" w:w="4176"/>
            <w:shd w:val="clear" w:fill="0F2B4C"/>
          </w:tcPr>
          <w:p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3168"/>
            <w:shd w:val="clear" w:fill="0F2B4C"/>
          </w:tcPr>
          <w:p>
            <w:r>
              <w:rPr>
                <w:b/>
                <w:color w:val="FFFFFF"/>
                <w:sz w:val="18"/>
              </w:rPr>
              <w:t>Relationship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AGT-MCM-026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Master Compliance Matrix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Document-level framework mapping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AGT-SSP-001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System Security Plan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Control implementation detail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AGT-A-001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Security Assessment Plan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Assessment methods referenced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AGT-T-012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Evidence Collection Procedure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Evidence artifact standards</w:t>
            </w:r>
          </w:p>
        </w:tc>
      </w:tr>
    </w:tbl>
    <w:p/>
    <w:p>
      <w:r>
        <w:br w:type="page"/>
      </w:r>
    </w:p>
    <w:p>
      <w:pPr>
        <w:pStyle w:val="Heading1"/>
      </w:pPr>
      <w:r>
        <w:t>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val="clear" w:fill="0F2B4C"/>
          </w:tcPr>
          <w:p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584"/>
            <w:shd w:val="clear" w:fill="0F2B4C"/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016"/>
            <w:shd w:val="clear" w:fill="0F2B4C"/>
          </w:tcPr>
          <w:p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4176"/>
            <w:shd w:val="clear" w:fill="0F2B4C"/>
          </w:tcPr>
          <w:p>
            <w:r>
              <w:rPr>
                <w:b/>
                <w:color w:val="FFFFFF"/>
                <w:sz w:val="18"/>
              </w:rPr>
              <w:t>Summary of change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2026-07-28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Imran Siddiqui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Initial issue.</w:t>
            </w:r>
          </w:p>
        </w:tc>
      </w:tr>
    </w:tbl>
    <w:p/>
    <w:p>
      <w:pPr>
        <w:pStyle w:val="Heading1"/>
      </w:pPr>
      <w:r>
        <w:t>Approval</w:t>
      </w:r>
    </w:p>
    <w:p>
      <w:r>
        <w:t>This document is approved for use and is binding on all personnel and contractors with access to the systems in scope.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fill="0F2B4C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304"/>
            <w:shd w:val="clear" w:fill="0F2B4C"/>
          </w:tcPr>
          <w:p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304"/>
            <w:shd w:val="clear" w:fill="0F2B4C"/>
          </w:tcPr>
          <w:p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1728"/>
            <w:shd w:val="clear" w:fill="0F2B4C"/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Chief Executive Officer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Imran Siddiqui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Security Officer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Privacy Officer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r>
        <w:rPr>
          <w:i/>
          <w:color w:val="5A5A5A"/>
          <w:sz w:val="19"/>
        </w:rPr>
        <w:t>Approval is recorded in the document management system; a wet signature is not required where an auditable electronic approval exists.</w:t>
      </w:r>
    </w:p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AGT-CTM-001 v1.0  |  AGT Internal  |  Uncontrolled when printed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2B4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2B4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6C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