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Configuration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AGT-CfMP-016</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establishes baseline configurations for AGT systems and the process for maintaining them. Configuration drift is the mechanism by which a system that passed assessment stops being the system that was assessed, usually without anyone deciding that it should.</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Baseline configurations</w:t>
      </w:r>
    </w:p>
    <w:tbl>
      <w:tblPr>
        <w:tblStyle w:val="TableGrid"/>
        <w:tblW w:type="auto" w:w="0"/>
        <w:tblLook w:firstColumn="1" w:firstRow="1" w:lastColumn="0" w:lastRow="0" w:noHBand="0" w:noVBand="1" w:val="04A0"/>
      </w:tblPr>
      <w:tblGrid>
        <w:gridCol w:w="3120"/>
        <w:gridCol w:w="3120"/>
        <w:gridCol w:w="3120"/>
      </w:tblGrid>
      <w:tr>
        <w:tc>
          <w:tcPr>
            <w:tcW w:type="dxa" w:w="2016"/>
            <w:shd w:val="clear" w:fill="0F2B4C"/>
          </w:tcPr>
          <w:p>
            <w:r>
              <w:rPr>
                <w:b/>
                <w:color w:val="FFFFFF"/>
                <w:sz w:val="18"/>
              </w:rPr>
              <w:t>Component</w:t>
            </w:r>
          </w:p>
        </w:tc>
        <w:tc>
          <w:tcPr>
            <w:tcW w:type="dxa" w:w="2592"/>
            <w:shd w:val="clear" w:fill="0F2B4C"/>
          </w:tcPr>
          <w:p>
            <w:r>
              <w:rPr>
                <w:b/>
                <w:color w:val="FFFFFF"/>
                <w:sz w:val="18"/>
              </w:rPr>
              <w:t>Baseline element</w:t>
            </w:r>
          </w:p>
        </w:tc>
        <w:tc>
          <w:tcPr>
            <w:tcW w:type="dxa" w:w="4320"/>
            <w:shd w:val="clear" w:fill="0F2B4C"/>
          </w:tcPr>
          <w:p>
            <w:r>
              <w:rPr>
                <w:b/>
                <w:color w:val="FFFFFF"/>
                <w:sz w:val="18"/>
              </w:rPr>
              <w:t>Required value</w:t>
            </w:r>
          </w:p>
        </w:tc>
      </w:tr>
      <w:tr>
        <w:tc>
          <w:tcPr>
            <w:tcW w:type="dxa" w:w="2016"/>
          </w:tcPr>
          <w:p>
            <w:r>
              <w:rPr>
                <w:sz w:val="18"/>
              </w:rPr>
              <w:t>App Service (prod)</w:t>
            </w:r>
          </w:p>
        </w:tc>
        <w:tc>
          <w:tcPr>
            <w:tcW w:type="dxa" w:w="2592"/>
          </w:tcPr>
          <w:p>
            <w:r>
              <w:rPr>
                <w:sz w:val="18"/>
              </w:rPr>
              <w:t>Build mode</w:t>
            </w:r>
          </w:p>
        </w:tc>
        <w:tc>
          <w:tcPr>
            <w:tcW w:type="dxa" w:w="4320"/>
          </w:tcPr>
          <w:p>
            <w:r>
              <w:rPr>
                <w:sz w:val="18"/>
              </w:rPr>
              <w:t>Pre-built dependencies; no build on deploy</w:t>
            </w:r>
          </w:p>
        </w:tc>
      </w:tr>
      <w:tr>
        <w:tc>
          <w:tcPr>
            <w:tcW w:type="dxa" w:w="2016"/>
          </w:tcPr>
          <w:p>
            <w:r>
              <w:rPr>
                <w:sz w:val="18"/>
              </w:rPr>
              <w:t>App Service (prod)</w:t>
            </w:r>
          </w:p>
        </w:tc>
        <w:tc>
          <w:tcPr>
            <w:tcW w:type="dxa" w:w="2592"/>
          </w:tcPr>
          <w:p>
            <w:r>
              <w:rPr>
                <w:sz w:val="18"/>
              </w:rPr>
              <w:t>Startup command</w:t>
            </w:r>
          </w:p>
        </w:tc>
        <w:tc>
          <w:tcPr>
            <w:tcW w:type="dxa" w:w="4320"/>
          </w:tcPr>
          <w:p>
            <w:r>
              <w:rPr>
                <w:sz w:val="18"/>
              </w:rPr>
              <w:t>Gunicorn with a Uvicorn worker class, bound to the platform port</w:t>
            </w:r>
          </w:p>
        </w:tc>
      </w:tr>
      <w:tr>
        <w:tc>
          <w:tcPr>
            <w:tcW w:type="dxa" w:w="2016"/>
          </w:tcPr>
          <w:p>
            <w:r>
              <w:rPr>
                <w:sz w:val="18"/>
              </w:rPr>
              <w:t>App Service (dev)</w:t>
            </w:r>
          </w:p>
        </w:tc>
        <w:tc>
          <w:tcPr>
            <w:tcW w:type="dxa" w:w="2592"/>
          </w:tcPr>
          <w:p>
            <w:r>
              <w:rPr>
                <w:sz w:val="18"/>
              </w:rPr>
              <w:t>Build mode</w:t>
            </w:r>
          </w:p>
        </w:tc>
        <w:tc>
          <w:tcPr>
            <w:tcW w:type="dxa" w:w="4320"/>
          </w:tcPr>
          <w:p>
            <w:r>
              <w:rPr>
                <w:sz w:val="18"/>
              </w:rPr>
              <w:t>Build on deploy enabled</w:t>
            </w:r>
          </w:p>
        </w:tc>
      </w:tr>
      <w:tr>
        <w:tc>
          <w:tcPr>
            <w:tcW w:type="dxa" w:w="2016"/>
          </w:tcPr>
          <w:p>
            <w:r>
              <w:rPr>
                <w:sz w:val="18"/>
              </w:rPr>
              <w:t>App Service (both)</w:t>
            </w:r>
          </w:p>
        </w:tc>
        <w:tc>
          <w:tcPr>
            <w:tcW w:type="dxa" w:w="2592"/>
          </w:tcPr>
          <w:p>
            <w:r>
              <w:rPr>
                <w:sz w:val="18"/>
              </w:rPr>
              <w:t>Minimum TLS version</w:t>
            </w:r>
          </w:p>
        </w:tc>
        <w:tc>
          <w:tcPr>
            <w:tcW w:type="dxa" w:w="4320"/>
          </w:tcPr>
          <w:p>
            <w:r>
              <w:rPr>
                <w:sz w:val="18"/>
              </w:rPr>
              <w:t>1.2</w:t>
            </w:r>
          </w:p>
        </w:tc>
      </w:tr>
      <w:tr>
        <w:tc>
          <w:tcPr>
            <w:tcW w:type="dxa" w:w="2016"/>
          </w:tcPr>
          <w:p>
            <w:r>
              <w:rPr>
                <w:sz w:val="18"/>
              </w:rPr>
              <w:t>App Service (both)</w:t>
            </w:r>
          </w:p>
        </w:tc>
        <w:tc>
          <w:tcPr>
            <w:tcW w:type="dxa" w:w="2592"/>
          </w:tcPr>
          <w:p>
            <w:r>
              <w:rPr>
                <w:sz w:val="18"/>
              </w:rPr>
              <w:t>HTTPS only</w:t>
            </w:r>
          </w:p>
        </w:tc>
        <w:tc>
          <w:tcPr>
            <w:tcW w:type="dxa" w:w="4320"/>
          </w:tcPr>
          <w:p>
            <w:r>
              <w:rPr>
                <w:sz w:val="18"/>
              </w:rPr>
              <w:t>Enabled</w:t>
            </w:r>
          </w:p>
        </w:tc>
      </w:tr>
      <w:tr>
        <w:tc>
          <w:tcPr>
            <w:tcW w:type="dxa" w:w="2016"/>
          </w:tcPr>
          <w:p>
            <w:r>
              <w:rPr>
                <w:sz w:val="18"/>
              </w:rPr>
              <w:t>App Service (both)</w:t>
            </w:r>
          </w:p>
        </w:tc>
        <w:tc>
          <w:tcPr>
            <w:tcW w:type="dxa" w:w="2592"/>
          </w:tcPr>
          <w:p>
            <w:r>
              <w:rPr>
                <w:sz w:val="18"/>
              </w:rPr>
              <w:t>FTP state</w:t>
            </w:r>
          </w:p>
        </w:tc>
        <w:tc>
          <w:tcPr>
            <w:tcW w:type="dxa" w:w="4320"/>
          </w:tcPr>
          <w:p>
            <w:r>
              <w:rPr>
                <w:sz w:val="18"/>
              </w:rPr>
              <w:t>Disabled (open finding)</w:t>
            </w:r>
          </w:p>
        </w:tc>
      </w:tr>
      <w:tr>
        <w:tc>
          <w:tcPr>
            <w:tcW w:type="dxa" w:w="2016"/>
          </w:tcPr>
          <w:p>
            <w:r>
              <w:rPr>
                <w:sz w:val="18"/>
              </w:rPr>
              <w:t>App Service (both)</w:t>
            </w:r>
          </w:p>
        </w:tc>
        <w:tc>
          <w:tcPr>
            <w:tcW w:type="dxa" w:w="2592"/>
          </w:tcPr>
          <w:p>
            <w:r>
              <w:rPr>
                <w:sz w:val="18"/>
              </w:rPr>
              <w:t>Health check path</w:t>
            </w:r>
          </w:p>
        </w:tc>
        <w:tc>
          <w:tcPr>
            <w:tcW w:type="dxa" w:w="4320"/>
          </w:tcPr>
          <w:p>
            <w:r>
              <w:rPr>
                <w:sz w:val="18"/>
              </w:rPr>
              <w:t>/health (open finding)</w:t>
            </w:r>
          </w:p>
        </w:tc>
      </w:tr>
      <w:tr>
        <w:tc>
          <w:tcPr>
            <w:tcW w:type="dxa" w:w="2016"/>
          </w:tcPr>
          <w:p>
            <w:r>
              <w:rPr>
                <w:sz w:val="18"/>
              </w:rPr>
              <w:t>PostgreSQL</w:t>
            </w:r>
          </w:p>
        </w:tc>
        <w:tc>
          <w:tcPr>
            <w:tcW w:type="dxa" w:w="2592"/>
          </w:tcPr>
          <w:p>
            <w:r>
              <w:rPr>
                <w:sz w:val="18"/>
              </w:rPr>
              <w:t>SSL enforcement</w:t>
            </w:r>
          </w:p>
        </w:tc>
        <w:tc>
          <w:tcPr>
            <w:tcW w:type="dxa" w:w="4320"/>
          </w:tcPr>
          <w:p>
            <w:r>
              <w:rPr>
                <w:sz w:val="18"/>
              </w:rPr>
              <w:t>Required</w:t>
            </w:r>
          </w:p>
        </w:tc>
      </w:tr>
      <w:tr>
        <w:tc>
          <w:tcPr>
            <w:tcW w:type="dxa" w:w="2016"/>
          </w:tcPr>
          <w:p>
            <w:r>
              <w:rPr>
                <w:sz w:val="18"/>
              </w:rPr>
              <w:t>PostgreSQL</w:t>
            </w:r>
          </w:p>
        </w:tc>
        <w:tc>
          <w:tcPr>
            <w:tcW w:type="dxa" w:w="2592"/>
          </w:tcPr>
          <w:p>
            <w:r>
              <w:rPr>
                <w:sz w:val="18"/>
              </w:rPr>
              <w:t>Geo-redundant backup</w:t>
            </w:r>
          </w:p>
        </w:tc>
        <w:tc>
          <w:tcPr>
            <w:tcW w:type="dxa" w:w="4320"/>
          </w:tcPr>
          <w:p>
            <w:r>
              <w:rPr>
                <w:sz w:val="18"/>
              </w:rPr>
              <w:t>Enabled at creation</w:t>
            </w:r>
          </w:p>
        </w:tc>
      </w:tr>
      <w:tr>
        <w:tc>
          <w:tcPr>
            <w:tcW w:type="dxa" w:w="2016"/>
          </w:tcPr>
          <w:p>
            <w:r>
              <w:rPr>
                <w:sz w:val="18"/>
              </w:rPr>
              <w:t>Key Vault</w:t>
            </w:r>
          </w:p>
        </w:tc>
        <w:tc>
          <w:tcPr>
            <w:tcW w:type="dxa" w:w="2592"/>
          </w:tcPr>
          <w:p>
            <w:r>
              <w:rPr>
                <w:sz w:val="18"/>
              </w:rPr>
              <w:t>Authorization model</w:t>
            </w:r>
          </w:p>
        </w:tc>
        <w:tc>
          <w:tcPr>
            <w:tcW w:type="dxa" w:w="4320"/>
          </w:tcPr>
          <w:p>
            <w:r>
              <w:rPr>
                <w:sz w:val="18"/>
              </w:rPr>
              <w:t>Azure RBAC</w:t>
            </w:r>
          </w:p>
        </w:tc>
      </w:tr>
      <w:tr>
        <w:tc>
          <w:tcPr>
            <w:tcW w:type="dxa" w:w="2016"/>
          </w:tcPr>
          <w:p>
            <w:r>
              <w:rPr>
                <w:sz w:val="18"/>
              </w:rPr>
              <w:t>Key Vault</w:t>
            </w:r>
          </w:p>
        </w:tc>
        <w:tc>
          <w:tcPr>
            <w:tcW w:type="dxa" w:w="2592"/>
          </w:tcPr>
          <w:p>
            <w:r>
              <w:rPr>
                <w:sz w:val="18"/>
              </w:rPr>
              <w:t>Soft delete and purge protection</w:t>
            </w:r>
          </w:p>
        </w:tc>
        <w:tc>
          <w:tcPr>
            <w:tcW w:type="dxa" w:w="4320"/>
          </w:tcPr>
          <w:p>
            <w:r>
              <w:rPr>
                <w:sz w:val="18"/>
              </w:rPr>
              <w:t>Enabled</w:t>
            </w:r>
          </w:p>
        </w:tc>
      </w:tr>
      <w:tr>
        <w:tc>
          <w:tcPr>
            <w:tcW w:type="dxa" w:w="2016"/>
          </w:tcPr>
          <w:p>
            <w:r>
              <w:rPr>
                <w:sz w:val="18"/>
              </w:rPr>
              <w:t>Static Web Apps</w:t>
            </w:r>
          </w:p>
        </w:tc>
        <w:tc>
          <w:tcPr>
            <w:tcW w:type="dxa" w:w="2592"/>
          </w:tcPr>
          <w:p>
            <w:r>
              <w:rPr>
                <w:sz w:val="18"/>
              </w:rPr>
              <w:t>Configuration file</w:t>
            </w:r>
          </w:p>
        </w:tc>
        <w:tc>
          <w:tcPr>
            <w:tcW w:type="dxa" w:w="4320"/>
          </w:tcPr>
          <w:p>
            <w:r>
              <w:rPr>
                <w:sz w:val="18"/>
              </w:rPr>
              <w:t>staticwebapp.config.json present and reviewed</w:t>
            </w:r>
          </w:p>
        </w:tc>
      </w:tr>
      <w:tr>
        <w:tc>
          <w:tcPr>
            <w:tcW w:type="dxa" w:w="2016"/>
          </w:tcPr>
          <w:p>
            <w:r>
              <w:rPr>
                <w:sz w:val="18"/>
              </w:rPr>
              <w:t>Application</w:t>
            </w:r>
          </w:p>
        </w:tc>
        <w:tc>
          <w:tcPr>
            <w:tcW w:type="dxa" w:w="2592"/>
          </w:tcPr>
          <w:p>
            <w:r>
              <w:rPr>
                <w:sz w:val="18"/>
              </w:rPr>
              <w:t>Allowed hosts</w:t>
            </w:r>
          </w:p>
        </w:tc>
        <w:tc>
          <w:tcPr>
            <w:tcW w:type="dxa" w:w="4320"/>
          </w:tcPr>
          <w:p>
            <w:r>
              <w:rPr>
                <w:sz w:val="18"/>
              </w:rPr>
              <w:t>Explicit list; wildcard prohibited in production</w:t>
            </w:r>
          </w:p>
        </w:tc>
      </w:tr>
      <w:tr>
        <w:tc>
          <w:tcPr>
            <w:tcW w:type="dxa" w:w="2016"/>
          </w:tcPr>
          <w:p>
            <w:r>
              <w:rPr>
                <w:sz w:val="18"/>
              </w:rPr>
              <w:t>Application</w:t>
            </w:r>
          </w:p>
        </w:tc>
        <w:tc>
          <w:tcPr>
            <w:tcW w:type="dxa" w:w="2592"/>
          </w:tcPr>
          <w:p>
            <w:r>
              <w:rPr>
                <w:sz w:val="18"/>
              </w:rPr>
              <w:t>OpenAPI exposure</w:t>
            </w:r>
          </w:p>
        </w:tc>
        <w:tc>
          <w:tcPr>
            <w:tcW w:type="dxa" w:w="4320"/>
          </w:tcPr>
          <w:p>
            <w:r>
              <w:rPr>
                <w:sz w:val="18"/>
              </w:rPr>
              <w:t>Disabled in production</w:t>
            </w:r>
          </w:p>
        </w:tc>
      </w:tr>
      <w:tr>
        <w:tc>
          <w:tcPr>
            <w:tcW w:type="dxa" w:w="2016"/>
          </w:tcPr>
          <w:p>
            <w:r>
              <w:rPr>
                <w:sz w:val="18"/>
              </w:rPr>
              <w:t>Application</w:t>
            </w:r>
          </w:p>
        </w:tc>
        <w:tc>
          <w:tcPr>
            <w:tcW w:type="dxa" w:w="2592"/>
          </w:tcPr>
          <w:p>
            <w:r>
              <w:rPr>
                <w:sz w:val="18"/>
              </w:rPr>
              <w:t>Signing key length</w:t>
            </w:r>
          </w:p>
        </w:tc>
        <w:tc>
          <w:tcPr>
            <w:tcW w:type="dxa" w:w="4320"/>
          </w:tcPr>
          <w:p>
            <w:r>
              <w:rPr>
                <w:sz w:val="18"/>
              </w:rPr>
              <w:t>64 characters minimum, enforced at startup</w:t>
            </w:r>
          </w:p>
        </w:tc>
      </w:tr>
    </w:tbl>
    <w:p/>
    <w:p>
      <w:pPr>
        <w:pStyle w:val="Heading1"/>
      </w:pPr>
      <w:r>
        <w:t>4. Hardening standards</w:t>
      </w:r>
    </w:p>
    <w:p>
      <w:pPr>
        <w:pStyle w:val="ListBullet"/>
      </w:pPr>
      <w:r>
        <w:t>Azure resources follow the Microsoft cloud security benchmark where applicable.</w:t>
      </w:r>
    </w:p>
    <w:p>
      <w:pPr>
        <w:pStyle w:val="ListBullet"/>
      </w:pPr>
      <w:r>
        <w:t>Only required ports and protocols are exposed; the platform is reachable over HTTPS only.</w:t>
      </w:r>
    </w:p>
    <w:p>
      <w:pPr>
        <w:pStyle w:val="ListBullet"/>
      </w:pPr>
      <w:r>
        <w:t>Default credentials do not exist anywhere in the deployment.</w:t>
      </w:r>
    </w:p>
    <w:p>
      <w:pPr>
        <w:pStyle w:val="ListBullet"/>
      </w:pPr>
      <w:r>
        <w:t>Diagnostic and debug interfaces are disabled in production, including the interactive API documentation.</w:t>
      </w:r>
    </w:p>
    <w:p>
      <w:pPr>
        <w:pStyle w:val="ListBullet"/>
      </w:pPr>
      <w:r>
        <w:t>Security headers are set at the application layer and verified by DAST.</w:t>
      </w:r>
    </w:p>
    <w:p>
      <w:pPr>
        <w:pStyle w:val="Heading1"/>
      </w:pPr>
      <w:r>
        <w:t>5. The host-allowlist interaction</w:t>
      </w:r>
    </w:p>
    <w:p>
      <w:r>
        <w:t>Trusted-host middleware rejects a request whose Host header is not in the allowed list with a 400 on every path, including the health endpoint. This has a non-obvious operational consequence: enabling a platform health probe before the probe's hostname is in the allowlist will fail every check and remove every instance from rotation. Configuration changes to these two settings are therefore sequenced deliberately, not applied independently.</w:t>
      </w:r>
    </w:p>
    <w:p>
      <w:pPr>
        <w:pStyle w:val="Heading1"/>
      </w:pPr>
      <w:r>
        <w:t>6. Change control for configuration</w:t>
      </w:r>
    </w:p>
    <w:p>
      <w:r>
        <w:t>Configuration changes follow AGT-ChMP-017. Changes to any value in section 3 are treated as normal or major changes, never as standard, because each of them can take the platform down or silently weaken a control.</w:t>
      </w:r>
    </w:p>
    <w:p>
      <w:pPr>
        <w:pStyle w:val="Heading1"/>
      </w:pPr>
      <w:r>
        <w:t>7. Drift detection</w:t>
      </w:r>
    </w:p>
    <w:tbl>
      <w:tblPr>
        <w:tblStyle w:val="TableGrid"/>
        <w:tblW w:type="auto" w:w="0"/>
        <w:tblLook w:firstColumn="1" w:firstRow="1" w:lastColumn="0" w:lastRow="0" w:noHBand="0" w:noVBand="1" w:val="04A0"/>
      </w:tblPr>
      <w:tblGrid>
        <w:gridCol w:w="3120"/>
        <w:gridCol w:w="3120"/>
        <w:gridCol w:w="3120"/>
      </w:tblGrid>
      <w:tr>
        <w:tc>
          <w:tcPr>
            <w:tcW w:type="dxa" w:w="3168"/>
            <w:shd w:val="clear" w:fill="0F2B4C"/>
          </w:tcPr>
          <w:p>
            <w:r>
              <w:rPr>
                <w:b/>
                <w:color w:val="FFFFFF"/>
                <w:sz w:val="18"/>
              </w:rPr>
              <w:t>Check</w:t>
            </w:r>
          </w:p>
        </w:tc>
        <w:tc>
          <w:tcPr>
            <w:tcW w:type="dxa" w:w="3744"/>
            <w:shd w:val="clear" w:fill="0F2B4C"/>
          </w:tcPr>
          <w:p>
            <w:r>
              <w:rPr>
                <w:b/>
                <w:color w:val="FFFFFF"/>
                <w:sz w:val="18"/>
              </w:rPr>
              <w:t>Method</w:t>
            </w:r>
          </w:p>
        </w:tc>
        <w:tc>
          <w:tcPr>
            <w:tcW w:type="dxa" w:w="2016"/>
            <w:shd w:val="clear" w:fill="0F2B4C"/>
          </w:tcPr>
          <w:p>
            <w:r>
              <w:rPr>
                <w:b/>
                <w:color w:val="FFFFFF"/>
                <w:sz w:val="18"/>
              </w:rPr>
              <w:t>Frequency</w:t>
            </w:r>
          </w:p>
        </w:tc>
      </w:tr>
      <w:tr>
        <w:tc>
          <w:tcPr>
            <w:tcW w:type="dxa" w:w="3168"/>
          </w:tcPr>
          <w:p>
            <w:r>
              <w:rPr>
                <w:sz w:val="18"/>
              </w:rPr>
              <w:t>Azure resource configuration</w:t>
            </w:r>
          </w:p>
        </w:tc>
        <w:tc>
          <w:tcPr>
            <w:tcW w:type="dxa" w:w="3744"/>
          </w:tcPr>
          <w:p>
            <w:r>
              <w:rPr>
                <w:sz w:val="18"/>
              </w:rPr>
              <w:t>Read-only Azure assessment in the security platform</w:t>
            </w:r>
          </w:p>
        </w:tc>
        <w:tc>
          <w:tcPr>
            <w:tcW w:type="dxa" w:w="2016"/>
          </w:tcPr>
          <w:p>
            <w:r>
              <w:rPr>
                <w:sz w:val="18"/>
              </w:rPr>
              <w:t>Nightly</w:t>
            </w:r>
          </w:p>
        </w:tc>
      </w:tr>
      <w:tr>
        <w:tc>
          <w:tcPr>
            <w:tcW w:type="dxa" w:w="3168"/>
          </w:tcPr>
          <w:p>
            <w:r>
              <w:rPr>
                <w:sz w:val="18"/>
              </w:rPr>
              <w:t>Application settings and Key Vault references</w:t>
            </w:r>
          </w:p>
        </w:tc>
        <w:tc>
          <w:tcPr>
            <w:tcW w:type="dxa" w:w="3744"/>
          </w:tcPr>
          <w:p>
            <w:r>
              <w:rPr>
                <w:sz w:val="18"/>
              </w:rPr>
              <w:t>Scripted comparison against the baseline</w:t>
            </w:r>
          </w:p>
        </w:tc>
        <w:tc>
          <w:tcPr>
            <w:tcW w:type="dxa" w:w="2016"/>
          </w:tcPr>
          <w:p>
            <w:r>
              <w:rPr>
                <w:sz w:val="18"/>
              </w:rPr>
              <w:t>Nightly</w:t>
            </w:r>
          </w:p>
        </w:tc>
      </w:tr>
      <w:tr>
        <w:tc>
          <w:tcPr>
            <w:tcW w:type="dxa" w:w="3168"/>
          </w:tcPr>
          <w:p>
            <w:r>
              <w:rPr>
                <w:sz w:val="18"/>
              </w:rPr>
              <w:t>Deployed component inventory</w:t>
            </w:r>
          </w:p>
        </w:tc>
        <w:tc>
          <w:tcPr>
            <w:tcW w:type="dxa" w:w="3744"/>
          </w:tcPr>
          <w:p>
            <w:r>
              <w:rPr>
                <w:sz w:val="18"/>
              </w:rPr>
              <w:t>SBOM comparison between releases</w:t>
            </w:r>
          </w:p>
        </w:tc>
        <w:tc>
          <w:tcPr>
            <w:tcW w:type="dxa" w:w="2016"/>
          </w:tcPr>
          <w:p>
            <w:r>
              <w:rPr>
                <w:sz w:val="18"/>
              </w:rPr>
              <w:t>Every release</w:t>
            </w:r>
          </w:p>
        </w:tc>
      </w:tr>
      <w:tr>
        <w:tc>
          <w:tcPr>
            <w:tcW w:type="dxa" w:w="3168"/>
          </w:tcPr>
          <w:p>
            <w:r>
              <w:rPr>
                <w:sz w:val="18"/>
              </w:rPr>
              <w:t>Unauthorized resources</w:t>
            </w:r>
          </w:p>
        </w:tc>
        <w:tc>
          <w:tcPr>
            <w:tcW w:type="dxa" w:w="3744"/>
          </w:tcPr>
          <w:p>
            <w:r>
              <w:rPr>
                <w:sz w:val="18"/>
              </w:rPr>
              <w:t>Resource Graph reconciliation against the asset register</w:t>
            </w:r>
          </w:p>
        </w:tc>
        <w:tc>
          <w:tcPr>
            <w:tcW w:type="dxa" w:w="2016"/>
          </w:tcPr>
          <w:p>
            <w:r>
              <w:rPr>
                <w:sz w:val="18"/>
              </w:rPr>
              <w:t>Quarterly</w:t>
            </w:r>
          </w:p>
        </w:tc>
      </w:tr>
    </w:tbl>
    <w:p/>
    <w:p>
      <w:r>
        <w:t>Component drift has a specific failure mode worth naming. A deployment that overlays rather than replaces leaves package metadata from previous releases in place; dependency scanning and the SBOM then describe a component set that is not what is running. The production deployment method replaces the content directory precisely to prevent this.</w:t>
      </w:r>
    </w:p>
    <w:p>
      <w:pPr>
        <w:pStyle w:val="Heading1"/>
      </w:pPr>
      <w:r>
        <w:t>8. Configuration documentation</w:t>
      </w:r>
    </w:p>
    <w:p>
      <w:pPr>
        <w:pStyle w:val="ListBullet"/>
      </w:pPr>
      <w:r>
        <w:t>Infrastructure is described as code where practical; templates are versioned.</w:t>
      </w:r>
    </w:p>
    <w:p>
      <w:pPr>
        <w:pStyle w:val="ListBullet"/>
      </w:pPr>
      <w:r>
        <w:t>Every baseline value in section 3 has a stated rationale, not only a value.</w:t>
      </w:r>
    </w:p>
    <w:p>
      <w:pPr>
        <w:pStyle w:val="ListBullet"/>
      </w:pPr>
      <w:r>
        <w:t>Deviations are recorded as exceptions with an owner and an expiry date.</w:t>
      </w:r>
    </w:p>
    <w:p>
      <w:pPr>
        <w:pStyle w:val="Heading1"/>
      </w:pPr>
      <w:r>
        <w:t>9. Open configuration findings</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Finding</w:t>
            </w:r>
          </w:p>
        </w:tc>
        <w:tc>
          <w:tcPr>
            <w:tcW w:type="dxa" w:w="1440"/>
            <w:shd w:val="clear" w:fill="0F2B4C"/>
          </w:tcPr>
          <w:p>
            <w:r>
              <w:rPr>
                <w:b/>
                <w:color w:val="FFFFFF"/>
                <w:sz w:val="18"/>
              </w:rPr>
              <w:t>Environments</w:t>
            </w:r>
          </w:p>
        </w:tc>
        <w:tc>
          <w:tcPr>
            <w:tcW w:type="dxa" w:w="2736"/>
            <w:shd w:val="clear" w:fill="0F2B4C"/>
          </w:tcPr>
          <w:p>
            <w:r>
              <w:rPr>
                <w:b/>
                <w:color w:val="FFFFFF"/>
                <w:sz w:val="18"/>
              </w:rPr>
              <w:t>Risk</w:t>
            </w:r>
          </w:p>
        </w:tc>
        <w:tc>
          <w:tcPr>
            <w:tcW w:type="dxa" w:w="2016"/>
            <w:shd w:val="clear" w:fill="0F2B4C"/>
          </w:tcPr>
          <w:p>
            <w:r>
              <w:rPr>
                <w:b/>
                <w:color w:val="FFFFFF"/>
                <w:sz w:val="18"/>
              </w:rPr>
              <w:t>Remediation reference</w:t>
            </w:r>
          </w:p>
        </w:tc>
      </w:tr>
      <w:tr>
        <w:tc>
          <w:tcPr>
            <w:tcW w:type="dxa" w:w="2736"/>
          </w:tcPr>
          <w:p>
            <w:r>
              <w:rPr>
                <w:sz w:val="18"/>
              </w:rPr>
              <w:t>FTP/FTPS deployment enabled</w:t>
            </w:r>
          </w:p>
        </w:tc>
        <w:tc>
          <w:tcPr>
            <w:tcW w:type="dxa" w:w="1440"/>
          </w:tcPr>
          <w:p>
            <w:r>
              <w:rPr>
                <w:sz w:val="18"/>
              </w:rPr>
              <w:t>prod, dev</w:t>
            </w:r>
          </w:p>
        </w:tc>
        <w:tc>
          <w:tcPr>
            <w:tcW w:type="dxa" w:w="2736"/>
          </w:tcPr>
          <w:p>
            <w:r>
              <w:rPr>
                <w:sz w:val="18"/>
              </w:rPr>
              <w:t>A second write path that bypasses pipeline verification</w:t>
            </w:r>
          </w:p>
        </w:tc>
        <w:tc>
          <w:tcPr>
            <w:tcW w:type="dxa" w:w="2016"/>
          </w:tcPr>
          <w:p>
            <w:r>
              <w:rPr>
                <w:sz w:val="18"/>
              </w:rPr>
              <w:t>docs/runbooks/ftp-disable.md</w:t>
            </w:r>
          </w:p>
        </w:tc>
      </w:tr>
      <w:tr>
        <w:tc>
          <w:tcPr>
            <w:tcW w:type="dxa" w:w="2736"/>
          </w:tcPr>
          <w:p>
            <w:r>
              <w:rPr>
                <w:sz w:val="18"/>
              </w:rPr>
              <w:t>Health check path not configured</w:t>
            </w:r>
          </w:p>
        </w:tc>
        <w:tc>
          <w:tcPr>
            <w:tcW w:type="dxa" w:w="1440"/>
          </w:tcPr>
          <w:p>
            <w:r>
              <w:rPr>
                <w:sz w:val="18"/>
              </w:rPr>
              <w:t>prod, dev</w:t>
            </w:r>
          </w:p>
        </w:tc>
        <w:tc>
          <w:tcPr>
            <w:tcW w:type="dxa" w:w="2736"/>
          </w:tcPr>
          <w:p>
            <w:r>
              <w:rPr>
                <w:sz w:val="18"/>
              </w:rPr>
              <w:t>A wedged instance keeps receiving traffic</w:t>
            </w:r>
          </w:p>
        </w:tc>
        <w:tc>
          <w:tcPr>
            <w:tcW w:type="dxa" w:w="2016"/>
          </w:tcPr>
          <w:p>
            <w:r>
              <w:rPr>
                <w:sz w:val="18"/>
              </w:rPr>
              <w:t>docs/runbooks/app-service-health-check.md</w:t>
            </w:r>
          </w:p>
        </w:tc>
      </w:tr>
      <w:tr>
        <w:tc>
          <w:tcPr>
            <w:tcW w:type="dxa" w:w="2736"/>
          </w:tcPr>
          <w:p>
            <w:r>
              <w:rPr>
                <w:sz w:val="18"/>
              </w:rPr>
              <w:t>DATABASE_URL not a Key Vault reference</w:t>
            </w:r>
          </w:p>
        </w:tc>
        <w:tc>
          <w:tcPr>
            <w:tcW w:type="dxa" w:w="1440"/>
          </w:tcPr>
          <w:p>
            <w:r>
              <w:rPr>
                <w:sz w:val="18"/>
              </w:rPr>
              <w:t>prod</w:t>
            </w:r>
          </w:p>
        </w:tc>
        <w:tc>
          <w:tcPr>
            <w:tcW w:type="dxa" w:w="2736"/>
          </w:tcPr>
          <w:p>
            <w:r>
              <w:rPr>
                <w:sz w:val="18"/>
              </w:rPr>
              <w:t>Database password readable with Reader role</w:t>
            </w:r>
          </w:p>
        </w:tc>
        <w:tc>
          <w:tcPr>
            <w:tcW w:type="dxa" w:w="2016"/>
          </w:tcPr>
          <w:p>
            <w:r>
              <w:rPr>
                <w:sz w:val="18"/>
              </w:rPr>
              <w:t>docs/runbooks/database-url-to-keyvault.md</w:t>
            </w:r>
          </w:p>
        </w:tc>
      </w:tr>
      <w:tr>
        <w:tc>
          <w:tcPr>
            <w:tcW w:type="dxa" w:w="2736"/>
          </w:tcPr>
          <w:p>
            <w:r>
              <w:rPr>
                <w:sz w:val="18"/>
              </w:rPr>
              <w:t>No Key Vault in the dev environment</w:t>
            </w:r>
          </w:p>
        </w:tc>
        <w:tc>
          <w:tcPr>
            <w:tcW w:type="dxa" w:w="1440"/>
          </w:tcPr>
          <w:p>
            <w:r>
              <w:rPr>
                <w:sz w:val="18"/>
              </w:rPr>
              <w:t>dev</w:t>
            </w:r>
          </w:p>
        </w:tc>
        <w:tc>
          <w:tcPr>
            <w:tcW w:type="dxa" w:w="2736"/>
          </w:tcPr>
          <w:p>
            <w:r>
              <w:rPr>
                <w:sz w:val="18"/>
              </w:rPr>
              <w:t>Secrets held as literals; drift from the production pattern</w:t>
            </w:r>
          </w:p>
        </w:tc>
        <w:tc>
          <w:tcPr>
            <w:tcW w:type="dxa" w:w="2016"/>
          </w:tcPr>
          <w:p>
            <w:r>
              <w:rPr>
                <w:sz w:val="18"/>
              </w:rPr>
              <w:t>docs/runbooks/dev-keyvault-setup.md</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Engineering</w:t>
            </w:r>
          </w:p>
        </w:tc>
        <w:tc>
          <w:tcPr>
            <w:tcW w:type="dxa" w:w="6336"/>
          </w:tcPr>
          <w:p>
            <w:r>
              <w:rPr>
                <w:sz w:val="18"/>
              </w:rPr>
              <w:t>Defines and maintains baselines; implements drift detection.</w:t>
            </w:r>
          </w:p>
        </w:tc>
      </w:tr>
      <w:tr>
        <w:tc>
          <w:tcPr>
            <w:tcW w:type="dxa" w:w="2592"/>
          </w:tcPr>
          <w:p>
            <w:r>
              <w:rPr>
                <w:sz w:val="18"/>
              </w:rPr>
              <w:t>Security Officer</w:t>
            </w:r>
          </w:p>
        </w:tc>
        <w:tc>
          <w:tcPr>
            <w:tcW w:type="dxa" w:w="6336"/>
          </w:tcPr>
          <w:p>
            <w:r>
              <w:rPr>
                <w:sz w:val="18"/>
              </w:rPr>
              <w:t>Reviews drift reports; approves exceptions with expiry.</w:t>
            </w:r>
          </w:p>
        </w:tc>
      </w:tr>
      <w:tr>
        <w:tc>
          <w:tcPr>
            <w:tcW w:type="dxa" w:w="2592"/>
          </w:tcPr>
          <w:p>
            <w:r>
              <w:rPr>
                <w:sz w:val="18"/>
              </w:rPr>
              <w:t>CEO</w:t>
            </w:r>
          </w:p>
        </w:tc>
        <w:tc>
          <w:tcPr>
            <w:tcW w:type="dxa" w:w="6336"/>
          </w:tcPr>
          <w:p>
            <w:r>
              <w:rPr>
                <w:sz w:val="18"/>
              </w:rPr>
              <w:t>Approves baseline changes affecting the authorization boundary.</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CM-2, CM-3, CM-6, CM-7</w:t>
            </w:r>
          </w:p>
        </w:tc>
        <w:tc>
          <w:tcPr>
            <w:tcW w:type="dxa" w:w="4320"/>
          </w:tcPr>
          <w:p>
            <w:r>
              <w:rPr>
                <w:sz w:val="18"/>
              </w:rPr>
              <w:t>Baseline configuration, change control, configuration settings, least functionality.</w:t>
            </w:r>
          </w:p>
        </w:tc>
        <w:tc>
          <w:tcPr>
            <w:tcW w:type="dxa" w:w="1152"/>
          </w:tcPr>
          <w:p>
            <w:r>
              <w:rPr>
                <w:sz w:val="18"/>
              </w:rPr>
              <w:t>Met</w:t>
            </w:r>
          </w:p>
        </w:tc>
      </w:tr>
      <w:tr>
        <w:tc>
          <w:tcPr>
            <w:tcW w:type="dxa" w:w="1584"/>
          </w:tcPr>
          <w:p>
            <w:r>
              <w:rPr>
                <w:sz w:val="18"/>
              </w:rPr>
              <w:t>NIST 800-53</w:t>
            </w:r>
          </w:p>
        </w:tc>
        <w:tc>
          <w:tcPr>
            <w:tcW w:type="dxa" w:w="2160"/>
          </w:tcPr>
          <w:p>
            <w:r>
              <w:rPr>
                <w:sz w:val="18"/>
              </w:rPr>
              <w:t>CM-8, SI-7</w:t>
            </w:r>
          </w:p>
        </w:tc>
        <w:tc>
          <w:tcPr>
            <w:tcW w:type="dxa" w:w="4320"/>
          </w:tcPr>
          <w:p>
            <w:r>
              <w:rPr>
                <w:sz w:val="18"/>
              </w:rPr>
              <w:t>Component inventory; software and information integrity.</w:t>
            </w:r>
          </w:p>
        </w:tc>
        <w:tc>
          <w:tcPr>
            <w:tcW w:type="dxa" w:w="1152"/>
          </w:tcPr>
          <w:p>
            <w:r>
              <w:rPr>
                <w:sz w:val="18"/>
              </w:rPr>
              <w:t>Met</w:t>
            </w:r>
          </w:p>
        </w:tc>
      </w:tr>
      <w:tr>
        <w:tc>
          <w:tcPr>
            <w:tcW w:type="dxa" w:w="1584"/>
          </w:tcPr>
          <w:p>
            <w:r>
              <w:rPr>
                <w:sz w:val="18"/>
              </w:rPr>
              <w:t>HIPAA</w:t>
            </w:r>
          </w:p>
        </w:tc>
        <w:tc>
          <w:tcPr>
            <w:tcW w:type="dxa" w:w="2160"/>
          </w:tcPr>
          <w:p>
            <w:r>
              <w:rPr>
                <w:sz w:val="18"/>
              </w:rPr>
              <w:t>164.308(a)(8)</w:t>
            </w:r>
          </w:p>
        </w:tc>
        <w:tc>
          <w:tcPr>
            <w:tcW w:type="dxa" w:w="4320"/>
          </w:tcPr>
          <w:p>
            <w:r>
              <w:rPr>
                <w:sz w:val="18"/>
              </w:rPr>
              <w:t>Evaluation of technical and non-technical safeguards.</w:t>
            </w:r>
          </w:p>
        </w:tc>
        <w:tc>
          <w:tcPr>
            <w:tcW w:type="dxa" w:w="1152"/>
          </w:tcPr>
          <w:p>
            <w:r>
              <w:rPr>
                <w:sz w:val="18"/>
              </w:rPr>
              <w:t>Met</w:t>
            </w:r>
          </w:p>
        </w:tc>
      </w:tr>
      <w:tr>
        <w:tc>
          <w:tcPr>
            <w:tcW w:type="dxa" w:w="1584"/>
          </w:tcPr>
          <w:p>
            <w:r>
              <w:rPr>
                <w:sz w:val="18"/>
              </w:rPr>
              <w:t>SOC 2</w:t>
            </w:r>
          </w:p>
        </w:tc>
        <w:tc>
          <w:tcPr>
            <w:tcW w:type="dxa" w:w="2160"/>
          </w:tcPr>
          <w:p>
            <w:r>
              <w:rPr>
                <w:sz w:val="18"/>
              </w:rPr>
              <w:t>CC7.1, CC8.1</w:t>
            </w:r>
          </w:p>
        </w:tc>
        <w:tc>
          <w:tcPr>
            <w:tcW w:type="dxa" w:w="4320"/>
          </w:tcPr>
          <w:p>
            <w:r>
              <w:rPr>
                <w:sz w:val="18"/>
              </w:rPr>
              <w:t>Configuration monitoring and change authorization.</w:t>
            </w:r>
          </w:p>
        </w:tc>
        <w:tc>
          <w:tcPr>
            <w:tcW w:type="dxa" w:w="1152"/>
          </w:tcPr>
          <w:p>
            <w:r>
              <w:rPr>
                <w:sz w:val="18"/>
              </w:rPr>
              <w:t>Met</w:t>
            </w:r>
          </w:p>
        </w:tc>
      </w:tr>
      <w:tr>
        <w:tc>
          <w:tcPr>
            <w:tcW w:type="dxa" w:w="1584"/>
          </w:tcPr>
          <w:p>
            <w:r>
              <w:rPr>
                <w:sz w:val="18"/>
              </w:rPr>
              <w:t>ISO 27001</w:t>
            </w:r>
          </w:p>
        </w:tc>
        <w:tc>
          <w:tcPr>
            <w:tcW w:type="dxa" w:w="2160"/>
          </w:tcPr>
          <w:p>
            <w:r>
              <w:rPr>
                <w:sz w:val="18"/>
              </w:rPr>
              <w:t>A.8.9, A.8.19</w:t>
            </w:r>
          </w:p>
        </w:tc>
        <w:tc>
          <w:tcPr>
            <w:tcW w:type="dxa" w:w="4320"/>
          </w:tcPr>
          <w:p>
            <w:r>
              <w:rPr>
                <w:sz w:val="18"/>
              </w:rPr>
              <w:t>Configuration management; installation of software on systems.</w:t>
            </w:r>
          </w:p>
        </w:tc>
        <w:tc>
          <w:tcPr>
            <w:tcW w:type="dxa" w:w="1152"/>
          </w:tcPr>
          <w:p>
            <w:r>
              <w:rPr>
                <w:sz w:val="18"/>
              </w:rPr>
              <w:t>Met</w:t>
            </w:r>
          </w:p>
        </w:tc>
      </w:tr>
      <w:tr>
        <w:tc>
          <w:tcPr>
            <w:tcW w:type="dxa" w:w="1584"/>
          </w:tcPr>
          <w:p>
            <w:r>
              <w:rPr>
                <w:sz w:val="18"/>
              </w:rPr>
              <w:t>CMMI L3</w:t>
            </w:r>
          </w:p>
        </w:tc>
        <w:tc>
          <w:tcPr>
            <w:tcW w:type="dxa" w:w="2160"/>
          </w:tcPr>
          <w:p>
            <w:r>
              <w:rPr>
                <w:sz w:val="18"/>
              </w:rPr>
              <w:t>CM, PPQA</w:t>
            </w:r>
          </w:p>
        </w:tc>
        <w:tc>
          <w:tcPr>
            <w:tcW w:type="dxa" w:w="4320"/>
          </w:tcPr>
          <w:p>
            <w:r>
              <w:rPr>
                <w:sz w:val="18"/>
              </w:rPr>
              <w:t>Configuration identification, control, and audit.</w:t>
            </w:r>
          </w:p>
        </w:tc>
        <w:tc>
          <w:tcPr>
            <w:tcW w:type="dxa" w:w="1152"/>
          </w:tcPr>
          <w:p>
            <w:r>
              <w:rPr>
                <w:sz w:val="18"/>
              </w:rPr>
              <w:t>Met</w:t>
            </w:r>
          </w:p>
        </w:tc>
      </w:tr>
      <w:tr>
        <w:tc>
          <w:tcPr>
            <w:tcW w:type="dxa" w:w="1584"/>
          </w:tcPr>
          <w:p>
            <w:r>
              <w:rPr>
                <w:sz w:val="18"/>
              </w:rPr>
              <w:t>FedRAMP</w:t>
            </w:r>
          </w:p>
        </w:tc>
        <w:tc>
          <w:tcPr>
            <w:tcW w:type="dxa" w:w="2160"/>
          </w:tcPr>
          <w:p>
            <w:r>
              <w:rPr>
                <w:sz w:val="18"/>
              </w:rPr>
              <w:t>CM-2(2), CM-6(1)</w:t>
            </w:r>
          </w:p>
        </w:tc>
        <w:tc>
          <w:tcPr>
            <w:tcW w:type="dxa" w:w="4320"/>
          </w:tcPr>
          <w:p>
            <w:r>
              <w:rPr>
                <w:sz w:val="18"/>
              </w:rPr>
              <w:t>Automated baseline maintenance and setting enforcement.</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AGT-ChMP-017</w:t>
            </w:r>
          </w:p>
        </w:tc>
        <w:tc>
          <w:tcPr>
            <w:tcW w:type="dxa" w:w="4176"/>
          </w:tcPr>
          <w:p>
            <w:r>
              <w:rPr>
                <w:sz w:val="18"/>
              </w:rPr>
              <w:t>Change Management Policy</w:t>
            </w:r>
          </w:p>
        </w:tc>
        <w:tc>
          <w:tcPr>
            <w:tcW w:type="dxa" w:w="3168"/>
          </w:tcPr>
          <w:p>
            <w:r>
              <w:rPr>
                <w:sz w:val="18"/>
              </w:rPr>
              <w:t>Approval path for configuration change</w:t>
            </w:r>
          </w:p>
        </w:tc>
      </w:tr>
      <w:tr>
        <w:tc>
          <w:tcPr>
            <w:tcW w:type="dxa" w:w="1872"/>
          </w:tcPr>
          <w:p>
            <w:r>
              <w:rPr>
                <w:sz w:val="18"/>
              </w:rPr>
              <w:t>AGT-AMP-011</w:t>
            </w:r>
          </w:p>
        </w:tc>
        <w:tc>
          <w:tcPr>
            <w:tcW w:type="dxa" w:w="4176"/>
          </w:tcPr>
          <w:p>
            <w:r>
              <w:rPr>
                <w:sz w:val="18"/>
              </w:rPr>
              <w:t>Asset Management Policy</w:t>
            </w:r>
          </w:p>
        </w:tc>
        <w:tc>
          <w:tcPr>
            <w:tcW w:type="dxa" w:w="3168"/>
          </w:tcPr>
          <w:p>
            <w:r>
              <w:rPr>
                <w:sz w:val="18"/>
              </w:rPr>
              <w:t>Assets that carry these baselines</w:t>
            </w:r>
          </w:p>
        </w:tc>
      </w:tr>
      <w:tr>
        <w:tc>
          <w:tcPr>
            <w:tcW w:type="dxa" w:w="1872"/>
          </w:tcPr>
          <w:p>
            <w:r>
              <w:rPr>
                <w:sz w:val="18"/>
              </w:rPr>
              <w:t>AGT-SSDLC-015</w:t>
            </w:r>
          </w:p>
        </w:tc>
        <w:tc>
          <w:tcPr>
            <w:tcW w:type="dxa" w:w="4176"/>
          </w:tcPr>
          <w:p>
            <w:r>
              <w:rPr>
                <w:sz w:val="18"/>
              </w:rPr>
              <w:t>Secure SDLC</w:t>
            </w:r>
          </w:p>
        </w:tc>
        <w:tc>
          <w:tcPr>
            <w:tcW w:type="dxa" w:w="3168"/>
          </w:tcPr>
          <w:p>
            <w:r>
              <w:rPr>
                <w:sz w:val="18"/>
              </w:rPr>
              <w:t>Pipeline that applies configuration</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Detects drift and failures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AGT-CfMP-016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