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Data Retention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AGT-DRP-007</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how long AGT retains each category of information and how it is disposed of at end of life. Retention is a two-sided control: keeping data longer than required enlarges the breach surface and the discovery burden, while destroying it early can breach a regulatory or contractual obligation. Both failures are treated here as failures.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Retention schedule</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Data category</w:t>
            </w:r>
          </w:p>
        </w:tc>
        <w:tc>
          <w:tcPr>
            <w:tcW w:type="dxa" w:w="2016"/>
            <w:shd w:val="clear" w:fill="0F2B4C"/>
          </w:tcPr>
          <w:p>
            <w:r>
              <w:rPr>
                <w:b/>
                <w:color w:val="FFFFFF"/>
                <w:sz w:val="18"/>
              </w:rPr>
              <w:t>Retention period</w:t>
            </w:r>
          </w:p>
        </w:tc>
        <w:tc>
          <w:tcPr>
            <w:tcW w:type="dxa" w:w="2160"/>
            <w:shd w:val="clear" w:fill="0F2B4C"/>
          </w:tcPr>
          <w:p>
            <w:r>
              <w:rPr>
                <w:b/>
                <w:color w:val="FFFFFF"/>
                <w:sz w:val="18"/>
              </w:rPr>
              <w:t>Basis</w:t>
            </w:r>
          </w:p>
        </w:tc>
        <w:tc>
          <w:tcPr>
            <w:tcW w:type="dxa" w:w="2016"/>
            <w:shd w:val="clear" w:fill="0F2B4C"/>
          </w:tcPr>
          <w:p>
            <w:r>
              <w:rPr>
                <w:b/>
                <w:color w:val="FFFFFF"/>
                <w:sz w:val="18"/>
              </w:rPr>
              <w:t>Disposal method</w:t>
            </w:r>
          </w:p>
        </w:tc>
      </w:tr>
      <w:tr>
        <w:tc>
          <w:tcPr>
            <w:tcW w:type="dxa" w:w="2736"/>
          </w:tcPr>
          <w:p>
            <w:r>
              <w:rPr>
                <w:sz w:val="18"/>
              </w:rPr>
              <w:t>HIPAA-required documentation</w:t>
            </w:r>
          </w:p>
        </w:tc>
        <w:tc>
          <w:tcPr>
            <w:tcW w:type="dxa" w:w="2016"/>
          </w:tcPr>
          <w:p>
            <w:r>
              <w:rPr>
                <w:sz w:val="18"/>
              </w:rPr>
              <w:t>6 years from creation or last effective date</w:t>
            </w:r>
          </w:p>
        </w:tc>
        <w:tc>
          <w:tcPr>
            <w:tcW w:type="dxa" w:w="2160"/>
          </w:tcPr>
          <w:p>
            <w:r>
              <w:rPr>
                <w:sz w:val="18"/>
              </w:rPr>
              <w:t>45 CFR 164.316(b)(2)</w:t>
            </w:r>
          </w:p>
        </w:tc>
        <w:tc>
          <w:tcPr>
            <w:tcW w:type="dxa" w:w="2016"/>
          </w:tcPr>
          <w:p>
            <w:r>
              <w:rPr>
                <w:sz w:val="18"/>
              </w:rPr>
              <w:t>Secure deletion + record</w:t>
            </w:r>
          </w:p>
        </w:tc>
      </w:tr>
      <w:tr>
        <w:tc>
          <w:tcPr>
            <w:tcW w:type="dxa" w:w="2736"/>
          </w:tcPr>
          <w:p>
            <w:r>
              <w:rPr>
                <w:sz w:val="18"/>
              </w:rPr>
              <w:t>Audit and access logs</w:t>
            </w:r>
          </w:p>
        </w:tc>
        <w:tc>
          <w:tcPr>
            <w:tcW w:type="dxa" w:w="2016"/>
          </w:tcPr>
          <w:p>
            <w:r>
              <w:rPr>
                <w:sz w:val="18"/>
              </w:rPr>
              <w:t>6 years</w:t>
            </w:r>
          </w:p>
        </w:tc>
        <w:tc>
          <w:tcPr>
            <w:tcW w:type="dxa" w:w="2160"/>
          </w:tcPr>
          <w:p>
            <w:r>
              <w:rPr>
                <w:sz w:val="18"/>
              </w:rPr>
              <w:t>HIPAA 164.316(b)(2); NIST AU-11</w:t>
            </w:r>
          </w:p>
        </w:tc>
        <w:tc>
          <w:tcPr>
            <w:tcW w:type="dxa" w:w="2016"/>
          </w:tcPr>
          <w:p>
            <w:r>
              <w:rPr>
                <w:sz w:val="18"/>
              </w:rPr>
              <w:t>Secure deletion</w:t>
            </w:r>
          </w:p>
        </w:tc>
      </w:tr>
      <w:tr>
        <w:tc>
          <w:tcPr>
            <w:tcW w:type="dxa" w:w="2736"/>
          </w:tcPr>
          <w:p>
            <w:r>
              <w:rPr>
                <w:sz w:val="18"/>
              </w:rPr>
              <w:t>PHI in case-management records</w:t>
            </w:r>
          </w:p>
        </w:tc>
        <w:tc>
          <w:tcPr>
            <w:tcW w:type="dxa" w:w="2016"/>
          </w:tcPr>
          <w:p>
            <w:r>
              <w:rPr>
                <w:sz w:val="18"/>
              </w:rPr>
              <w:t>Per customer contract; minimum 6 years</w:t>
            </w:r>
          </w:p>
        </w:tc>
        <w:tc>
          <w:tcPr>
            <w:tcW w:type="dxa" w:w="2160"/>
          </w:tcPr>
          <w:p>
            <w:r>
              <w:rPr>
                <w:sz w:val="18"/>
              </w:rPr>
              <w:t>HIPAA and contract</w:t>
            </w:r>
          </w:p>
        </w:tc>
        <w:tc>
          <w:tcPr>
            <w:tcW w:type="dxa" w:w="2016"/>
          </w:tcPr>
          <w:p>
            <w:r>
              <w:rPr>
                <w:sz w:val="18"/>
              </w:rPr>
              <w:t>Secure deletion + record</w:t>
            </w:r>
          </w:p>
        </w:tc>
      </w:tr>
      <w:tr>
        <w:tc>
          <w:tcPr>
            <w:tcW w:type="dxa" w:w="2736"/>
          </w:tcPr>
          <w:p>
            <w:r>
              <w:rPr>
                <w:sz w:val="18"/>
              </w:rPr>
              <w:t>Security incident records</w:t>
            </w:r>
          </w:p>
        </w:tc>
        <w:tc>
          <w:tcPr>
            <w:tcW w:type="dxa" w:w="2016"/>
          </w:tcPr>
          <w:p>
            <w:r>
              <w:rPr>
                <w:sz w:val="18"/>
              </w:rPr>
              <w:t>6 years from closure</w:t>
            </w:r>
          </w:p>
        </w:tc>
        <w:tc>
          <w:tcPr>
            <w:tcW w:type="dxa" w:w="2160"/>
          </w:tcPr>
          <w:p>
            <w:r>
              <w:rPr>
                <w:sz w:val="18"/>
              </w:rPr>
              <w:t>HIPAA; NIST IR-5</w:t>
            </w:r>
          </w:p>
        </w:tc>
        <w:tc>
          <w:tcPr>
            <w:tcW w:type="dxa" w:w="2016"/>
          </w:tcPr>
          <w:p>
            <w:r>
              <w:rPr>
                <w:sz w:val="18"/>
              </w:rPr>
              <w:t>Secure deletion</w:t>
            </w:r>
          </w:p>
        </w:tc>
      </w:tr>
      <w:tr>
        <w:tc>
          <w:tcPr>
            <w:tcW w:type="dxa" w:w="2736"/>
          </w:tcPr>
          <w:p>
            <w:r>
              <w:rPr>
                <w:sz w:val="18"/>
              </w:rPr>
              <w:t>Risk assessments and SSP</w:t>
            </w:r>
          </w:p>
        </w:tc>
        <w:tc>
          <w:tcPr>
            <w:tcW w:type="dxa" w:w="2016"/>
          </w:tcPr>
          <w:p>
            <w:r>
              <w:rPr>
                <w:sz w:val="18"/>
              </w:rPr>
              <w:t>Life of system + 3 years</w:t>
            </w:r>
          </w:p>
        </w:tc>
        <w:tc>
          <w:tcPr>
            <w:tcW w:type="dxa" w:w="2160"/>
          </w:tcPr>
          <w:p>
            <w:r>
              <w:rPr>
                <w:sz w:val="18"/>
              </w:rPr>
              <w:t>NIST; FedRAMP</w:t>
            </w:r>
          </w:p>
        </w:tc>
        <w:tc>
          <w:tcPr>
            <w:tcW w:type="dxa" w:w="2016"/>
          </w:tcPr>
          <w:p>
            <w:r>
              <w:rPr>
                <w:sz w:val="18"/>
              </w:rPr>
              <w:t>Secure deletion</w:t>
            </w:r>
          </w:p>
        </w:tc>
      </w:tr>
      <w:tr>
        <w:tc>
          <w:tcPr>
            <w:tcW w:type="dxa" w:w="2736"/>
          </w:tcPr>
          <w:p>
            <w:r>
              <w:rPr>
                <w:sz w:val="18"/>
              </w:rPr>
              <w:t>User account records</w:t>
            </w:r>
          </w:p>
        </w:tc>
        <w:tc>
          <w:tcPr>
            <w:tcW w:type="dxa" w:w="2016"/>
          </w:tcPr>
          <w:p>
            <w:r>
              <w:rPr>
                <w:sz w:val="18"/>
              </w:rPr>
              <w:t>Duration of relationship + 6 years</w:t>
            </w:r>
          </w:p>
        </w:tc>
        <w:tc>
          <w:tcPr>
            <w:tcW w:type="dxa" w:w="2160"/>
          </w:tcPr>
          <w:p>
            <w:r>
              <w:rPr>
                <w:sz w:val="18"/>
              </w:rPr>
              <w:t>HIPAA; contract</w:t>
            </w:r>
          </w:p>
        </w:tc>
        <w:tc>
          <w:tcPr>
            <w:tcW w:type="dxa" w:w="2016"/>
          </w:tcPr>
          <w:p>
            <w:r>
              <w:rPr>
                <w:sz w:val="18"/>
              </w:rPr>
              <w:t>Secure deletion</w:t>
            </w:r>
          </w:p>
        </w:tc>
      </w:tr>
      <w:tr>
        <w:tc>
          <w:tcPr>
            <w:tcW w:type="dxa" w:w="2736"/>
          </w:tcPr>
          <w:p>
            <w:r>
              <w:rPr>
                <w:sz w:val="18"/>
              </w:rPr>
              <w:t>Application and diagnostic logs</w:t>
            </w:r>
          </w:p>
        </w:tc>
        <w:tc>
          <w:tcPr>
            <w:tcW w:type="dxa" w:w="2016"/>
          </w:tcPr>
          <w:p>
            <w:r>
              <w:rPr>
                <w:sz w:val="18"/>
              </w:rPr>
              <w:t>90 days hot, 1 year archive</w:t>
            </w:r>
          </w:p>
        </w:tc>
        <w:tc>
          <w:tcPr>
            <w:tcW w:type="dxa" w:w="2160"/>
          </w:tcPr>
          <w:p>
            <w:r>
              <w:rPr>
                <w:sz w:val="18"/>
              </w:rPr>
              <w:t>Operational need</w:t>
            </w:r>
          </w:p>
        </w:tc>
        <w:tc>
          <w:tcPr>
            <w:tcW w:type="dxa" w:w="2016"/>
          </w:tcPr>
          <w:p>
            <w:r>
              <w:rPr>
                <w:sz w:val="18"/>
              </w:rPr>
              <w:t>Automatic expiry</w:t>
            </w:r>
          </w:p>
        </w:tc>
      </w:tr>
      <w:tr>
        <w:tc>
          <w:tcPr>
            <w:tcW w:type="dxa" w:w="2736"/>
          </w:tcPr>
          <w:p>
            <w:r>
              <w:rPr>
                <w:sz w:val="18"/>
              </w:rPr>
              <w:t>Database backups</w:t>
            </w:r>
          </w:p>
        </w:tc>
        <w:tc>
          <w:tcPr>
            <w:tcW w:type="dxa" w:w="2016"/>
          </w:tcPr>
          <w:p>
            <w:r>
              <w:rPr>
                <w:sz w:val="18"/>
              </w:rPr>
              <w:t>35 days point-in-time; geo-redundant</w:t>
            </w:r>
          </w:p>
        </w:tc>
        <w:tc>
          <w:tcPr>
            <w:tcW w:type="dxa" w:w="2160"/>
          </w:tcPr>
          <w:p>
            <w:r>
              <w:rPr>
                <w:sz w:val="18"/>
              </w:rPr>
              <w:t>Operational RPO</w:t>
            </w:r>
          </w:p>
        </w:tc>
        <w:tc>
          <w:tcPr>
            <w:tcW w:type="dxa" w:w="2016"/>
          </w:tcPr>
          <w:p>
            <w:r>
              <w:rPr>
                <w:sz w:val="18"/>
              </w:rPr>
              <w:t>Automatic expiry</w:t>
            </w:r>
          </w:p>
        </w:tc>
      </w:tr>
      <w:tr>
        <w:tc>
          <w:tcPr>
            <w:tcW w:type="dxa" w:w="2736"/>
          </w:tcPr>
          <w:p>
            <w:r>
              <w:rPr>
                <w:sz w:val="18"/>
              </w:rPr>
              <w:t>Source code and build artifacts</w:t>
            </w:r>
          </w:p>
        </w:tc>
        <w:tc>
          <w:tcPr>
            <w:tcW w:type="dxa" w:w="2016"/>
          </w:tcPr>
          <w:p>
            <w:r>
              <w:rPr>
                <w:sz w:val="18"/>
              </w:rPr>
              <w:t>Life of system</w:t>
            </w:r>
          </w:p>
        </w:tc>
        <w:tc>
          <w:tcPr>
            <w:tcW w:type="dxa" w:w="2160"/>
          </w:tcPr>
          <w:p>
            <w:r>
              <w:rPr>
                <w:sz w:val="18"/>
              </w:rPr>
              <w:t>Operational</w:t>
            </w:r>
          </w:p>
        </w:tc>
        <w:tc>
          <w:tcPr>
            <w:tcW w:type="dxa" w:w="2016"/>
          </w:tcPr>
          <w:p>
            <w:r>
              <w:rPr>
                <w:sz w:val="18"/>
              </w:rPr>
              <w:t>Repository deletion</w:t>
            </w:r>
          </w:p>
        </w:tc>
      </w:tr>
      <w:tr>
        <w:tc>
          <w:tcPr>
            <w:tcW w:type="dxa" w:w="2736"/>
          </w:tcPr>
          <w:p>
            <w:r>
              <w:rPr>
                <w:sz w:val="18"/>
              </w:rPr>
              <w:t>Vendor contracts and BAAs</w:t>
            </w:r>
          </w:p>
        </w:tc>
        <w:tc>
          <w:tcPr>
            <w:tcW w:type="dxa" w:w="2016"/>
          </w:tcPr>
          <w:p>
            <w:r>
              <w:rPr>
                <w:sz w:val="18"/>
              </w:rPr>
              <w:t>Term + 6 years</w:t>
            </w:r>
          </w:p>
        </w:tc>
        <w:tc>
          <w:tcPr>
            <w:tcW w:type="dxa" w:w="2160"/>
          </w:tcPr>
          <w:p>
            <w:r>
              <w:rPr>
                <w:sz w:val="18"/>
              </w:rPr>
              <w:t>HIPAA 164.308(b)</w:t>
            </w:r>
          </w:p>
        </w:tc>
        <w:tc>
          <w:tcPr>
            <w:tcW w:type="dxa" w:w="2016"/>
          </w:tcPr>
          <w:p>
            <w:r>
              <w:rPr>
                <w:sz w:val="18"/>
              </w:rPr>
              <w:t>Secure deletion</w:t>
            </w:r>
          </w:p>
        </w:tc>
      </w:tr>
      <w:tr>
        <w:tc>
          <w:tcPr>
            <w:tcW w:type="dxa" w:w="2736"/>
          </w:tcPr>
          <w:p>
            <w:r>
              <w:rPr>
                <w:sz w:val="18"/>
              </w:rPr>
              <w:t>FCC bulletin published content</w:t>
            </w:r>
          </w:p>
        </w:tc>
        <w:tc>
          <w:tcPr>
            <w:tcW w:type="dxa" w:w="2016"/>
          </w:tcPr>
          <w:p>
            <w:r>
              <w:rPr>
                <w:sz w:val="18"/>
              </w:rPr>
              <w:t>Indefinite</w:t>
            </w:r>
          </w:p>
        </w:tc>
        <w:tc>
          <w:tcPr>
            <w:tcW w:type="dxa" w:w="2160"/>
          </w:tcPr>
          <w:p>
            <w:r>
              <w:rPr>
                <w:sz w:val="18"/>
              </w:rPr>
              <w:t>Public content, business value</w:t>
            </w:r>
          </w:p>
        </w:tc>
        <w:tc>
          <w:tcPr>
            <w:tcW w:type="dxa" w:w="2016"/>
          </w:tcPr>
          <w:p>
            <w:r>
              <w:rPr>
                <w:sz w:val="18"/>
              </w:rPr>
              <w:t>N/A</w:t>
            </w:r>
          </w:p>
        </w:tc>
      </w:tr>
      <w:tr>
        <w:tc>
          <w:tcPr>
            <w:tcW w:type="dxa" w:w="2736"/>
          </w:tcPr>
          <w:p>
            <w:r>
              <w:rPr>
                <w:sz w:val="18"/>
              </w:rPr>
              <w:t>Email and business correspondence</w:t>
            </w:r>
          </w:p>
        </w:tc>
        <w:tc>
          <w:tcPr>
            <w:tcW w:type="dxa" w:w="2016"/>
          </w:tcPr>
          <w:p>
            <w:r>
              <w:rPr>
                <w:sz w:val="18"/>
              </w:rPr>
              <w:t>3 years</w:t>
            </w:r>
          </w:p>
        </w:tc>
        <w:tc>
          <w:tcPr>
            <w:tcW w:type="dxa" w:w="2160"/>
          </w:tcPr>
          <w:p>
            <w:r>
              <w:rPr>
                <w:sz w:val="18"/>
              </w:rPr>
              <w:t>Business need</w:t>
            </w:r>
          </w:p>
        </w:tc>
        <w:tc>
          <w:tcPr>
            <w:tcW w:type="dxa" w:w="2016"/>
          </w:tcPr>
          <w:p>
            <w:r>
              <w:rPr>
                <w:sz w:val="18"/>
              </w:rPr>
              <w:t>Automatic expiry</w:t>
            </w:r>
          </w:p>
        </w:tc>
      </w:tr>
    </w:tbl>
    <w:p/>
    <w:p>
      <w:r>
        <w:rPr>
          <w:i/>
          <w:color w:val="5A5A5A"/>
          <w:sz w:val="19"/>
        </w:rPr>
        <w:t>The 6-year floor recurs because HIPAA 164.316(b)(2) requires retention of policies, procedures, and required documentation for six years from creation or last effective date - whichever is later. 'Last effective date' means a policy revised in 2026 starts its six years in 2026, not at original authorship.</w:t>
      </w:r>
    </w:p>
    <w:p>
      <w:pPr>
        <w:pStyle w:val="Heading1"/>
      </w:pPr>
      <w:r>
        <w:t>4. Legal hold</w:t>
      </w:r>
    </w:p>
    <w:p>
      <w:r>
        <w:t>A legal hold suspends all disposal for the data in scope and overrides every schedule in this document.</w:t>
      </w:r>
    </w:p>
    <w:p>
      <w:pPr>
        <w:pStyle w:val="ListNumber"/>
      </w:pPr>
      <w:r>
        <w:t>Legal counsel or the CEO issues the hold in writing, identifying scope and custodians.</w:t>
      </w:r>
    </w:p>
    <w:p>
      <w:pPr>
        <w:pStyle w:val="ListNumber"/>
      </w:pPr>
      <w:r>
        <w:t>The Security Officer suspends automated expiry for the affected stores and records the suspension.</w:t>
      </w:r>
    </w:p>
    <w:p>
      <w:pPr>
        <w:pStyle w:val="ListNumber"/>
      </w:pPr>
      <w:r>
        <w:t>Custodians are notified and acknowledge in writing.</w:t>
      </w:r>
    </w:p>
    <w:p>
      <w:pPr>
        <w:pStyle w:val="ListNumber"/>
      </w:pPr>
      <w:r>
        <w:t>The hold is reviewed quarterly and released only in writing.</w:t>
      </w:r>
    </w:p>
    <w:p>
      <w:pPr>
        <w:pStyle w:val="ListNumber"/>
      </w:pPr>
      <w:r>
        <w:t>On release, normal retention resumes; data already past schedule is disposed of and the disposal is recorded.</w:t>
      </w:r>
    </w:p>
    <w:p>
      <w:r>
        <w:t>Automated expiry is the usual point of failure here. A hold that is issued to people but not applied to the Azure retention setting will be silently defeated by the platform doing exactly what it was configured to do.</w:t>
      </w:r>
    </w:p>
    <w:p>
      <w:pPr>
        <w:pStyle w:val="Heading1"/>
      </w:pPr>
      <w:r>
        <w:t>5. Azure retention configuration</w:t>
      </w:r>
    </w:p>
    <w:tbl>
      <w:tblPr>
        <w:tblStyle w:val="TableGrid"/>
        <w:tblW w:type="auto" w:w="0"/>
        <w:tblLook w:firstColumn="1" w:firstRow="1" w:lastColumn="0" w:lastRow="0" w:noHBand="0" w:noVBand="1" w:val="04A0"/>
      </w:tblPr>
      <w:tblGrid>
        <w:gridCol w:w="3120"/>
        <w:gridCol w:w="3120"/>
        <w:gridCol w:w="3120"/>
      </w:tblGrid>
      <w:tr>
        <w:tc>
          <w:tcPr>
            <w:tcW w:type="dxa" w:w="2304"/>
            <w:shd w:val="clear" w:fill="0F2B4C"/>
          </w:tcPr>
          <w:p>
            <w:r>
              <w:rPr>
                <w:b/>
                <w:color w:val="FFFFFF"/>
                <w:sz w:val="18"/>
              </w:rPr>
              <w:t>Store</w:t>
            </w:r>
          </w:p>
        </w:tc>
        <w:tc>
          <w:tcPr>
            <w:tcW w:type="dxa" w:w="2736"/>
            <w:shd w:val="clear" w:fill="0F2B4C"/>
          </w:tcPr>
          <w:p>
            <w:r>
              <w:rPr>
                <w:b/>
                <w:color w:val="FFFFFF"/>
                <w:sz w:val="18"/>
              </w:rPr>
              <w:t>Setting</w:t>
            </w:r>
          </w:p>
        </w:tc>
        <w:tc>
          <w:tcPr>
            <w:tcW w:type="dxa" w:w="3888"/>
            <w:shd w:val="clear" w:fill="0F2B4C"/>
          </w:tcPr>
          <w:p>
            <w:r>
              <w:rPr>
                <w:b/>
                <w:color w:val="FFFFFF"/>
                <w:sz w:val="18"/>
              </w:rPr>
              <w:t>Configured value</w:t>
            </w:r>
          </w:p>
        </w:tc>
      </w:tr>
      <w:tr>
        <w:tc>
          <w:tcPr>
            <w:tcW w:type="dxa" w:w="2304"/>
          </w:tcPr>
          <w:p>
            <w:r>
              <w:rPr>
                <w:sz w:val="18"/>
              </w:rPr>
              <w:t>Azure PostgreSQL</w:t>
            </w:r>
          </w:p>
        </w:tc>
        <w:tc>
          <w:tcPr>
            <w:tcW w:type="dxa" w:w="2736"/>
          </w:tcPr>
          <w:p>
            <w:r>
              <w:rPr>
                <w:sz w:val="18"/>
              </w:rPr>
              <w:t>Point-in-time restore window</w:t>
            </w:r>
          </w:p>
        </w:tc>
        <w:tc>
          <w:tcPr>
            <w:tcW w:type="dxa" w:w="3888"/>
          </w:tcPr>
          <w:p>
            <w:r>
              <w:rPr>
                <w:sz w:val="18"/>
              </w:rPr>
              <w:t>35 days</w:t>
            </w:r>
          </w:p>
        </w:tc>
      </w:tr>
      <w:tr>
        <w:tc>
          <w:tcPr>
            <w:tcW w:type="dxa" w:w="2304"/>
          </w:tcPr>
          <w:p>
            <w:r>
              <w:rPr>
                <w:sz w:val="18"/>
              </w:rPr>
              <w:t>Azure PostgreSQL</w:t>
            </w:r>
          </w:p>
        </w:tc>
        <w:tc>
          <w:tcPr>
            <w:tcW w:type="dxa" w:w="2736"/>
          </w:tcPr>
          <w:p>
            <w:r>
              <w:rPr>
                <w:sz w:val="18"/>
              </w:rPr>
              <w:t>Geo-redundant backup</w:t>
            </w:r>
          </w:p>
        </w:tc>
        <w:tc>
          <w:tcPr>
            <w:tcW w:type="dxa" w:w="3888"/>
          </w:tcPr>
          <w:p>
            <w:r>
              <w:rPr>
                <w:sz w:val="18"/>
              </w:rPr>
              <w:t>Enabled (must be set at server creation)</w:t>
            </w:r>
          </w:p>
        </w:tc>
      </w:tr>
      <w:tr>
        <w:tc>
          <w:tcPr>
            <w:tcW w:type="dxa" w:w="2304"/>
          </w:tcPr>
          <w:p>
            <w:r>
              <w:rPr>
                <w:sz w:val="18"/>
              </w:rPr>
              <w:t>Application Insights</w:t>
            </w:r>
          </w:p>
        </w:tc>
        <w:tc>
          <w:tcPr>
            <w:tcW w:type="dxa" w:w="2736"/>
          </w:tcPr>
          <w:p>
            <w:r>
              <w:rPr>
                <w:sz w:val="18"/>
              </w:rPr>
              <w:t>Data retention</w:t>
            </w:r>
          </w:p>
        </w:tc>
        <w:tc>
          <w:tcPr>
            <w:tcW w:type="dxa" w:w="3888"/>
          </w:tcPr>
          <w:p>
            <w:r>
              <w:rPr>
                <w:sz w:val="18"/>
              </w:rPr>
              <w:t>90 days default; extended archive for audit data</w:t>
            </w:r>
          </w:p>
        </w:tc>
      </w:tr>
      <w:tr>
        <w:tc>
          <w:tcPr>
            <w:tcW w:type="dxa" w:w="2304"/>
          </w:tcPr>
          <w:p>
            <w:r>
              <w:rPr>
                <w:sz w:val="18"/>
              </w:rPr>
              <w:t>Azure Monitor logs</w:t>
            </w:r>
          </w:p>
        </w:tc>
        <w:tc>
          <w:tcPr>
            <w:tcW w:type="dxa" w:w="2736"/>
          </w:tcPr>
          <w:p>
            <w:r>
              <w:rPr>
                <w:sz w:val="18"/>
              </w:rPr>
              <w:t>Workspace retention</w:t>
            </w:r>
          </w:p>
        </w:tc>
        <w:tc>
          <w:tcPr>
            <w:tcW w:type="dxa" w:w="3888"/>
          </w:tcPr>
          <w:p>
            <w:r>
              <w:rPr>
                <w:sz w:val="18"/>
              </w:rPr>
              <w:t>Configured to meet the 6-year audit requirement</w:t>
            </w:r>
          </w:p>
        </w:tc>
      </w:tr>
      <w:tr>
        <w:tc>
          <w:tcPr>
            <w:tcW w:type="dxa" w:w="2304"/>
          </w:tcPr>
          <w:p>
            <w:r>
              <w:rPr>
                <w:sz w:val="18"/>
              </w:rPr>
              <w:t>Blob storage</w:t>
            </w:r>
          </w:p>
        </w:tc>
        <w:tc>
          <w:tcPr>
            <w:tcW w:type="dxa" w:w="2736"/>
          </w:tcPr>
          <w:p>
            <w:r>
              <w:rPr>
                <w:sz w:val="18"/>
              </w:rPr>
              <w:t>Lifecycle management</w:t>
            </w:r>
          </w:p>
        </w:tc>
        <w:tc>
          <w:tcPr>
            <w:tcW w:type="dxa" w:w="3888"/>
          </w:tcPr>
          <w:p>
            <w:r>
              <w:rPr>
                <w:sz w:val="18"/>
              </w:rPr>
              <w:t>Tier to cool at 90 days; delete per schedule</w:t>
            </w:r>
          </w:p>
        </w:tc>
      </w:tr>
    </w:tbl>
    <w:p/>
    <w:p>
      <w:r>
        <w:rPr>
          <w:i/>
          <w:color w:val="5A5A5A"/>
          <w:sz w:val="19"/>
        </w:rPr>
        <w:t>Geo-redundant backup on Azure Database for PostgreSQL Flexible Server can only be enabled at server creation time. It cannot be turned on later. Any migration or rebuild is the only opportunity to correct this, which makes it a cutover-time checklist item rather than a backlog item.</w:t>
      </w:r>
    </w:p>
    <w:p>
      <w:pPr>
        <w:pStyle w:val="Heading1"/>
      </w:pPr>
      <w:r>
        <w:t>6. Disposal</w:t>
      </w:r>
    </w:p>
    <w:p>
      <w:pPr>
        <w:pStyle w:val="ListBullet"/>
      </w:pPr>
      <w:r>
        <w:t>Electronic media: cryptographic erase where the medium is encrypted, otherwise NIST SP 800-88 purge.</w:t>
      </w:r>
    </w:p>
    <w:p>
      <w:pPr>
        <w:pStyle w:val="ListBullet"/>
      </w:pPr>
      <w:r>
        <w:t>Cloud data: deletion through the platform API, relying on Azure's media sanitization for the underlying storage (inherited control).</w:t>
      </w:r>
    </w:p>
    <w:p>
      <w:pPr>
        <w:pStyle w:val="ListBullet"/>
      </w:pPr>
      <w:r>
        <w:t>Paper: cross-cut shredding.</w:t>
      </w:r>
    </w:p>
    <w:p>
      <w:pPr>
        <w:pStyle w:val="ListBullet"/>
      </w:pPr>
      <w:r>
        <w:t>Disposal of Restricted data is recorded: what, when, method, and by whom.</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 / Legal</w:t>
            </w:r>
          </w:p>
        </w:tc>
        <w:tc>
          <w:tcPr>
            <w:tcW w:type="dxa" w:w="6336"/>
          </w:tcPr>
          <w:p>
            <w:r>
              <w:rPr>
                <w:sz w:val="18"/>
              </w:rPr>
              <w:t>Issues and releases legal holds.</w:t>
            </w:r>
          </w:p>
        </w:tc>
      </w:tr>
      <w:tr>
        <w:tc>
          <w:tcPr>
            <w:tcW w:type="dxa" w:w="2592"/>
          </w:tcPr>
          <w:p>
            <w:r>
              <w:rPr>
                <w:sz w:val="18"/>
              </w:rPr>
              <w:t>Privacy Officer</w:t>
            </w:r>
          </w:p>
        </w:tc>
        <w:tc>
          <w:tcPr>
            <w:tcW w:type="dxa" w:w="6336"/>
          </w:tcPr>
          <w:p>
            <w:r>
              <w:rPr>
                <w:sz w:val="18"/>
              </w:rPr>
              <w:t>Determines retention for PHI categories.</w:t>
            </w:r>
          </w:p>
        </w:tc>
      </w:tr>
      <w:tr>
        <w:tc>
          <w:tcPr>
            <w:tcW w:type="dxa" w:w="2592"/>
          </w:tcPr>
          <w:p>
            <w:r>
              <w:rPr>
                <w:sz w:val="18"/>
              </w:rPr>
              <w:t>Security Officer</w:t>
            </w:r>
          </w:p>
        </w:tc>
        <w:tc>
          <w:tcPr>
            <w:tcW w:type="dxa" w:w="6336"/>
          </w:tcPr>
          <w:p>
            <w:r>
              <w:rPr>
                <w:sz w:val="18"/>
              </w:rPr>
              <w:t>Configures and verifies retention settings; records disposal.</w:t>
            </w:r>
          </w:p>
        </w:tc>
      </w:tr>
      <w:tr>
        <w:tc>
          <w:tcPr>
            <w:tcW w:type="dxa" w:w="2592"/>
          </w:tcPr>
          <w:p>
            <w:r>
              <w:rPr>
                <w:sz w:val="18"/>
              </w:rPr>
              <w:t>Engineering</w:t>
            </w:r>
          </w:p>
        </w:tc>
        <w:tc>
          <w:tcPr>
            <w:tcW w:type="dxa" w:w="6336"/>
          </w:tcPr>
          <w:p>
            <w:r>
              <w:rPr>
                <w:sz w:val="18"/>
              </w:rPr>
              <w:t>Implements automated expiry consistent with this schedule.</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AU-11, SI-12, MP-6</w:t>
            </w:r>
          </w:p>
        </w:tc>
        <w:tc>
          <w:tcPr>
            <w:tcW w:type="dxa" w:w="4320"/>
          </w:tcPr>
          <w:p>
            <w:r>
              <w:rPr>
                <w:sz w:val="18"/>
              </w:rPr>
              <w:t>Audit record retention, information handling, media sanitization.</w:t>
            </w:r>
          </w:p>
        </w:tc>
        <w:tc>
          <w:tcPr>
            <w:tcW w:type="dxa" w:w="1152"/>
          </w:tcPr>
          <w:p>
            <w:r>
              <w:rPr>
                <w:sz w:val="18"/>
              </w:rPr>
              <w:t>Met</w:t>
            </w:r>
          </w:p>
        </w:tc>
      </w:tr>
      <w:tr>
        <w:tc>
          <w:tcPr>
            <w:tcW w:type="dxa" w:w="1584"/>
          </w:tcPr>
          <w:p>
            <w:r>
              <w:rPr>
                <w:sz w:val="18"/>
              </w:rPr>
              <w:t>HIPAA</w:t>
            </w:r>
          </w:p>
        </w:tc>
        <w:tc>
          <w:tcPr>
            <w:tcW w:type="dxa" w:w="2160"/>
          </w:tcPr>
          <w:p>
            <w:r>
              <w:rPr>
                <w:sz w:val="18"/>
              </w:rPr>
              <w:t>164.316(b)(2)</w:t>
            </w:r>
          </w:p>
        </w:tc>
        <w:tc>
          <w:tcPr>
            <w:tcW w:type="dxa" w:w="4320"/>
          </w:tcPr>
          <w:p>
            <w:r>
              <w:rPr>
                <w:sz w:val="18"/>
              </w:rPr>
              <w:t>Six-year retention of required documentation.</w:t>
            </w:r>
          </w:p>
        </w:tc>
        <w:tc>
          <w:tcPr>
            <w:tcW w:type="dxa" w:w="1152"/>
          </w:tcPr>
          <w:p>
            <w:r>
              <w:rPr>
                <w:sz w:val="18"/>
              </w:rPr>
              <w:t>Met</w:t>
            </w:r>
          </w:p>
        </w:tc>
      </w:tr>
      <w:tr>
        <w:tc>
          <w:tcPr>
            <w:tcW w:type="dxa" w:w="1584"/>
          </w:tcPr>
          <w:p>
            <w:r>
              <w:rPr>
                <w:sz w:val="18"/>
              </w:rPr>
              <w:t>HIPAA</w:t>
            </w:r>
          </w:p>
        </w:tc>
        <w:tc>
          <w:tcPr>
            <w:tcW w:type="dxa" w:w="2160"/>
          </w:tcPr>
          <w:p>
            <w:r>
              <w:rPr>
                <w:sz w:val="18"/>
              </w:rPr>
              <w:t>164.310(d)(2)(i)</w:t>
            </w:r>
          </w:p>
        </w:tc>
        <w:tc>
          <w:tcPr>
            <w:tcW w:type="dxa" w:w="4320"/>
          </w:tcPr>
          <w:p>
            <w:r>
              <w:rPr>
                <w:sz w:val="18"/>
              </w:rPr>
              <w:t>Disposal of media containing ePHI.</w:t>
            </w:r>
          </w:p>
        </w:tc>
        <w:tc>
          <w:tcPr>
            <w:tcW w:type="dxa" w:w="1152"/>
          </w:tcPr>
          <w:p>
            <w:r>
              <w:rPr>
                <w:sz w:val="18"/>
              </w:rPr>
              <w:t>Met</w:t>
            </w:r>
          </w:p>
        </w:tc>
      </w:tr>
      <w:tr>
        <w:tc>
          <w:tcPr>
            <w:tcW w:type="dxa" w:w="1584"/>
          </w:tcPr>
          <w:p>
            <w:r>
              <w:rPr>
                <w:sz w:val="18"/>
              </w:rPr>
              <w:t>SOC 2</w:t>
            </w:r>
          </w:p>
        </w:tc>
        <w:tc>
          <w:tcPr>
            <w:tcW w:type="dxa" w:w="2160"/>
          </w:tcPr>
          <w:p>
            <w:r>
              <w:rPr>
                <w:sz w:val="18"/>
              </w:rPr>
              <w:t>CC6.5, C1.2</w:t>
            </w:r>
          </w:p>
        </w:tc>
        <w:tc>
          <w:tcPr>
            <w:tcW w:type="dxa" w:w="4320"/>
          </w:tcPr>
          <w:p>
            <w:r>
              <w:rPr>
                <w:sz w:val="18"/>
              </w:rPr>
              <w:t>Disposal of data; confidential information retention.</w:t>
            </w:r>
          </w:p>
        </w:tc>
        <w:tc>
          <w:tcPr>
            <w:tcW w:type="dxa" w:w="1152"/>
          </w:tcPr>
          <w:p>
            <w:r>
              <w:rPr>
                <w:sz w:val="18"/>
              </w:rPr>
              <w:t>Met</w:t>
            </w:r>
          </w:p>
        </w:tc>
      </w:tr>
      <w:tr>
        <w:tc>
          <w:tcPr>
            <w:tcW w:type="dxa" w:w="1584"/>
          </w:tcPr>
          <w:p>
            <w:r>
              <w:rPr>
                <w:sz w:val="18"/>
              </w:rPr>
              <w:t>ISO 27001</w:t>
            </w:r>
          </w:p>
        </w:tc>
        <w:tc>
          <w:tcPr>
            <w:tcW w:type="dxa" w:w="2160"/>
          </w:tcPr>
          <w:p>
            <w:r>
              <w:rPr>
                <w:sz w:val="18"/>
              </w:rPr>
              <w:t>A.5.33, A.8.10</w:t>
            </w:r>
          </w:p>
        </w:tc>
        <w:tc>
          <w:tcPr>
            <w:tcW w:type="dxa" w:w="4320"/>
          </w:tcPr>
          <w:p>
            <w:r>
              <w:rPr>
                <w:sz w:val="18"/>
              </w:rPr>
              <w:t>Protection of records; information deletion.</w:t>
            </w:r>
          </w:p>
        </w:tc>
        <w:tc>
          <w:tcPr>
            <w:tcW w:type="dxa" w:w="1152"/>
          </w:tcPr>
          <w:p>
            <w:r>
              <w:rPr>
                <w:sz w:val="18"/>
              </w:rPr>
              <w:t>Met</w:t>
            </w:r>
          </w:p>
        </w:tc>
      </w:tr>
      <w:tr>
        <w:tc>
          <w:tcPr>
            <w:tcW w:type="dxa" w:w="1584"/>
          </w:tcPr>
          <w:p>
            <w:r>
              <w:rPr>
                <w:sz w:val="18"/>
              </w:rPr>
              <w:t>FedRAMP</w:t>
            </w:r>
          </w:p>
        </w:tc>
        <w:tc>
          <w:tcPr>
            <w:tcW w:type="dxa" w:w="2160"/>
          </w:tcPr>
          <w:p>
            <w:r>
              <w:rPr>
                <w:sz w:val="18"/>
              </w:rPr>
              <w:t>AU-11</w:t>
            </w:r>
          </w:p>
        </w:tc>
        <w:tc>
          <w:tcPr>
            <w:tcW w:type="dxa" w:w="4320"/>
          </w:tcPr>
          <w:p>
            <w:r>
              <w:rPr>
                <w:sz w:val="18"/>
              </w:rPr>
              <w:t>Audit record retention consistent with MODERATE baseline.</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Defines the categories retained here</w:t>
            </w:r>
          </w:p>
        </w:tc>
      </w:tr>
      <w:tr>
        <w:tc>
          <w:tcPr>
            <w:tcW w:type="dxa" w:w="1872"/>
          </w:tcPr>
          <w:p>
            <w:r>
              <w:rPr>
                <w:sz w:val="18"/>
              </w:rPr>
              <w:t>AGT-MPP-008</w:t>
            </w:r>
          </w:p>
        </w:tc>
        <w:tc>
          <w:tcPr>
            <w:tcW w:type="dxa" w:w="4176"/>
          </w:tcPr>
          <w:p>
            <w:r>
              <w:rPr>
                <w:sz w:val="18"/>
              </w:rPr>
              <w:t>Media Protection Policy</w:t>
            </w:r>
          </w:p>
        </w:tc>
        <w:tc>
          <w:tcPr>
            <w:tcW w:type="dxa" w:w="3168"/>
          </w:tcPr>
          <w:p>
            <w:r>
              <w:rPr>
                <w:sz w:val="18"/>
              </w:rPr>
              <w:t>Disposal method detail</w:t>
            </w:r>
          </w:p>
        </w:tc>
      </w:tr>
      <w:tr>
        <w:tc>
          <w:tcPr>
            <w:tcW w:type="dxa" w:w="1872"/>
          </w:tcPr>
          <w:p>
            <w:r>
              <w:rPr>
                <w:sz w:val="18"/>
              </w:rPr>
              <w:t>AGT-BKP-019</w:t>
            </w:r>
          </w:p>
        </w:tc>
        <w:tc>
          <w:tcPr>
            <w:tcW w:type="dxa" w:w="4176"/>
          </w:tcPr>
          <w:p>
            <w:r>
              <w:rPr>
                <w:sz w:val="18"/>
              </w:rPr>
              <w:t>Backup Policy</w:t>
            </w:r>
          </w:p>
        </w:tc>
        <w:tc>
          <w:tcPr>
            <w:tcW w:type="dxa" w:w="3168"/>
          </w:tcPr>
          <w:p>
            <w:r>
              <w:rPr>
                <w:sz w:val="18"/>
              </w:rPr>
              <w:t>Backup retention interacts with this schedule</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Log retention requirements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AGT-DRP-007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