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C"/>
          <w:sz w:val="88"/>
        </w:rPr>
        <w:t>AGT</w:t>
      </w:r>
    </w:p>
    <w:p>
      <w:pPr>
        <w:jc w:val="center"/>
      </w:pPr>
      <w:r>
        <w:rPr>
          <w:color w:val="5A5A5A"/>
          <w:sz w:val="26"/>
        </w:rPr>
        <w:t>Alliance Global Tech Inc.</w:t>
      </w:r>
    </w:p>
    <w:p/>
    <w:p>
      <w:pPr>
        <w:jc w:val="center"/>
      </w:pPr>
      <w:r>
        <w:rPr>
          <w:b/>
          <w:color w:val="0F2B4C"/>
          <w:sz w:val="48"/>
        </w:rPr>
        <w:t>HIPAA Organizational Risk Assessment</w:t>
      </w:r>
    </w:p>
    <w:p>
      <w:pPr>
        <w:jc w:val="center"/>
      </w:pPr>
      <w:r>
        <w:rPr>
          <w:i/>
          <w:color w:val="0F6CBD"/>
          <w:sz w:val="26"/>
        </w:rPr>
        <w:t>DocuAction TEFCA ARC</w:t>
      </w:r>
    </w:p>
    <w:p/>
    <w:p/>
    <w:p/>
    <w:tbl>
      <w:tblPr>
        <w:tblStyle w:val="TableGrid"/>
        <w:tblW w:type="auto" w:w="0"/>
        <w:jc w:val="center"/>
        <w:tblLook w:firstColumn="1" w:firstRow="1" w:lastColumn="0" w:lastRow="0" w:noHBand="0" w:noVBand="1" w:val="04A0"/>
      </w:tblPr>
      <w:tblGrid>
        <w:gridCol w:w="4680"/>
        <w:gridCol w:w="4680"/>
      </w:tblGrid>
      <w:tr>
        <w:tc>
          <w:tcPr>
            <w:tcW w:type="dxa" w:w="2736"/>
            <w:shd w:val="clear" w:fill="EEF3F8"/>
          </w:tcPr>
          <w:p>
            <w:r>
              <w:rPr>
                <w:b/>
                <w:sz w:val="20"/>
              </w:rPr>
              <w:t>Document ID</w:t>
            </w:r>
          </w:p>
        </w:tc>
        <w:tc>
          <w:tcPr>
            <w:tcW w:type="dxa" w:w="5184"/>
          </w:tcPr>
          <w:p>
            <w:r>
              <w:rPr>
                <w:sz w:val="20"/>
              </w:rPr>
              <w:t>AGT-HIRA-025</w:t>
            </w:r>
          </w:p>
        </w:tc>
      </w:tr>
      <w:tr>
        <w:tc>
          <w:tcPr>
            <w:tcW w:type="dxa" w:w="2736"/>
            <w:shd w:val="clear" w:fill="EEF3F8"/>
          </w:tcPr>
          <w:p>
            <w:r>
              <w:rPr>
                <w:b/>
                <w:sz w:val="20"/>
              </w:rPr>
              <w:t>Version</w:t>
            </w:r>
          </w:p>
        </w:tc>
        <w:tc>
          <w:tcPr>
            <w:tcW w:type="dxa" w:w="5184"/>
          </w:tcPr>
          <w:p>
            <w:r>
              <w:rPr>
                <w:sz w:val="20"/>
              </w:rPr>
              <w:t>1.0</w:t>
            </w:r>
          </w:p>
        </w:tc>
      </w:tr>
      <w:tr>
        <w:tc>
          <w:tcPr>
            <w:tcW w:type="dxa" w:w="2736"/>
            <w:shd w:val="clear" w:fill="EEF3F8"/>
          </w:tcPr>
          <w:p>
            <w:r>
              <w:rPr>
                <w:b/>
                <w:sz w:val="20"/>
              </w:rPr>
              <w:t>Effective date</w:t>
            </w:r>
          </w:p>
        </w:tc>
        <w:tc>
          <w:tcPr>
            <w:tcW w:type="dxa" w:w="5184"/>
          </w:tcPr>
          <w:p>
            <w:r>
              <w:rPr>
                <w:sz w:val="20"/>
              </w:rPr>
              <w:t>2026-07-28</w:t>
            </w:r>
          </w:p>
        </w:tc>
      </w:tr>
      <w:tr>
        <w:tc>
          <w:tcPr>
            <w:tcW w:type="dxa" w:w="2736"/>
            <w:shd w:val="clear" w:fill="EEF3F8"/>
          </w:tcPr>
          <w:p>
            <w:r>
              <w:rPr>
                <w:b/>
                <w:sz w:val="20"/>
              </w:rPr>
              <w:t>Classification</w:t>
            </w:r>
          </w:p>
        </w:tc>
        <w:tc>
          <w:tcPr>
            <w:tcW w:type="dxa" w:w="5184"/>
          </w:tcPr>
          <w:p>
            <w:r>
              <w:rPr>
                <w:sz w:val="20"/>
              </w:rPr>
              <w:t>Internal</w:t>
            </w:r>
          </w:p>
        </w:tc>
      </w:tr>
      <w:tr>
        <w:tc>
          <w:tcPr>
            <w:tcW w:type="dxa" w:w="2736"/>
            <w:shd w:val="clear" w:fill="EEF3F8"/>
          </w:tcPr>
          <w:p>
            <w:r>
              <w:rPr>
                <w:b/>
                <w:sz w:val="20"/>
              </w:rPr>
              <w:t>Owner</w:t>
            </w:r>
          </w:p>
        </w:tc>
        <w:tc>
          <w:tcPr>
            <w:tcW w:type="dxa" w:w="5184"/>
          </w:tcPr>
          <w:p>
            <w:r>
              <w:rPr>
                <w:sz w:val="20"/>
              </w:rPr>
              <w:t>Chief Executive Officer, AGT</w:t>
            </w:r>
          </w:p>
        </w:tc>
      </w:tr>
      <w:tr>
        <w:tc>
          <w:tcPr>
            <w:tcW w:type="dxa" w:w="2736"/>
            <w:shd w:val="clear" w:fill="EEF3F8"/>
          </w:tcPr>
          <w:p>
            <w:r>
              <w:rPr>
                <w:b/>
                <w:sz w:val="20"/>
              </w:rPr>
              <w:t>Approved by</w:t>
            </w:r>
          </w:p>
        </w:tc>
        <w:tc>
          <w:tcPr>
            <w:tcW w:type="dxa" w:w="5184"/>
          </w:tcPr>
          <w:p>
            <w:r>
              <w:rPr>
                <w:sz w:val="20"/>
              </w:rPr>
              <w:t>Imran Siddiqui</w:t>
            </w:r>
          </w:p>
        </w:tc>
      </w:tr>
      <w:tr>
        <w:tc>
          <w:tcPr>
            <w:tcW w:type="dxa" w:w="2736"/>
            <w:shd w:val="clear" w:fill="EEF3F8"/>
          </w:tcPr>
          <w:p>
            <w:r>
              <w:rPr>
                <w:b/>
                <w:sz w:val="20"/>
              </w:rPr>
              <w:t>Review cycle</w:t>
            </w:r>
          </w:p>
        </w:tc>
        <w:tc>
          <w:tcPr>
            <w:tcW w:type="dxa" w:w="5184"/>
          </w:tcPr>
          <w:p>
            <w:r>
              <w:rPr>
                <w:sz w:val="20"/>
              </w:rPr>
              <w:t>Annual, or on material change</w:t>
            </w:r>
          </w:p>
        </w:tc>
      </w:tr>
    </w:tbl>
    <w:p>
      <w:r>
        <w:br w:type="page"/>
      </w:r>
    </w:p>
    <w:p>
      <w:pPr>
        <w:pStyle w:val="Heading1"/>
      </w:pPr>
      <w:r>
        <w:t>1. Purpose</w:t>
      </w:r>
    </w:p>
    <w:p>
      <w:r>
        <w:t>This assessment satisfies the HIPAA Security Rule requirement at 45 CFR 164.308(a)(1)(ii)(A) to conduct an accurate and thorough assessment of the potential risks and vulnerabilities to the confidentiality, integrity, and availability of electronic protected health information held by AGT.</w:t>
      </w:r>
    </w:p>
    <w:p>
      <w:pPr>
        <w:pStyle w:val="Heading1"/>
      </w:pPr>
      <w:r>
        <w:t>2. Scope</w:t>
      </w:r>
    </w:p>
    <w:p>
      <w:r>
        <w:t>This policy applies to all Alliance Global Tech Inc. (AGT) personnel, contractors, and third parties who access, operate, or support the DocuAction TEFCA ARC platform or its supporting Azure infrastructure. It covers production, development, and any environment holding customer data, protected health information (PHI), or controlled unclassified information (CUI).</w:t>
      </w:r>
    </w:p>
    <w:p>
      <w:pPr>
        <w:pStyle w:val="Heading2"/>
      </w:pPr>
      <w:r>
        <w:t>System context</w:t>
      </w:r>
    </w:p>
    <w:p>
      <w:r>
        <w:t>This document applies to DocuAction TEFCA ARC, operated by Alliance Global Tech Inc. on Microsoft Azure. The control descriptions in this document are written against the following implementation, not against a generic reference architecture.</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Layer</w:t>
            </w:r>
          </w:p>
        </w:tc>
        <w:tc>
          <w:tcPr>
            <w:tcW w:type="dxa" w:w="6336"/>
            <w:shd w:val="clear" w:fill="0F2B4C"/>
          </w:tcPr>
          <w:p>
            <w:r>
              <w:rPr>
                <w:b/>
                <w:color w:val="FFFFFF"/>
                <w:sz w:val="18"/>
              </w:rPr>
              <w:t>Implementation</w:t>
            </w:r>
          </w:p>
        </w:tc>
      </w:tr>
      <w:tr>
        <w:tc>
          <w:tcPr>
            <w:tcW w:type="dxa" w:w="2592"/>
          </w:tcPr>
          <w:p>
            <w:r>
              <w:rPr>
                <w:sz w:val="18"/>
              </w:rPr>
              <w:t>Frontend</w:t>
            </w:r>
          </w:p>
        </w:tc>
        <w:tc>
          <w:tcPr>
            <w:tcW w:type="dxa" w:w="6336"/>
          </w:tcPr>
          <w:p>
            <w:r>
              <w:rPr>
                <w:sz w:val="18"/>
              </w:rPr>
              <w:t>Next.js 14 (React), static export, Azure Static Web Apps</w:t>
            </w:r>
          </w:p>
        </w:tc>
      </w:tr>
      <w:tr>
        <w:tc>
          <w:tcPr>
            <w:tcW w:type="dxa" w:w="2592"/>
          </w:tcPr>
          <w:p>
            <w:r>
              <w:rPr>
                <w:sz w:val="18"/>
              </w:rPr>
              <w:t>Backend</w:t>
            </w:r>
          </w:p>
        </w:tc>
        <w:tc>
          <w:tcPr>
            <w:tcW w:type="dxa" w:w="6336"/>
          </w:tcPr>
          <w:p>
            <w:r>
              <w:rPr>
                <w:sz w:val="18"/>
              </w:rPr>
              <w:t>FastAPI on Python 3.12, Azure App Service (Linux)</w:t>
            </w:r>
          </w:p>
        </w:tc>
      </w:tr>
      <w:tr>
        <w:tc>
          <w:tcPr>
            <w:tcW w:type="dxa" w:w="2592"/>
          </w:tcPr>
          <w:p>
            <w:r>
              <w:rPr>
                <w:sz w:val="18"/>
              </w:rPr>
              <w:t>Database</w:t>
            </w:r>
          </w:p>
        </w:tc>
        <w:tc>
          <w:tcPr>
            <w:tcW w:type="dxa" w:w="6336"/>
          </w:tcPr>
          <w:p>
            <w:r>
              <w:rPr>
                <w:sz w:val="18"/>
              </w:rPr>
              <w:t>Azure Database for PostgreSQL - Flexible Server, geo-redundant</w:t>
            </w:r>
          </w:p>
        </w:tc>
      </w:tr>
      <w:tr>
        <w:tc>
          <w:tcPr>
            <w:tcW w:type="dxa" w:w="2592"/>
          </w:tcPr>
          <w:p>
            <w:r>
              <w:rPr>
                <w:sz w:val="18"/>
              </w:rPr>
              <w:t>Identity</w:t>
            </w:r>
          </w:p>
        </w:tc>
        <w:tc>
          <w:tcPr>
            <w:tcW w:type="dxa" w:w="6336"/>
          </w:tcPr>
          <w:p>
            <w:r>
              <w:rPr>
                <w:sz w:val="18"/>
              </w:rPr>
              <w:t>Microsoft Entra ID; OAuth 2.0, OIDC, JWT bearer, RBAC, MFA</w:t>
            </w:r>
          </w:p>
        </w:tc>
      </w:tr>
      <w:tr>
        <w:tc>
          <w:tcPr>
            <w:tcW w:type="dxa" w:w="2592"/>
          </w:tcPr>
          <w:p>
            <w:r>
              <w:rPr>
                <w:sz w:val="18"/>
              </w:rPr>
              <w:t>Secrets</w:t>
            </w:r>
          </w:p>
        </w:tc>
        <w:tc>
          <w:tcPr>
            <w:tcW w:type="dxa" w:w="6336"/>
          </w:tcPr>
          <w:p>
            <w:r>
              <w:rPr>
                <w:sz w:val="18"/>
              </w:rPr>
              <w:t>Azure Key Vault, resolved at runtime by system-assigned managed identity</w:t>
            </w:r>
          </w:p>
        </w:tc>
      </w:tr>
      <w:tr>
        <w:tc>
          <w:tcPr>
            <w:tcW w:type="dxa" w:w="2592"/>
          </w:tcPr>
          <w:p>
            <w:r>
              <w:rPr>
                <w:sz w:val="18"/>
              </w:rPr>
              <w:t>Monitoring</w:t>
            </w:r>
          </w:p>
        </w:tc>
        <w:tc>
          <w:tcPr>
            <w:tcW w:type="dxa" w:w="6336"/>
          </w:tcPr>
          <w:p>
            <w:r>
              <w:rPr>
                <w:sz w:val="18"/>
              </w:rPr>
              <w:t>Azure Monitor and Application Insights</w:t>
            </w:r>
          </w:p>
        </w:tc>
      </w:tr>
      <w:tr>
        <w:tc>
          <w:tcPr>
            <w:tcW w:type="dxa" w:w="2592"/>
          </w:tcPr>
          <w:p>
            <w:r>
              <w:rPr>
                <w:sz w:val="18"/>
              </w:rPr>
              <w:t>Healthcare standards</w:t>
            </w:r>
          </w:p>
        </w:tc>
        <w:tc>
          <w:tcPr>
            <w:tcW w:type="dxa" w:w="6336"/>
          </w:tcPr>
          <w:p>
            <w:r>
              <w:rPr>
                <w:sz w:val="18"/>
              </w:rPr>
              <w:t>FHIR R4, HL7, TEFCA Common Agreement / RCE IG v1.14.0</w:t>
            </w:r>
          </w:p>
        </w:tc>
      </w:tr>
      <w:tr>
        <w:tc>
          <w:tcPr>
            <w:tcW w:type="dxa" w:w="2592"/>
          </w:tcPr>
          <w:p>
            <w:r>
              <w:rPr>
                <w:sz w:val="18"/>
              </w:rPr>
              <w:t>Certifications</w:t>
            </w:r>
          </w:p>
        </w:tc>
        <w:tc>
          <w:tcPr>
            <w:tcW w:type="dxa" w:w="6336"/>
          </w:tcPr>
          <w:p>
            <w:r>
              <w:rPr>
                <w:sz w:val="18"/>
              </w:rPr>
              <w:t>CMMI Level 3, ISO 27001, ISO 9001, ISO 20000-1, DoD Final Contractor</w:t>
            </w:r>
          </w:p>
        </w:tc>
      </w:tr>
    </w:tbl>
    <w:p/>
    <w:p>
      <w:pPr>
        <w:pStyle w:val="Heading1"/>
      </w:pPr>
      <w:r>
        <w:t>3. Scope and ePHI inventory</w:t>
      </w:r>
    </w:p>
    <w:tbl>
      <w:tblPr>
        <w:tblStyle w:val="TableGrid"/>
        <w:tblW w:type="auto" w:w="0"/>
        <w:tblLook w:firstColumn="1" w:firstRow="1" w:lastColumn="0" w:lastRow="0" w:noHBand="0" w:noVBand="1" w:val="04A0"/>
      </w:tblPr>
      <w:tblGrid>
        <w:gridCol w:w="2340"/>
        <w:gridCol w:w="2340"/>
        <w:gridCol w:w="2340"/>
        <w:gridCol w:w="2340"/>
      </w:tblGrid>
      <w:tr>
        <w:tc>
          <w:tcPr>
            <w:tcW w:type="dxa" w:w="2304"/>
            <w:shd w:val="clear" w:fill="0F2B4C"/>
          </w:tcPr>
          <w:p>
            <w:r>
              <w:rPr>
                <w:b/>
                <w:color w:val="FFFFFF"/>
                <w:sz w:val="18"/>
              </w:rPr>
              <w:t>System or flow</w:t>
            </w:r>
          </w:p>
        </w:tc>
        <w:tc>
          <w:tcPr>
            <w:tcW w:type="dxa" w:w="2736"/>
            <w:shd w:val="clear" w:fill="0F2B4C"/>
          </w:tcPr>
          <w:p>
            <w:r>
              <w:rPr>
                <w:b/>
                <w:color w:val="FFFFFF"/>
                <w:sz w:val="18"/>
              </w:rPr>
              <w:t>ePHI involved</w:t>
            </w:r>
          </w:p>
        </w:tc>
        <w:tc>
          <w:tcPr>
            <w:tcW w:type="dxa" w:w="1872"/>
            <w:shd w:val="clear" w:fill="0F2B4C"/>
          </w:tcPr>
          <w:p>
            <w:r>
              <w:rPr>
                <w:b/>
                <w:color w:val="FFFFFF"/>
                <w:sz w:val="18"/>
              </w:rPr>
              <w:t>State</w:t>
            </w:r>
          </w:p>
        </w:tc>
        <w:tc>
          <w:tcPr>
            <w:tcW w:type="dxa" w:w="2016"/>
            <w:shd w:val="clear" w:fill="0F2B4C"/>
          </w:tcPr>
          <w:p>
            <w:r>
              <w:rPr>
                <w:b/>
                <w:color w:val="FFFFFF"/>
                <w:sz w:val="18"/>
              </w:rPr>
              <w:t>Safeguard</w:t>
            </w:r>
          </w:p>
        </w:tc>
      </w:tr>
      <w:tr>
        <w:tc>
          <w:tcPr>
            <w:tcW w:type="dxa" w:w="2304"/>
          </w:tcPr>
          <w:p>
            <w:r>
              <w:rPr>
                <w:sz w:val="18"/>
              </w:rPr>
              <w:t>Case-management note generation</w:t>
            </w:r>
          </w:p>
        </w:tc>
        <w:tc>
          <w:tcPr>
            <w:tcW w:type="dxa" w:w="2736"/>
          </w:tcPr>
          <w:p>
            <w:r>
              <w:rPr>
                <w:sz w:val="18"/>
              </w:rPr>
              <w:t>Clinical text supplied by users</w:t>
            </w:r>
          </w:p>
        </w:tc>
        <w:tc>
          <w:tcPr>
            <w:tcW w:type="dxa" w:w="1872"/>
          </w:tcPr>
          <w:p>
            <w:r>
              <w:rPr>
                <w:sz w:val="18"/>
              </w:rPr>
              <w:t>In transit and in process</w:t>
            </w:r>
          </w:p>
        </w:tc>
        <w:tc>
          <w:tcPr>
            <w:tcW w:type="dxa" w:w="2016"/>
          </w:tcPr>
          <w:p>
            <w:r>
              <w:rPr>
                <w:sz w:val="18"/>
              </w:rPr>
              <w:t>TLS; router-level authentication and audit</w:t>
            </w:r>
          </w:p>
        </w:tc>
      </w:tr>
      <w:tr>
        <w:tc>
          <w:tcPr>
            <w:tcW w:type="dxa" w:w="2304"/>
          </w:tcPr>
          <w:p>
            <w:r>
              <w:rPr>
                <w:sz w:val="18"/>
              </w:rPr>
              <w:t>Audio transcription pipeline</w:t>
            </w:r>
          </w:p>
        </w:tc>
        <w:tc>
          <w:tcPr>
            <w:tcW w:type="dxa" w:w="2736"/>
          </w:tcPr>
          <w:p>
            <w:r>
              <w:rPr>
                <w:sz w:val="18"/>
              </w:rPr>
              <w:t>Recorded clinical audio and transcripts</w:t>
            </w:r>
          </w:p>
        </w:tc>
        <w:tc>
          <w:tcPr>
            <w:tcW w:type="dxa" w:w="1872"/>
          </w:tcPr>
          <w:p>
            <w:r>
              <w:rPr>
                <w:sz w:val="18"/>
              </w:rPr>
              <w:t>In transit to a third party</w:t>
            </w:r>
          </w:p>
        </w:tc>
        <w:tc>
          <w:tcPr>
            <w:tcW w:type="dxa" w:w="2016"/>
          </w:tcPr>
          <w:p>
            <w:r>
              <w:rPr>
                <w:sz w:val="18"/>
              </w:rPr>
              <w:t>TLS; no pre-transmission redaction - see finding F-01</w:t>
            </w:r>
          </w:p>
        </w:tc>
      </w:tr>
      <w:tr>
        <w:tc>
          <w:tcPr>
            <w:tcW w:type="dxa" w:w="2304"/>
          </w:tcPr>
          <w:p>
            <w:r>
              <w:rPr>
                <w:sz w:val="18"/>
              </w:rPr>
              <w:t>Azure PostgreSQL</w:t>
            </w:r>
          </w:p>
        </w:tc>
        <w:tc>
          <w:tcPr>
            <w:tcW w:type="dxa" w:w="2736"/>
          </w:tcPr>
          <w:p>
            <w:r>
              <w:rPr>
                <w:sz w:val="18"/>
              </w:rPr>
              <w:t>Persisted clinical records where a customer stores them</w:t>
            </w:r>
          </w:p>
        </w:tc>
        <w:tc>
          <w:tcPr>
            <w:tcW w:type="dxa" w:w="1872"/>
          </w:tcPr>
          <w:p>
            <w:r>
              <w:rPr>
                <w:sz w:val="18"/>
              </w:rPr>
              <w:t>At rest</w:t>
            </w:r>
          </w:p>
        </w:tc>
        <w:tc>
          <w:tcPr>
            <w:tcW w:type="dxa" w:w="2016"/>
          </w:tcPr>
          <w:p>
            <w:r>
              <w:rPr>
                <w:sz w:val="18"/>
              </w:rPr>
              <w:t>Encryption at rest; ssl=require in transit</w:t>
            </w:r>
          </w:p>
        </w:tc>
      </w:tr>
      <w:tr>
        <w:tc>
          <w:tcPr>
            <w:tcW w:type="dxa" w:w="2304"/>
          </w:tcPr>
          <w:p>
            <w:r>
              <w:rPr>
                <w:sz w:val="18"/>
              </w:rPr>
              <w:t>Audit log</w:t>
            </w:r>
          </w:p>
        </w:tc>
        <w:tc>
          <w:tcPr>
            <w:tcW w:type="dxa" w:w="2736"/>
          </w:tcPr>
          <w:p>
            <w:r>
              <w:rPr>
                <w:sz w:val="18"/>
              </w:rPr>
              <w:t>Access metadata only; route templates, never record identifiers</w:t>
            </w:r>
          </w:p>
        </w:tc>
        <w:tc>
          <w:tcPr>
            <w:tcW w:type="dxa" w:w="1872"/>
          </w:tcPr>
          <w:p>
            <w:r>
              <w:rPr>
                <w:sz w:val="18"/>
              </w:rPr>
              <w:t>At rest</w:t>
            </w:r>
          </w:p>
        </w:tc>
        <w:tc>
          <w:tcPr>
            <w:tcW w:type="dxa" w:w="2016"/>
          </w:tcPr>
          <w:p>
            <w:r>
              <w:rPr>
                <w:sz w:val="18"/>
              </w:rPr>
              <w:t>Deliberately excludes PHI</w:t>
            </w:r>
          </w:p>
        </w:tc>
      </w:tr>
      <w:tr>
        <w:tc>
          <w:tcPr>
            <w:tcW w:type="dxa" w:w="2304"/>
          </w:tcPr>
          <w:p>
            <w:r>
              <w:rPr>
                <w:sz w:val="18"/>
              </w:rPr>
              <w:t>Application logs</w:t>
            </w:r>
          </w:p>
        </w:tc>
        <w:tc>
          <w:tcPr>
            <w:tcW w:type="dxa" w:w="2736"/>
          </w:tcPr>
          <w:p>
            <w:r>
              <w:rPr>
                <w:sz w:val="18"/>
              </w:rPr>
              <w:t>None permitted</w:t>
            </w:r>
          </w:p>
        </w:tc>
        <w:tc>
          <w:tcPr>
            <w:tcW w:type="dxa" w:w="1872"/>
          </w:tcPr>
          <w:p>
            <w:r>
              <w:rPr>
                <w:sz w:val="18"/>
              </w:rPr>
              <w:t>n/a</w:t>
            </w:r>
          </w:p>
        </w:tc>
        <w:tc>
          <w:tcPr>
            <w:tcW w:type="dxa" w:w="2016"/>
          </w:tcPr>
          <w:p>
            <w:r>
              <w:rPr>
                <w:sz w:val="18"/>
              </w:rPr>
              <w:t>Prohibited by AGT-LMP-018</w:t>
            </w:r>
          </w:p>
        </w:tc>
      </w:tr>
    </w:tbl>
    <w:p/>
    <w:p>
      <w:r>
        <w:rPr>
          <w:i/>
          <w:color w:val="5A5A5A"/>
          <w:sz w:val="19"/>
        </w:rPr>
        <w:t>Five of the twenty-two case-management endpoints are unimplemented stubs that return an empty result, including the two whose names most suggest bulk PHI reads. Scoping this assessment against endpoint names rather than behaviour would have overstated the current exposure and understated the future one.</w:t>
      </w:r>
    </w:p>
    <w:p>
      <w:pPr>
        <w:pStyle w:val="Heading1"/>
      </w:pPr>
      <w:r>
        <w:t>4. Administrative safeguards</w:t>
      </w:r>
    </w:p>
    <w:tbl>
      <w:tblPr>
        <w:tblStyle w:val="TableGrid"/>
        <w:tblW w:type="auto" w:w="0"/>
        <w:tblLook w:firstColumn="1" w:firstRow="1" w:lastColumn="0" w:lastRow="0" w:noHBand="0" w:noVBand="1" w:val="04A0"/>
      </w:tblPr>
      <w:tblGrid>
        <w:gridCol w:w="2340"/>
        <w:gridCol w:w="2340"/>
        <w:gridCol w:w="2340"/>
        <w:gridCol w:w="2340"/>
      </w:tblGrid>
      <w:tr>
        <w:tc>
          <w:tcPr>
            <w:tcW w:type="dxa" w:w="2304"/>
            <w:shd w:val="clear" w:fill="0F2B4C"/>
          </w:tcPr>
          <w:p>
            <w:r>
              <w:rPr>
                <w:b/>
                <w:color w:val="FFFFFF"/>
                <w:sz w:val="18"/>
              </w:rPr>
              <w:t>Standard</w:t>
            </w:r>
          </w:p>
        </w:tc>
        <w:tc>
          <w:tcPr>
            <w:tcW w:type="dxa" w:w="1440"/>
            <w:shd w:val="clear" w:fill="0F2B4C"/>
          </w:tcPr>
          <w:p>
            <w:r>
              <w:rPr>
                <w:b/>
                <w:color w:val="FFFFFF"/>
                <w:sz w:val="18"/>
              </w:rPr>
              <w:t>Reference</w:t>
            </w:r>
          </w:p>
        </w:tc>
        <w:tc>
          <w:tcPr>
            <w:tcW w:type="dxa" w:w="3600"/>
            <w:shd w:val="clear" w:fill="0F2B4C"/>
          </w:tcPr>
          <w:p>
            <w:r>
              <w:rPr>
                <w:b/>
                <w:color w:val="FFFFFF"/>
                <w:sz w:val="18"/>
              </w:rPr>
              <w:t>Implementation</w:t>
            </w:r>
          </w:p>
        </w:tc>
        <w:tc>
          <w:tcPr>
            <w:tcW w:type="dxa" w:w="1584"/>
            <w:shd w:val="clear" w:fill="0F2B4C"/>
          </w:tcPr>
          <w:p>
            <w:r>
              <w:rPr>
                <w:b/>
                <w:color w:val="FFFFFF"/>
                <w:sz w:val="18"/>
              </w:rPr>
              <w:t>Status</w:t>
            </w:r>
          </w:p>
        </w:tc>
      </w:tr>
      <w:tr>
        <w:tc>
          <w:tcPr>
            <w:tcW w:type="dxa" w:w="2304"/>
          </w:tcPr>
          <w:p>
            <w:r>
              <w:rPr>
                <w:sz w:val="18"/>
              </w:rPr>
              <w:t>Security management process</w:t>
            </w:r>
          </w:p>
        </w:tc>
        <w:tc>
          <w:tcPr>
            <w:tcW w:type="dxa" w:w="1440"/>
          </w:tcPr>
          <w:p>
            <w:r>
              <w:rPr>
                <w:sz w:val="18"/>
              </w:rPr>
              <w:t>164.308(a)(1)</w:t>
            </w:r>
          </w:p>
        </w:tc>
        <w:tc>
          <w:tcPr>
            <w:tcW w:type="dxa" w:w="3600"/>
          </w:tcPr>
          <w:p>
            <w:r>
              <w:rPr>
                <w:sz w:val="18"/>
              </w:rPr>
              <w:t>Risk analysis, risk management, sanction policy, activity review</w:t>
            </w:r>
          </w:p>
        </w:tc>
        <w:tc>
          <w:tcPr>
            <w:tcW w:type="dxa" w:w="1584"/>
          </w:tcPr>
          <w:p>
            <w:r>
              <w:rPr>
                <w:sz w:val="18"/>
              </w:rPr>
              <w:t>Implemented</w:t>
            </w:r>
          </w:p>
        </w:tc>
      </w:tr>
      <w:tr>
        <w:tc>
          <w:tcPr>
            <w:tcW w:type="dxa" w:w="2304"/>
          </w:tcPr>
          <w:p>
            <w:r>
              <w:rPr>
                <w:sz w:val="18"/>
              </w:rPr>
              <w:t>Assigned security responsibility</w:t>
            </w:r>
          </w:p>
        </w:tc>
        <w:tc>
          <w:tcPr>
            <w:tcW w:type="dxa" w:w="1440"/>
          </w:tcPr>
          <w:p>
            <w:r>
              <w:rPr>
                <w:sz w:val="18"/>
              </w:rPr>
              <w:t>164.308(a)(2)</w:t>
            </w:r>
          </w:p>
        </w:tc>
        <w:tc>
          <w:tcPr>
            <w:tcW w:type="dxa" w:w="3600"/>
          </w:tcPr>
          <w:p>
            <w:r>
              <w:rPr>
                <w:sz w:val="18"/>
              </w:rPr>
              <w:t>Security Officer designated</w:t>
            </w:r>
          </w:p>
        </w:tc>
        <w:tc>
          <w:tcPr>
            <w:tcW w:type="dxa" w:w="1584"/>
          </w:tcPr>
          <w:p>
            <w:r>
              <w:rPr>
                <w:sz w:val="18"/>
              </w:rPr>
              <w:t>Implemented</w:t>
            </w:r>
          </w:p>
        </w:tc>
      </w:tr>
      <w:tr>
        <w:tc>
          <w:tcPr>
            <w:tcW w:type="dxa" w:w="2304"/>
          </w:tcPr>
          <w:p>
            <w:r>
              <w:rPr>
                <w:sz w:val="18"/>
              </w:rPr>
              <w:t>Workforce security</w:t>
            </w:r>
          </w:p>
        </w:tc>
        <w:tc>
          <w:tcPr>
            <w:tcW w:type="dxa" w:w="1440"/>
          </w:tcPr>
          <w:p>
            <w:r>
              <w:rPr>
                <w:sz w:val="18"/>
              </w:rPr>
              <w:t>164.308(a)(3)</w:t>
            </w:r>
          </w:p>
        </w:tc>
        <w:tc>
          <w:tcPr>
            <w:tcW w:type="dxa" w:w="3600"/>
          </w:tcPr>
          <w:p>
            <w:r>
              <w:rPr>
                <w:sz w:val="18"/>
              </w:rPr>
              <w:t>Authorization, clearance, termination procedures</w:t>
            </w:r>
          </w:p>
        </w:tc>
        <w:tc>
          <w:tcPr>
            <w:tcW w:type="dxa" w:w="1584"/>
          </w:tcPr>
          <w:p>
            <w:r>
              <w:rPr>
                <w:sz w:val="18"/>
              </w:rPr>
              <w:t>Implemented</w:t>
            </w:r>
          </w:p>
        </w:tc>
      </w:tr>
      <w:tr>
        <w:tc>
          <w:tcPr>
            <w:tcW w:type="dxa" w:w="2304"/>
          </w:tcPr>
          <w:p>
            <w:r>
              <w:rPr>
                <w:sz w:val="18"/>
              </w:rPr>
              <w:t>Information access management</w:t>
            </w:r>
          </w:p>
        </w:tc>
        <w:tc>
          <w:tcPr>
            <w:tcW w:type="dxa" w:w="1440"/>
          </w:tcPr>
          <w:p>
            <w:r>
              <w:rPr>
                <w:sz w:val="18"/>
              </w:rPr>
              <w:t>164.308(a)(4)</w:t>
            </w:r>
          </w:p>
        </w:tc>
        <w:tc>
          <w:tcPr>
            <w:tcW w:type="dxa" w:w="3600"/>
          </w:tcPr>
          <w:p>
            <w:r>
              <w:rPr>
                <w:sz w:val="18"/>
              </w:rPr>
              <w:t>Role-based access; minimum necessary</w:t>
            </w:r>
          </w:p>
        </w:tc>
        <w:tc>
          <w:tcPr>
            <w:tcW w:type="dxa" w:w="1584"/>
          </w:tcPr>
          <w:p>
            <w:r>
              <w:rPr>
                <w:sz w:val="18"/>
              </w:rPr>
              <w:t>Implemented</w:t>
            </w:r>
          </w:p>
        </w:tc>
      </w:tr>
      <w:tr>
        <w:tc>
          <w:tcPr>
            <w:tcW w:type="dxa" w:w="2304"/>
          </w:tcPr>
          <w:p>
            <w:r>
              <w:rPr>
                <w:sz w:val="18"/>
              </w:rPr>
              <w:t>Security awareness and training</w:t>
            </w:r>
          </w:p>
        </w:tc>
        <w:tc>
          <w:tcPr>
            <w:tcW w:type="dxa" w:w="1440"/>
          </w:tcPr>
          <w:p>
            <w:r>
              <w:rPr>
                <w:sz w:val="18"/>
              </w:rPr>
              <w:t>164.308(a)(5)</w:t>
            </w:r>
          </w:p>
        </w:tc>
        <w:tc>
          <w:tcPr>
            <w:tcW w:type="dxa" w:w="3600"/>
          </w:tcPr>
          <w:p>
            <w:r>
              <w:rPr>
                <w:sz w:val="18"/>
              </w:rPr>
              <w:t>Completed for all workforce members</w:t>
            </w:r>
          </w:p>
        </w:tc>
        <w:tc>
          <w:tcPr>
            <w:tcW w:type="dxa" w:w="1584"/>
          </w:tcPr>
          <w:p>
            <w:r>
              <w:rPr>
                <w:sz w:val="18"/>
              </w:rPr>
              <w:t>Implemented</w:t>
            </w:r>
          </w:p>
        </w:tc>
      </w:tr>
      <w:tr>
        <w:tc>
          <w:tcPr>
            <w:tcW w:type="dxa" w:w="2304"/>
          </w:tcPr>
          <w:p>
            <w:r>
              <w:rPr>
                <w:sz w:val="18"/>
              </w:rPr>
              <w:t>Security incident procedures</w:t>
            </w:r>
          </w:p>
        </w:tc>
        <w:tc>
          <w:tcPr>
            <w:tcW w:type="dxa" w:w="1440"/>
          </w:tcPr>
          <w:p>
            <w:r>
              <w:rPr>
                <w:sz w:val="18"/>
              </w:rPr>
              <w:t>164.308(a)(6)</w:t>
            </w:r>
          </w:p>
        </w:tc>
        <w:tc>
          <w:tcPr>
            <w:tcW w:type="dxa" w:w="3600"/>
          </w:tcPr>
          <w:p>
            <w:r>
              <w:rPr>
                <w:sz w:val="18"/>
              </w:rPr>
              <w:t>AGT-IRP-022</w:t>
            </w:r>
          </w:p>
        </w:tc>
        <w:tc>
          <w:tcPr>
            <w:tcW w:type="dxa" w:w="1584"/>
          </w:tcPr>
          <w:p>
            <w:r>
              <w:rPr>
                <w:sz w:val="18"/>
              </w:rPr>
              <w:t>Implemented</w:t>
            </w:r>
          </w:p>
        </w:tc>
      </w:tr>
      <w:tr>
        <w:tc>
          <w:tcPr>
            <w:tcW w:type="dxa" w:w="2304"/>
          </w:tcPr>
          <w:p>
            <w:r>
              <w:rPr>
                <w:sz w:val="18"/>
              </w:rPr>
              <w:t>Contingency plan</w:t>
            </w:r>
          </w:p>
        </w:tc>
        <w:tc>
          <w:tcPr>
            <w:tcW w:type="dxa" w:w="1440"/>
          </w:tcPr>
          <w:p>
            <w:r>
              <w:rPr>
                <w:sz w:val="18"/>
              </w:rPr>
              <w:t>164.308(a)(7)</w:t>
            </w:r>
          </w:p>
        </w:tc>
        <w:tc>
          <w:tcPr>
            <w:tcW w:type="dxa" w:w="3600"/>
          </w:tcPr>
          <w:p>
            <w:r>
              <w:rPr>
                <w:sz w:val="18"/>
              </w:rPr>
              <w:t>AGT-BCP-020, AGT-DRP-021, AGT-BKP-019</w:t>
            </w:r>
          </w:p>
        </w:tc>
        <w:tc>
          <w:tcPr>
            <w:tcW w:type="dxa" w:w="1584"/>
          </w:tcPr>
          <w:p>
            <w:r>
              <w:rPr>
                <w:sz w:val="18"/>
              </w:rPr>
              <w:t>Implemented</w:t>
            </w:r>
          </w:p>
        </w:tc>
      </w:tr>
      <w:tr>
        <w:tc>
          <w:tcPr>
            <w:tcW w:type="dxa" w:w="2304"/>
          </w:tcPr>
          <w:p>
            <w:r>
              <w:rPr>
                <w:sz w:val="18"/>
              </w:rPr>
              <w:t>Evaluation</w:t>
            </w:r>
          </w:p>
        </w:tc>
        <w:tc>
          <w:tcPr>
            <w:tcW w:type="dxa" w:w="1440"/>
          </w:tcPr>
          <w:p>
            <w:r>
              <w:rPr>
                <w:sz w:val="18"/>
              </w:rPr>
              <w:t>164.308(a)(8)</w:t>
            </w:r>
          </w:p>
        </w:tc>
        <w:tc>
          <w:tcPr>
            <w:tcW w:type="dxa" w:w="3600"/>
          </w:tcPr>
          <w:p>
            <w:r>
              <w:rPr>
                <w:sz w:val="18"/>
              </w:rPr>
              <w:t>Continuous monitoring and annual assessment</w:t>
            </w:r>
          </w:p>
        </w:tc>
        <w:tc>
          <w:tcPr>
            <w:tcW w:type="dxa" w:w="1584"/>
          </w:tcPr>
          <w:p>
            <w:r>
              <w:rPr>
                <w:sz w:val="18"/>
              </w:rPr>
              <w:t>Implemented</w:t>
            </w:r>
          </w:p>
        </w:tc>
      </w:tr>
      <w:tr>
        <w:tc>
          <w:tcPr>
            <w:tcW w:type="dxa" w:w="2304"/>
          </w:tcPr>
          <w:p>
            <w:r>
              <w:rPr>
                <w:sz w:val="18"/>
              </w:rPr>
              <w:t>Business associate contracts</w:t>
            </w:r>
          </w:p>
        </w:tc>
        <w:tc>
          <w:tcPr>
            <w:tcW w:type="dxa" w:w="1440"/>
          </w:tcPr>
          <w:p>
            <w:r>
              <w:rPr>
                <w:sz w:val="18"/>
              </w:rPr>
              <w:t>164.308(b)(1)</w:t>
            </w:r>
          </w:p>
        </w:tc>
        <w:tc>
          <w:tcPr>
            <w:tcW w:type="dxa" w:w="3600"/>
          </w:tcPr>
          <w:p>
            <w:r>
              <w:rPr>
                <w:sz w:val="18"/>
              </w:rPr>
              <w:t>Executed with Microsoft; outstanding for two AI providers</w:t>
            </w:r>
          </w:p>
        </w:tc>
        <w:tc>
          <w:tcPr>
            <w:tcW w:type="dxa" w:w="1584"/>
          </w:tcPr>
          <w:p>
            <w:r>
              <w:rPr>
                <w:sz w:val="18"/>
              </w:rPr>
              <w:t>Partial - F-02</w:t>
            </w:r>
          </w:p>
        </w:tc>
      </w:tr>
    </w:tbl>
    <w:p/>
    <w:p>
      <w:pPr>
        <w:pStyle w:val="Heading1"/>
      </w:pPr>
      <w:r>
        <w:t>5. Physical safeguards</w:t>
      </w:r>
    </w:p>
    <w:tbl>
      <w:tblPr>
        <w:tblStyle w:val="TableGrid"/>
        <w:tblW w:type="auto" w:w="0"/>
        <w:tblLook w:firstColumn="1" w:firstRow="1" w:lastColumn="0" w:lastRow="0" w:noHBand="0" w:noVBand="1" w:val="04A0"/>
      </w:tblPr>
      <w:tblGrid>
        <w:gridCol w:w="2340"/>
        <w:gridCol w:w="2340"/>
        <w:gridCol w:w="2340"/>
        <w:gridCol w:w="2340"/>
      </w:tblGrid>
      <w:tr>
        <w:tc>
          <w:tcPr>
            <w:tcW w:type="dxa" w:w="2304"/>
            <w:shd w:val="clear" w:fill="0F2B4C"/>
          </w:tcPr>
          <w:p>
            <w:r>
              <w:rPr>
                <w:b/>
                <w:color w:val="FFFFFF"/>
                <w:sz w:val="18"/>
              </w:rPr>
              <w:t>Standard</w:t>
            </w:r>
          </w:p>
        </w:tc>
        <w:tc>
          <w:tcPr>
            <w:tcW w:type="dxa" w:w="1440"/>
            <w:shd w:val="clear" w:fill="0F2B4C"/>
          </w:tcPr>
          <w:p>
            <w:r>
              <w:rPr>
                <w:b/>
                <w:color w:val="FFFFFF"/>
                <w:sz w:val="18"/>
              </w:rPr>
              <w:t>Reference</w:t>
            </w:r>
          </w:p>
        </w:tc>
        <w:tc>
          <w:tcPr>
            <w:tcW w:type="dxa" w:w="3600"/>
            <w:shd w:val="clear" w:fill="0F2B4C"/>
          </w:tcPr>
          <w:p>
            <w:r>
              <w:rPr>
                <w:b/>
                <w:color w:val="FFFFFF"/>
                <w:sz w:val="18"/>
              </w:rPr>
              <w:t>Implementation</w:t>
            </w:r>
          </w:p>
        </w:tc>
        <w:tc>
          <w:tcPr>
            <w:tcW w:type="dxa" w:w="1584"/>
            <w:shd w:val="clear" w:fill="0F2B4C"/>
          </w:tcPr>
          <w:p>
            <w:r>
              <w:rPr>
                <w:b/>
                <w:color w:val="FFFFFF"/>
                <w:sz w:val="18"/>
              </w:rPr>
              <w:t>Status</w:t>
            </w:r>
          </w:p>
        </w:tc>
      </w:tr>
      <w:tr>
        <w:tc>
          <w:tcPr>
            <w:tcW w:type="dxa" w:w="2304"/>
          </w:tcPr>
          <w:p>
            <w:r>
              <w:rPr>
                <w:sz w:val="18"/>
              </w:rPr>
              <w:t>Facility access controls</w:t>
            </w:r>
          </w:p>
        </w:tc>
        <w:tc>
          <w:tcPr>
            <w:tcW w:type="dxa" w:w="1440"/>
          </w:tcPr>
          <w:p>
            <w:r>
              <w:rPr>
                <w:sz w:val="18"/>
              </w:rPr>
              <w:t>164.310(a)(1)</w:t>
            </w:r>
          </w:p>
        </w:tc>
        <w:tc>
          <w:tcPr>
            <w:tcW w:type="dxa" w:w="3600"/>
          </w:tcPr>
          <w:p>
            <w:r>
              <w:rPr>
                <w:sz w:val="18"/>
              </w:rPr>
              <w:t>Inherited from Microsoft Azure data centres</w:t>
            </w:r>
          </w:p>
        </w:tc>
        <w:tc>
          <w:tcPr>
            <w:tcW w:type="dxa" w:w="1584"/>
          </w:tcPr>
          <w:p>
            <w:r>
              <w:rPr>
                <w:sz w:val="18"/>
              </w:rPr>
              <w:t>Inherited</w:t>
            </w:r>
          </w:p>
        </w:tc>
      </w:tr>
      <w:tr>
        <w:tc>
          <w:tcPr>
            <w:tcW w:type="dxa" w:w="2304"/>
          </w:tcPr>
          <w:p>
            <w:r>
              <w:rPr>
                <w:sz w:val="18"/>
              </w:rPr>
              <w:t>Workstation use</w:t>
            </w:r>
          </w:p>
        </w:tc>
        <w:tc>
          <w:tcPr>
            <w:tcW w:type="dxa" w:w="1440"/>
          </w:tcPr>
          <w:p>
            <w:r>
              <w:rPr>
                <w:sz w:val="18"/>
              </w:rPr>
              <w:t>164.310(b)</w:t>
            </w:r>
          </w:p>
        </w:tc>
        <w:tc>
          <w:tcPr>
            <w:tcW w:type="dxa" w:w="3600"/>
          </w:tcPr>
          <w:p>
            <w:r>
              <w:rPr>
                <w:sz w:val="18"/>
              </w:rPr>
              <w:t>AGT-AUP-002 and AGT-RAP-005</w:t>
            </w:r>
          </w:p>
        </w:tc>
        <w:tc>
          <w:tcPr>
            <w:tcW w:type="dxa" w:w="1584"/>
          </w:tcPr>
          <w:p>
            <w:r>
              <w:rPr>
                <w:sz w:val="18"/>
              </w:rPr>
              <w:t>Implemented</w:t>
            </w:r>
          </w:p>
        </w:tc>
      </w:tr>
      <w:tr>
        <w:tc>
          <w:tcPr>
            <w:tcW w:type="dxa" w:w="2304"/>
          </w:tcPr>
          <w:p>
            <w:r>
              <w:rPr>
                <w:sz w:val="18"/>
              </w:rPr>
              <w:t>Workstation security</w:t>
            </w:r>
          </w:p>
        </w:tc>
        <w:tc>
          <w:tcPr>
            <w:tcW w:type="dxa" w:w="1440"/>
          </w:tcPr>
          <w:p>
            <w:r>
              <w:rPr>
                <w:sz w:val="18"/>
              </w:rPr>
              <w:t>164.310(c)</w:t>
            </w:r>
          </w:p>
        </w:tc>
        <w:tc>
          <w:tcPr>
            <w:tcW w:type="dxa" w:w="3600"/>
          </w:tcPr>
          <w:p>
            <w:r>
              <w:rPr>
                <w:sz w:val="18"/>
              </w:rPr>
              <w:t>Full-disk encryption, screen lock, MDM</w:t>
            </w:r>
          </w:p>
        </w:tc>
        <w:tc>
          <w:tcPr>
            <w:tcW w:type="dxa" w:w="1584"/>
          </w:tcPr>
          <w:p>
            <w:r>
              <w:rPr>
                <w:sz w:val="18"/>
              </w:rPr>
              <w:t>Implemented</w:t>
            </w:r>
          </w:p>
        </w:tc>
      </w:tr>
      <w:tr>
        <w:tc>
          <w:tcPr>
            <w:tcW w:type="dxa" w:w="2304"/>
          </w:tcPr>
          <w:p>
            <w:r>
              <w:rPr>
                <w:sz w:val="18"/>
              </w:rPr>
              <w:t>Device and media controls</w:t>
            </w:r>
          </w:p>
        </w:tc>
        <w:tc>
          <w:tcPr>
            <w:tcW w:type="dxa" w:w="1440"/>
          </w:tcPr>
          <w:p>
            <w:r>
              <w:rPr>
                <w:sz w:val="18"/>
              </w:rPr>
              <w:t>164.310(d)(1)</w:t>
            </w:r>
          </w:p>
        </w:tc>
        <w:tc>
          <w:tcPr>
            <w:tcW w:type="dxa" w:w="3600"/>
          </w:tcPr>
          <w:p>
            <w:r>
              <w:rPr>
                <w:sz w:val="18"/>
              </w:rPr>
              <w:t>AGT-MPP-008 and AGT-MDBYOD-010</w:t>
            </w:r>
          </w:p>
        </w:tc>
        <w:tc>
          <w:tcPr>
            <w:tcW w:type="dxa" w:w="1584"/>
          </w:tcPr>
          <w:p>
            <w:r>
              <w:rPr>
                <w:sz w:val="18"/>
              </w:rPr>
              <w:t>Implemented</w:t>
            </w:r>
          </w:p>
        </w:tc>
      </w:tr>
    </w:tbl>
    <w:p/>
    <w:p>
      <w:r>
        <w:t>AGT operates no data centre. Physical safeguards for infrastructure are inherited from Microsoft under the shared responsibility model and are evidenced by Azure's own attestations rather than by AGT-performed controls.</w:t>
      </w:r>
    </w:p>
    <w:p>
      <w:pPr>
        <w:pStyle w:val="Heading1"/>
      </w:pPr>
      <w:r>
        <w:t>6. Technical safeguards</w:t>
      </w:r>
    </w:p>
    <w:tbl>
      <w:tblPr>
        <w:tblStyle w:val="TableGrid"/>
        <w:tblW w:type="auto" w:w="0"/>
        <w:tblLook w:firstColumn="1" w:firstRow="1" w:lastColumn="0" w:lastRow="0" w:noHBand="0" w:noVBand="1" w:val="04A0"/>
      </w:tblPr>
      <w:tblGrid>
        <w:gridCol w:w="2340"/>
        <w:gridCol w:w="2340"/>
        <w:gridCol w:w="2340"/>
        <w:gridCol w:w="2340"/>
      </w:tblGrid>
      <w:tr>
        <w:tc>
          <w:tcPr>
            <w:tcW w:type="dxa" w:w="2304"/>
            <w:shd w:val="clear" w:fill="0F2B4C"/>
          </w:tcPr>
          <w:p>
            <w:r>
              <w:rPr>
                <w:b/>
                <w:color w:val="FFFFFF"/>
                <w:sz w:val="18"/>
              </w:rPr>
              <w:t>Standard</w:t>
            </w:r>
          </w:p>
        </w:tc>
        <w:tc>
          <w:tcPr>
            <w:tcW w:type="dxa" w:w="1440"/>
            <w:shd w:val="clear" w:fill="0F2B4C"/>
          </w:tcPr>
          <w:p>
            <w:r>
              <w:rPr>
                <w:b/>
                <w:color w:val="FFFFFF"/>
                <w:sz w:val="18"/>
              </w:rPr>
              <w:t>Reference</w:t>
            </w:r>
          </w:p>
        </w:tc>
        <w:tc>
          <w:tcPr>
            <w:tcW w:type="dxa" w:w="3600"/>
            <w:shd w:val="clear" w:fill="0F2B4C"/>
          </w:tcPr>
          <w:p>
            <w:r>
              <w:rPr>
                <w:b/>
                <w:color w:val="FFFFFF"/>
                <w:sz w:val="18"/>
              </w:rPr>
              <w:t>Implementation</w:t>
            </w:r>
          </w:p>
        </w:tc>
        <w:tc>
          <w:tcPr>
            <w:tcW w:type="dxa" w:w="1584"/>
            <w:shd w:val="clear" w:fill="0F2B4C"/>
          </w:tcPr>
          <w:p>
            <w:r>
              <w:rPr>
                <w:b/>
                <w:color w:val="FFFFFF"/>
                <w:sz w:val="18"/>
              </w:rPr>
              <w:t>Status</w:t>
            </w:r>
          </w:p>
        </w:tc>
      </w:tr>
      <w:tr>
        <w:tc>
          <w:tcPr>
            <w:tcW w:type="dxa" w:w="2304"/>
          </w:tcPr>
          <w:p>
            <w:r>
              <w:rPr>
                <w:sz w:val="18"/>
              </w:rPr>
              <w:t>Access control - unique user identification</w:t>
            </w:r>
          </w:p>
        </w:tc>
        <w:tc>
          <w:tcPr>
            <w:tcW w:type="dxa" w:w="1440"/>
          </w:tcPr>
          <w:p>
            <w:r>
              <w:rPr>
                <w:sz w:val="18"/>
              </w:rPr>
              <w:t>164.312(a)(2)(i)</w:t>
            </w:r>
          </w:p>
        </w:tc>
        <w:tc>
          <w:tcPr>
            <w:tcW w:type="dxa" w:w="3600"/>
          </w:tcPr>
          <w:p>
            <w:r>
              <w:rPr>
                <w:sz w:val="18"/>
              </w:rPr>
              <w:t>Entra ID and application accounts; no shared accounts</w:t>
            </w:r>
          </w:p>
        </w:tc>
        <w:tc>
          <w:tcPr>
            <w:tcW w:type="dxa" w:w="1584"/>
          </w:tcPr>
          <w:p>
            <w:r>
              <w:rPr>
                <w:sz w:val="18"/>
              </w:rPr>
              <w:t>Implemented</w:t>
            </w:r>
          </w:p>
        </w:tc>
      </w:tr>
      <w:tr>
        <w:tc>
          <w:tcPr>
            <w:tcW w:type="dxa" w:w="2304"/>
          </w:tcPr>
          <w:p>
            <w:r>
              <w:rPr>
                <w:sz w:val="18"/>
              </w:rPr>
              <w:t>Access control - emergency access</w:t>
            </w:r>
          </w:p>
        </w:tc>
        <w:tc>
          <w:tcPr>
            <w:tcW w:type="dxa" w:w="1440"/>
          </w:tcPr>
          <w:p>
            <w:r>
              <w:rPr>
                <w:sz w:val="18"/>
              </w:rPr>
              <w:t>164.312(a)(2)(ii)</w:t>
            </w:r>
          </w:p>
        </w:tc>
        <w:tc>
          <w:tcPr>
            <w:tcW w:type="dxa" w:w="3600"/>
          </w:tcPr>
          <w:p>
            <w:r>
              <w:rPr>
                <w:sz w:val="18"/>
              </w:rPr>
              <w:t>Break-glass administrative access with logging</w:t>
            </w:r>
          </w:p>
        </w:tc>
        <w:tc>
          <w:tcPr>
            <w:tcW w:type="dxa" w:w="1584"/>
          </w:tcPr>
          <w:p>
            <w:r>
              <w:rPr>
                <w:sz w:val="18"/>
              </w:rPr>
              <w:t>Implemented</w:t>
            </w:r>
          </w:p>
        </w:tc>
      </w:tr>
      <w:tr>
        <w:tc>
          <w:tcPr>
            <w:tcW w:type="dxa" w:w="2304"/>
          </w:tcPr>
          <w:p>
            <w:r>
              <w:rPr>
                <w:sz w:val="18"/>
              </w:rPr>
              <w:t>Access control - automatic logoff</w:t>
            </w:r>
          </w:p>
        </w:tc>
        <w:tc>
          <w:tcPr>
            <w:tcW w:type="dxa" w:w="1440"/>
          </w:tcPr>
          <w:p>
            <w:r>
              <w:rPr>
                <w:sz w:val="18"/>
              </w:rPr>
              <w:t>164.312(a)(2)(iii)</w:t>
            </w:r>
          </w:p>
        </w:tc>
        <w:tc>
          <w:tcPr>
            <w:tcW w:type="dxa" w:w="3600"/>
          </w:tcPr>
          <w:p>
            <w:r>
              <w:rPr>
                <w:sz w:val="18"/>
              </w:rPr>
              <w:t>Session expiry and server-side revocation</w:t>
            </w:r>
          </w:p>
        </w:tc>
        <w:tc>
          <w:tcPr>
            <w:tcW w:type="dxa" w:w="1584"/>
          </w:tcPr>
          <w:p>
            <w:r>
              <w:rPr>
                <w:sz w:val="18"/>
              </w:rPr>
              <w:t>Implemented</w:t>
            </w:r>
          </w:p>
        </w:tc>
      </w:tr>
      <w:tr>
        <w:tc>
          <w:tcPr>
            <w:tcW w:type="dxa" w:w="2304"/>
          </w:tcPr>
          <w:p>
            <w:r>
              <w:rPr>
                <w:sz w:val="18"/>
              </w:rPr>
              <w:t>Access control - encryption and decryption</w:t>
            </w:r>
          </w:p>
        </w:tc>
        <w:tc>
          <w:tcPr>
            <w:tcW w:type="dxa" w:w="1440"/>
          </w:tcPr>
          <w:p>
            <w:r>
              <w:rPr>
                <w:sz w:val="18"/>
              </w:rPr>
              <w:t>164.312(a)(2)(iv)</w:t>
            </w:r>
          </w:p>
        </w:tc>
        <w:tc>
          <w:tcPr>
            <w:tcW w:type="dxa" w:w="3600"/>
          </w:tcPr>
          <w:p>
            <w:r>
              <w:rPr>
                <w:sz w:val="18"/>
              </w:rPr>
              <w:t>AES-256 at rest; TLS 1.2+ in transit</w:t>
            </w:r>
          </w:p>
        </w:tc>
        <w:tc>
          <w:tcPr>
            <w:tcW w:type="dxa" w:w="1584"/>
          </w:tcPr>
          <w:p>
            <w:r>
              <w:rPr>
                <w:sz w:val="18"/>
              </w:rPr>
              <w:t>Implemented</w:t>
            </w:r>
          </w:p>
        </w:tc>
      </w:tr>
      <w:tr>
        <w:tc>
          <w:tcPr>
            <w:tcW w:type="dxa" w:w="2304"/>
          </w:tcPr>
          <w:p>
            <w:r>
              <w:rPr>
                <w:sz w:val="18"/>
              </w:rPr>
              <w:t>Audit controls</w:t>
            </w:r>
          </w:p>
        </w:tc>
        <w:tc>
          <w:tcPr>
            <w:tcW w:type="dxa" w:w="1440"/>
          </w:tcPr>
          <w:p>
            <w:r>
              <w:rPr>
                <w:sz w:val="18"/>
              </w:rPr>
              <w:t>164.312(b)</w:t>
            </w:r>
          </w:p>
        </w:tc>
        <w:tc>
          <w:tcPr>
            <w:tcW w:type="dxa" w:w="3600"/>
          </w:tcPr>
          <w:p>
            <w:r>
              <w:rPr>
                <w:sz w:val="18"/>
              </w:rPr>
              <w:t>Router-level audit of PHI-surface access</w:t>
            </w:r>
          </w:p>
        </w:tc>
        <w:tc>
          <w:tcPr>
            <w:tcW w:type="dxa" w:w="1584"/>
          </w:tcPr>
          <w:p>
            <w:r>
              <w:rPr>
                <w:sz w:val="18"/>
              </w:rPr>
              <w:t>Implemented</w:t>
            </w:r>
          </w:p>
        </w:tc>
      </w:tr>
      <w:tr>
        <w:tc>
          <w:tcPr>
            <w:tcW w:type="dxa" w:w="2304"/>
          </w:tcPr>
          <w:p>
            <w:r>
              <w:rPr>
                <w:sz w:val="18"/>
              </w:rPr>
              <w:t>Integrity</w:t>
            </w:r>
          </w:p>
        </w:tc>
        <w:tc>
          <w:tcPr>
            <w:tcW w:type="dxa" w:w="1440"/>
          </w:tcPr>
          <w:p>
            <w:r>
              <w:rPr>
                <w:sz w:val="18"/>
              </w:rPr>
              <w:t>164.312(c)(1)</w:t>
            </w:r>
          </w:p>
        </w:tc>
        <w:tc>
          <w:tcPr>
            <w:tcW w:type="dxa" w:w="3600"/>
          </w:tcPr>
          <w:p>
            <w:r>
              <w:rPr>
                <w:sz w:val="18"/>
              </w:rPr>
              <w:t>Database constraints; no tamper-evidence on the audit log</w:t>
            </w:r>
          </w:p>
        </w:tc>
        <w:tc>
          <w:tcPr>
            <w:tcW w:type="dxa" w:w="1584"/>
          </w:tcPr>
          <w:p>
            <w:r>
              <w:rPr>
                <w:sz w:val="18"/>
              </w:rPr>
              <w:t>Partial - F-03</w:t>
            </w:r>
          </w:p>
        </w:tc>
      </w:tr>
      <w:tr>
        <w:tc>
          <w:tcPr>
            <w:tcW w:type="dxa" w:w="2304"/>
          </w:tcPr>
          <w:p>
            <w:r>
              <w:rPr>
                <w:sz w:val="18"/>
              </w:rPr>
              <w:t>Person or entity authentication</w:t>
            </w:r>
          </w:p>
        </w:tc>
        <w:tc>
          <w:tcPr>
            <w:tcW w:type="dxa" w:w="1440"/>
          </w:tcPr>
          <w:p>
            <w:r>
              <w:rPr>
                <w:sz w:val="18"/>
              </w:rPr>
              <w:t>164.312(d)</w:t>
            </w:r>
          </w:p>
        </w:tc>
        <w:tc>
          <w:tcPr>
            <w:tcW w:type="dxa" w:w="3600"/>
          </w:tcPr>
          <w:p>
            <w:r>
              <w:rPr>
                <w:sz w:val="18"/>
              </w:rPr>
              <w:t>MFA via Entra ID; bcrypt for local accounts</w:t>
            </w:r>
          </w:p>
        </w:tc>
        <w:tc>
          <w:tcPr>
            <w:tcW w:type="dxa" w:w="1584"/>
          </w:tcPr>
          <w:p>
            <w:r>
              <w:rPr>
                <w:sz w:val="18"/>
              </w:rPr>
              <w:t>Implemented</w:t>
            </w:r>
          </w:p>
        </w:tc>
      </w:tr>
      <w:tr>
        <w:tc>
          <w:tcPr>
            <w:tcW w:type="dxa" w:w="2304"/>
          </w:tcPr>
          <w:p>
            <w:r>
              <w:rPr>
                <w:sz w:val="18"/>
              </w:rPr>
              <w:t>Transmission security</w:t>
            </w:r>
          </w:p>
        </w:tc>
        <w:tc>
          <w:tcPr>
            <w:tcW w:type="dxa" w:w="1440"/>
          </w:tcPr>
          <w:p>
            <w:r>
              <w:rPr>
                <w:sz w:val="18"/>
              </w:rPr>
              <w:t>164.312(e)(1)</w:t>
            </w:r>
          </w:p>
        </w:tc>
        <w:tc>
          <w:tcPr>
            <w:tcW w:type="dxa" w:w="3600"/>
          </w:tcPr>
          <w:p>
            <w:r>
              <w:rPr>
                <w:sz w:val="18"/>
              </w:rPr>
              <w:t>TLS 1.2+; database ssl=require</w:t>
            </w:r>
          </w:p>
        </w:tc>
        <w:tc>
          <w:tcPr>
            <w:tcW w:type="dxa" w:w="1584"/>
          </w:tcPr>
          <w:p>
            <w:r>
              <w:rPr>
                <w:sz w:val="18"/>
              </w:rPr>
              <w:t>Implemented</w:t>
            </w:r>
          </w:p>
        </w:tc>
      </w:tr>
    </w:tbl>
    <w:p/>
    <w:p>
      <w:pPr>
        <w:pStyle w:val="Heading1"/>
      </w:pPr>
      <w:r>
        <w:t>7. Threat and vulnerability analysis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160"/>
            <w:shd w:val="clear" w:fill="0F2B4C"/>
          </w:tcPr>
          <w:p>
            <w:r>
              <w:rPr>
                <w:b/>
                <w:color w:val="FFFFFF"/>
                <w:sz w:val="18"/>
              </w:rPr>
              <w:t>Threat</w:t>
            </w:r>
          </w:p>
        </w:tc>
        <w:tc>
          <w:tcPr>
            <w:tcW w:type="dxa" w:w="2304"/>
            <w:shd w:val="clear" w:fill="0F2B4C"/>
          </w:tcPr>
          <w:p>
            <w:r>
              <w:rPr>
                <w:b/>
                <w:color w:val="FFFFFF"/>
                <w:sz w:val="18"/>
              </w:rPr>
              <w:t>Vulnerability</w:t>
            </w:r>
          </w:p>
        </w:tc>
        <w:tc>
          <w:tcPr>
            <w:tcW w:type="dxa" w:w="1008"/>
            <w:shd w:val="clear" w:fill="0F2B4C"/>
          </w:tcPr>
          <w:p>
            <w:r>
              <w:rPr>
                <w:b/>
                <w:color w:val="FFFFFF"/>
                <w:sz w:val="18"/>
              </w:rPr>
              <w:t>L</w:t>
            </w:r>
          </w:p>
        </w:tc>
        <w:tc>
          <w:tcPr>
            <w:tcW w:type="dxa" w:w="1008"/>
            <w:shd w:val="clear" w:fill="0F2B4C"/>
          </w:tcPr>
          <w:p>
            <w:r>
              <w:rPr>
                <w:b/>
                <w:color w:val="FFFFFF"/>
                <w:sz w:val="18"/>
              </w:rPr>
              <w:t>I</w:t>
            </w:r>
          </w:p>
        </w:tc>
        <w:tc>
          <w:tcPr>
            <w:tcW w:type="dxa" w:w="1008"/>
            <w:shd w:val="clear" w:fill="0F2B4C"/>
          </w:tcPr>
          <w:p>
            <w:r>
              <w:rPr>
                <w:b/>
                <w:color w:val="FFFFFF"/>
                <w:sz w:val="18"/>
              </w:rPr>
              <w:t>Risk</w:t>
            </w:r>
          </w:p>
        </w:tc>
        <w:tc>
          <w:tcPr>
            <w:tcW w:type="dxa" w:w="2304"/>
            <w:shd w:val="clear" w:fill="0F2B4C"/>
          </w:tcPr>
          <w:p>
            <w:r>
              <w:rPr>
                <w:b/>
                <w:color w:val="FFFFFF"/>
                <w:sz w:val="18"/>
              </w:rPr>
              <w:t>Mitigation</w:t>
            </w:r>
          </w:p>
        </w:tc>
      </w:tr>
      <w:tr>
        <w:tc>
          <w:tcPr>
            <w:tcW w:type="dxa" w:w="2160"/>
          </w:tcPr>
          <w:p>
            <w:r>
              <w:rPr>
                <w:sz w:val="18"/>
              </w:rPr>
              <w:t>Third-party AI provider retains PHI</w:t>
            </w:r>
          </w:p>
        </w:tc>
        <w:tc>
          <w:tcPr>
            <w:tcW w:type="dxa" w:w="2304"/>
          </w:tcPr>
          <w:p>
            <w:r>
              <w:rPr>
                <w:sz w:val="18"/>
              </w:rPr>
              <w:t>No BAA with two providers</w:t>
            </w:r>
          </w:p>
        </w:tc>
        <w:tc>
          <w:tcPr>
            <w:tcW w:type="dxa" w:w="1008"/>
          </w:tcPr>
          <w:p>
            <w:r>
              <w:rPr>
                <w:sz w:val="18"/>
              </w:rPr>
              <w:t>Moderate</w:t>
            </w:r>
          </w:p>
        </w:tc>
        <w:tc>
          <w:tcPr>
            <w:tcW w:type="dxa" w:w="1008"/>
          </w:tcPr>
          <w:p>
            <w:r>
              <w:rPr>
                <w:sz w:val="18"/>
              </w:rPr>
              <w:t>Very High</w:t>
            </w:r>
          </w:p>
        </w:tc>
        <w:tc>
          <w:tcPr>
            <w:tcW w:type="dxa" w:w="1008"/>
          </w:tcPr>
          <w:p>
            <w:r>
              <w:rPr>
                <w:sz w:val="18"/>
              </w:rPr>
              <w:t>High</w:t>
            </w:r>
          </w:p>
        </w:tc>
        <w:tc>
          <w:tcPr>
            <w:tcW w:type="dxa" w:w="2304"/>
          </w:tcPr>
          <w:p>
            <w:r>
              <w:rPr>
                <w:sz w:val="18"/>
              </w:rPr>
              <w:t>Execute BAAs; block PHI paths in the interim</w:t>
            </w:r>
          </w:p>
        </w:tc>
      </w:tr>
      <w:tr>
        <w:tc>
          <w:tcPr>
            <w:tcW w:type="dxa" w:w="2160"/>
          </w:tcPr>
          <w:p>
            <w:r>
              <w:rPr>
                <w:sz w:val="18"/>
              </w:rPr>
              <w:t>Credential compromise</w:t>
            </w:r>
          </w:p>
        </w:tc>
        <w:tc>
          <w:tcPr>
            <w:tcW w:type="dxa" w:w="2304"/>
          </w:tcPr>
          <w:p>
            <w:r>
              <w:rPr>
                <w:sz w:val="18"/>
              </w:rPr>
              <w:t>Password path exists alongside federated identity</w:t>
            </w:r>
          </w:p>
        </w:tc>
        <w:tc>
          <w:tcPr>
            <w:tcW w:type="dxa" w:w="1008"/>
          </w:tcPr>
          <w:p>
            <w:r>
              <w:rPr>
                <w:sz w:val="18"/>
              </w:rPr>
              <w:t>Moderate</w:t>
            </w:r>
          </w:p>
        </w:tc>
        <w:tc>
          <w:tcPr>
            <w:tcW w:type="dxa" w:w="1008"/>
          </w:tcPr>
          <w:p>
            <w:r>
              <w:rPr>
                <w:sz w:val="18"/>
              </w:rPr>
              <w:t>High</w:t>
            </w:r>
          </w:p>
        </w:tc>
        <w:tc>
          <w:tcPr>
            <w:tcW w:type="dxa" w:w="1008"/>
          </w:tcPr>
          <w:p>
            <w:r>
              <w:rPr>
                <w:sz w:val="18"/>
              </w:rPr>
              <w:t>High</w:t>
            </w:r>
          </w:p>
        </w:tc>
        <w:tc>
          <w:tcPr>
            <w:tcW w:type="dxa" w:w="2304"/>
          </w:tcPr>
          <w:p>
            <w:r>
              <w:rPr>
                <w:sz w:val="18"/>
              </w:rPr>
              <w:t>MFA, lockout, session revocation</w:t>
            </w:r>
          </w:p>
        </w:tc>
      </w:tr>
      <w:tr>
        <w:tc>
          <w:tcPr>
            <w:tcW w:type="dxa" w:w="2160"/>
          </w:tcPr>
          <w:p>
            <w:r>
              <w:rPr>
                <w:sz w:val="18"/>
              </w:rPr>
              <w:t>Insider misuse of PHI access</w:t>
            </w:r>
          </w:p>
        </w:tc>
        <w:tc>
          <w:tcPr>
            <w:tcW w:type="dxa" w:w="2304"/>
          </w:tcPr>
          <w:p>
            <w:r>
              <w:rPr>
                <w:sz w:val="18"/>
              </w:rPr>
              <w:t>Broad role could exceed minimum necessary</w:t>
            </w:r>
          </w:p>
        </w:tc>
        <w:tc>
          <w:tcPr>
            <w:tcW w:type="dxa" w:w="1008"/>
          </w:tcPr>
          <w:p>
            <w:r>
              <w:rPr>
                <w:sz w:val="18"/>
              </w:rPr>
              <w:t>Low</w:t>
            </w:r>
          </w:p>
        </w:tc>
        <w:tc>
          <w:tcPr>
            <w:tcW w:type="dxa" w:w="1008"/>
          </w:tcPr>
          <w:p>
            <w:r>
              <w:rPr>
                <w:sz w:val="18"/>
              </w:rPr>
              <w:t>High</w:t>
            </w:r>
          </w:p>
        </w:tc>
        <w:tc>
          <w:tcPr>
            <w:tcW w:type="dxa" w:w="1008"/>
          </w:tcPr>
          <w:p>
            <w:r>
              <w:rPr>
                <w:sz w:val="18"/>
              </w:rPr>
              <w:t>Moderate</w:t>
            </w:r>
          </w:p>
        </w:tc>
        <w:tc>
          <w:tcPr>
            <w:tcW w:type="dxa" w:w="2304"/>
          </w:tcPr>
          <w:p>
            <w:r>
              <w:rPr>
                <w:sz w:val="18"/>
              </w:rPr>
              <w:t>Quarterly access review; per-request audit</w:t>
            </w:r>
          </w:p>
        </w:tc>
      </w:tr>
      <w:tr>
        <w:tc>
          <w:tcPr>
            <w:tcW w:type="dxa" w:w="2160"/>
          </w:tcPr>
          <w:p>
            <w:r>
              <w:rPr>
                <w:sz w:val="18"/>
              </w:rPr>
              <w:t>Audit record tampering</w:t>
            </w:r>
          </w:p>
        </w:tc>
        <w:tc>
          <w:tcPr>
            <w:tcW w:type="dxa" w:w="2304"/>
          </w:tcPr>
          <w:p>
            <w:r>
              <w:rPr>
                <w:sz w:val="18"/>
              </w:rPr>
              <w:t>No hash chaining</w:t>
            </w:r>
          </w:p>
        </w:tc>
        <w:tc>
          <w:tcPr>
            <w:tcW w:type="dxa" w:w="1008"/>
          </w:tcPr>
          <w:p>
            <w:r>
              <w:rPr>
                <w:sz w:val="18"/>
              </w:rPr>
              <w:t>Low</w:t>
            </w:r>
          </w:p>
        </w:tc>
        <w:tc>
          <w:tcPr>
            <w:tcW w:type="dxa" w:w="1008"/>
          </w:tcPr>
          <w:p>
            <w:r>
              <w:rPr>
                <w:sz w:val="18"/>
              </w:rPr>
              <w:t>High</w:t>
            </w:r>
          </w:p>
        </w:tc>
        <w:tc>
          <w:tcPr>
            <w:tcW w:type="dxa" w:w="1008"/>
          </w:tcPr>
          <w:p>
            <w:r>
              <w:rPr>
                <w:sz w:val="18"/>
              </w:rPr>
              <w:t>Moderate</w:t>
            </w:r>
          </w:p>
        </w:tc>
        <w:tc>
          <w:tcPr>
            <w:tcW w:type="dxa" w:w="2304"/>
          </w:tcPr>
          <w:p>
            <w:r>
              <w:rPr>
                <w:sz w:val="18"/>
              </w:rPr>
              <w:t>Implement tamper-evidence</w:t>
            </w:r>
          </w:p>
        </w:tc>
      </w:tr>
      <w:tr>
        <w:tc>
          <w:tcPr>
            <w:tcW w:type="dxa" w:w="2160"/>
          </w:tcPr>
          <w:p>
            <w:r>
              <w:rPr>
                <w:sz w:val="18"/>
              </w:rPr>
              <w:t>Lost or stolen device</w:t>
            </w:r>
          </w:p>
        </w:tc>
        <w:tc>
          <w:tcPr>
            <w:tcW w:type="dxa" w:w="2304"/>
          </w:tcPr>
          <w:p>
            <w:r>
              <w:rPr>
                <w:sz w:val="18"/>
              </w:rPr>
              <w:t>Mobile access to the platform</w:t>
            </w:r>
          </w:p>
        </w:tc>
        <w:tc>
          <w:tcPr>
            <w:tcW w:type="dxa" w:w="1008"/>
          </w:tcPr>
          <w:p>
            <w:r>
              <w:rPr>
                <w:sz w:val="18"/>
              </w:rPr>
              <w:t>Moderate</w:t>
            </w:r>
          </w:p>
        </w:tc>
        <w:tc>
          <w:tcPr>
            <w:tcW w:type="dxa" w:w="1008"/>
          </w:tcPr>
          <w:p>
            <w:r>
              <w:rPr>
                <w:sz w:val="18"/>
              </w:rPr>
              <w:t>Moderate</w:t>
            </w:r>
          </w:p>
        </w:tc>
        <w:tc>
          <w:tcPr>
            <w:tcW w:type="dxa" w:w="1008"/>
          </w:tcPr>
          <w:p>
            <w:r>
              <w:rPr>
                <w:sz w:val="18"/>
              </w:rPr>
              <w:t>Moderate</w:t>
            </w:r>
          </w:p>
        </w:tc>
        <w:tc>
          <w:tcPr>
            <w:tcW w:type="dxa" w:w="2304"/>
          </w:tcPr>
          <w:p>
            <w:r>
              <w:rPr>
                <w:sz w:val="18"/>
              </w:rPr>
              <w:t>Encryption safe harbour; remote wipe</w:t>
            </w:r>
          </w:p>
        </w:tc>
      </w:tr>
      <w:tr>
        <w:tc>
          <w:tcPr>
            <w:tcW w:type="dxa" w:w="2160"/>
          </w:tcPr>
          <w:p>
            <w:r>
              <w:rPr>
                <w:sz w:val="18"/>
              </w:rPr>
              <w:t>Ransomware</w:t>
            </w:r>
          </w:p>
        </w:tc>
        <w:tc>
          <w:tcPr>
            <w:tcW w:type="dxa" w:w="2304"/>
          </w:tcPr>
          <w:p>
            <w:r>
              <w:rPr>
                <w:sz w:val="18"/>
              </w:rPr>
              <w:t>Cloud-hosted but reachable via credentials</w:t>
            </w:r>
          </w:p>
        </w:tc>
        <w:tc>
          <w:tcPr>
            <w:tcW w:type="dxa" w:w="1008"/>
          </w:tcPr>
          <w:p>
            <w:r>
              <w:rPr>
                <w:sz w:val="18"/>
              </w:rPr>
              <w:t>Low</w:t>
            </w:r>
          </w:p>
        </w:tc>
        <w:tc>
          <w:tcPr>
            <w:tcW w:type="dxa" w:w="1008"/>
          </w:tcPr>
          <w:p>
            <w:r>
              <w:rPr>
                <w:sz w:val="18"/>
              </w:rPr>
              <w:t>Very High</w:t>
            </w:r>
          </w:p>
        </w:tc>
        <w:tc>
          <w:tcPr>
            <w:tcW w:type="dxa" w:w="1008"/>
          </w:tcPr>
          <w:p>
            <w:r>
              <w:rPr>
                <w:sz w:val="18"/>
              </w:rPr>
              <w:t>Moderate</w:t>
            </w:r>
          </w:p>
        </w:tc>
        <w:tc>
          <w:tcPr>
            <w:tcW w:type="dxa" w:w="2304"/>
          </w:tcPr>
          <w:p>
            <w:r>
              <w:rPr>
                <w:sz w:val="18"/>
              </w:rPr>
              <w:t>Platform backups outside the compromise domain</w:t>
            </w:r>
          </w:p>
        </w:tc>
      </w:tr>
      <w:tr>
        <w:tc>
          <w:tcPr>
            <w:tcW w:type="dxa" w:w="2160"/>
          </w:tcPr>
          <w:p>
            <w:r>
              <w:rPr>
                <w:sz w:val="18"/>
              </w:rPr>
              <w:t>Misconfiguration exposes data</w:t>
            </w:r>
          </w:p>
        </w:tc>
        <w:tc>
          <w:tcPr>
            <w:tcW w:type="dxa" w:w="2304"/>
          </w:tcPr>
          <w:p>
            <w:r>
              <w:rPr>
                <w:sz w:val="18"/>
              </w:rPr>
              <w:t>Manual configuration steps</w:t>
            </w:r>
          </w:p>
        </w:tc>
        <w:tc>
          <w:tcPr>
            <w:tcW w:type="dxa" w:w="1008"/>
          </w:tcPr>
          <w:p>
            <w:r>
              <w:rPr>
                <w:sz w:val="18"/>
              </w:rPr>
              <w:t>Moderate</w:t>
            </w:r>
          </w:p>
        </w:tc>
        <w:tc>
          <w:tcPr>
            <w:tcW w:type="dxa" w:w="1008"/>
          </w:tcPr>
          <w:p>
            <w:r>
              <w:rPr>
                <w:sz w:val="18"/>
              </w:rPr>
              <w:t>High</w:t>
            </w:r>
          </w:p>
        </w:tc>
        <w:tc>
          <w:tcPr>
            <w:tcW w:type="dxa" w:w="1008"/>
          </w:tcPr>
          <w:p>
            <w:r>
              <w:rPr>
                <w:sz w:val="18"/>
              </w:rPr>
              <w:t>High</w:t>
            </w:r>
          </w:p>
        </w:tc>
        <w:tc>
          <w:tcPr>
            <w:tcW w:type="dxa" w:w="2304"/>
          </w:tcPr>
          <w:p>
            <w:r>
              <w:rPr>
                <w:sz w:val="18"/>
              </w:rPr>
              <w:t>Baselines and nightly drift detection</w:t>
            </w:r>
          </w:p>
        </w:tc>
      </w:tr>
    </w:tbl>
    <w:p/>
    <w:p>
      <w:pPr>
        <w:pStyle w:val="Heading1"/>
      </w:pPr>
      <w:r>
        <w:t>8. Findings and corrective actions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720"/>
            <w:shd w:val="clear" w:fill="0F2B4C"/>
          </w:tcPr>
          <w:p>
            <w:r>
              <w:rPr>
                <w:b/>
                <w:color w:val="FFFFFF"/>
                <w:sz w:val="18"/>
              </w:rPr>
              <w:t>ID</w:t>
            </w:r>
          </w:p>
        </w:tc>
        <w:tc>
          <w:tcPr>
            <w:tcW w:type="dxa" w:w="2880"/>
            <w:shd w:val="clear" w:fill="0F2B4C"/>
          </w:tcPr>
          <w:p>
            <w:r>
              <w:rPr>
                <w:b/>
                <w:color w:val="FFFFFF"/>
                <w:sz w:val="18"/>
              </w:rPr>
              <w:t>Finding</w:t>
            </w:r>
          </w:p>
        </w:tc>
        <w:tc>
          <w:tcPr>
            <w:tcW w:type="dxa" w:w="1728"/>
            <w:shd w:val="clear" w:fill="0F2B4C"/>
          </w:tcPr>
          <w:p>
            <w:r>
              <w:rPr>
                <w:b/>
                <w:color w:val="FFFFFF"/>
                <w:sz w:val="18"/>
              </w:rPr>
              <w:t>Standard</w:t>
            </w:r>
          </w:p>
        </w:tc>
        <w:tc>
          <w:tcPr>
            <w:tcW w:type="dxa" w:w="1152"/>
            <w:shd w:val="clear" w:fill="0F2B4C"/>
          </w:tcPr>
          <w:p>
            <w:r>
              <w:rPr>
                <w:b/>
                <w:color w:val="FFFFFF"/>
                <w:sz w:val="18"/>
              </w:rPr>
              <w:t>Severity</w:t>
            </w:r>
          </w:p>
        </w:tc>
        <w:tc>
          <w:tcPr>
            <w:tcW w:type="dxa" w:w="2160"/>
            <w:shd w:val="clear" w:fill="0F2B4C"/>
          </w:tcPr>
          <w:p>
            <w:r>
              <w:rPr>
                <w:b/>
                <w:color w:val="FFFFFF"/>
                <w:sz w:val="18"/>
              </w:rPr>
              <w:t>Corrective action</w:t>
            </w:r>
          </w:p>
        </w:tc>
        <w:tc>
          <w:tcPr>
            <w:tcW w:type="dxa" w:w="864"/>
            <w:shd w:val="clear" w:fill="0F2B4C"/>
          </w:tcPr>
          <w:p>
            <w:r>
              <w:rPr>
                <w:b/>
                <w:color w:val="FFFFFF"/>
                <w:sz w:val="18"/>
              </w:rPr>
              <w:t>Target</w:t>
            </w:r>
          </w:p>
        </w:tc>
      </w:tr>
      <w:tr>
        <w:tc>
          <w:tcPr>
            <w:tcW w:type="dxa" w:w="720"/>
          </w:tcPr>
          <w:p>
            <w:r>
              <w:rPr>
                <w:sz w:val="18"/>
              </w:rPr>
              <w:t>F-01</w:t>
            </w:r>
          </w:p>
        </w:tc>
        <w:tc>
          <w:tcPr>
            <w:tcW w:type="dxa" w:w="2880"/>
          </w:tcPr>
          <w:p>
            <w:r>
              <w:rPr>
                <w:sz w:val="18"/>
              </w:rPr>
              <w:t>Clinical audio is transmitted to a transcription provider without redaction</w:t>
            </w:r>
          </w:p>
        </w:tc>
        <w:tc>
          <w:tcPr>
            <w:tcW w:type="dxa" w:w="1728"/>
          </w:tcPr>
          <w:p>
            <w:r>
              <w:rPr>
                <w:sz w:val="18"/>
              </w:rPr>
              <w:t>164.308(b)(1), 164.312(e)(1)</w:t>
            </w:r>
          </w:p>
        </w:tc>
        <w:tc>
          <w:tcPr>
            <w:tcW w:type="dxa" w:w="1152"/>
          </w:tcPr>
          <w:p>
            <w:r>
              <w:rPr>
                <w:sz w:val="18"/>
              </w:rPr>
              <w:t>High</w:t>
            </w:r>
          </w:p>
        </w:tc>
        <w:tc>
          <w:tcPr>
            <w:tcW w:type="dxa" w:w="2160"/>
          </w:tcPr>
          <w:p>
            <w:r>
              <w:rPr>
                <w:sz w:val="18"/>
              </w:rPr>
              <w:t>Execute a BAA or implement pre-transmission redaction</w:t>
            </w:r>
          </w:p>
        </w:tc>
        <w:tc>
          <w:tcPr>
            <w:tcW w:type="dxa" w:w="864"/>
          </w:tcPr>
          <w:p>
            <w:r>
              <w:rPr>
                <w:sz w:val="18"/>
              </w:rPr>
              <w:t>90 days</w:t>
            </w:r>
          </w:p>
        </w:tc>
      </w:tr>
      <w:tr>
        <w:tc>
          <w:tcPr>
            <w:tcW w:type="dxa" w:w="720"/>
          </w:tcPr>
          <w:p>
            <w:r>
              <w:rPr>
                <w:sz w:val="18"/>
              </w:rPr>
              <w:t>F-02</w:t>
            </w:r>
          </w:p>
        </w:tc>
        <w:tc>
          <w:tcPr>
            <w:tcW w:type="dxa" w:w="2880"/>
          </w:tcPr>
          <w:p>
            <w:r>
              <w:rPr>
                <w:sz w:val="18"/>
              </w:rPr>
              <w:t>No BAA with two AI providers processing potential PHI</w:t>
            </w:r>
          </w:p>
        </w:tc>
        <w:tc>
          <w:tcPr>
            <w:tcW w:type="dxa" w:w="1728"/>
          </w:tcPr>
          <w:p>
            <w:r>
              <w:rPr>
                <w:sz w:val="18"/>
              </w:rPr>
              <w:t>164.308(b)(1)</w:t>
            </w:r>
          </w:p>
        </w:tc>
        <w:tc>
          <w:tcPr>
            <w:tcW w:type="dxa" w:w="1152"/>
          </w:tcPr>
          <w:p>
            <w:r>
              <w:rPr>
                <w:sz w:val="18"/>
              </w:rPr>
              <w:t>High</w:t>
            </w:r>
          </w:p>
        </w:tc>
        <w:tc>
          <w:tcPr>
            <w:tcW w:type="dxa" w:w="2160"/>
          </w:tcPr>
          <w:p>
            <w:r>
              <w:rPr>
                <w:sz w:val="18"/>
              </w:rPr>
              <w:t>Execute BAAs with zero-retention terms</w:t>
            </w:r>
          </w:p>
        </w:tc>
        <w:tc>
          <w:tcPr>
            <w:tcW w:type="dxa" w:w="864"/>
          </w:tcPr>
          <w:p>
            <w:r>
              <w:rPr>
                <w:sz w:val="18"/>
              </w:rPr>
              <w:t>90 days</w:t>
            </w:r>
          </w:p>
        </w:tc>
      </w:tr>
      <w:tr>
        <w:tc>
          <w:tcPr>
            <w:tcW w:type="dxa" w:w="720"/>
          </w:tcPr>
          <w:p>
            <w:r>
              <w:rPr>
                <w:sz w:val="18"/>
              </w:rPr>
              <w:t>F-03</w:t>
            </w:r>
          </w:p>
        </w:tc>
        <w:tc>
          <w:tcPr>
            <w:tcW w:type="dxa" w:w="2880"/>
          </w:tcPr>
          <w:p>
            <w:r>
              <w:rPr>
                <w:sz w:val="18"/>
              </w:rPr>
              <w:t>Audit log lacks tamper-evidence</w:t>
            </w:r>
          </w:p>
        </w:tc>
        <w:tc>
          <w:tcPr>
            <w:tcW w:type="dxa" w:w="1728"/>
          </w:tcPr>
          <w:p>
            <w:r>
              <w:rPr>
                <w:sz w:val="18"/>
              </w:rPr>
              <w:t>164.312(c)(1)</w:t>
            </w:r>
          </w:p>
        </w:tc>
        <w:tc>
          <w:tcPr>
            <w:tcW w:type="dxa" w:w="1152"/>
          </w:tcPr>
          <w:p>
            <w:r>
              <w:rPr>
                <w:sz w:val="18"/>
              </w:rPr>
              <w:t>Moderate</w:t>
            </w:r>
          </w:p>
        </w:tc>
        <w:tc>
          <w:tcPr>
            <w:tcW w:type="dxa" w:w="2160"/>
          </w:tcPr>
          <w:p>
            <w:r>
              <w:rPr>
                <w:sz w:val="18"/>
              </w:rPr>
              <w:t>Implement hash chaining</w:t>
            </w:r>
          </w:p>
        </w:tc>
        <w:tc>
          <w:tcPr>
            <w:tcW w:type="dxa" w:w="864"/>
          </w:tcPr>
          <w:p>
            <w:r>
              <w:rPr>
                <w:sz w:val="18"/>
              </w:rPr>
              <w:t>180 days</w:t>
            </w:r>
          </w:p>
        </w:tc>
      </w:tr>
      <w:tr>
        <w:tc>
          <w:tcPr>
            <w:tcW w:type="dxa" w:w="720"/>
          </w:tcPr>
          <w:p>
            <w:r>
              <w:rPr>
                <w:sz w:val="18"/>
              </w:rPr>
              <w:t>F-04</w:t>
            </w:r>
          </w:p>
        </w:tc>
        <w:tc>
          <w:tcPr>
            <w:tcW w:type="dxa" w:w="2880"/>
          </w:tcPr>
          <w:p>
            <w:r>
              <w:rPr>
                <w:sz w:val="18"/>
              </w:rPr>
              <w:t>Database credential is not held in Key Vault</w:t>
            </w:r>
          </w:p>
        </w:tc>
        <w:tc>
          <w:tcPr>
            <w:tcW w:type="dxa" w:w="1728"/>
          </w:tcPr>
          <w:p>
            <w:r>
              <w:rPr>
                <w:sz w:val="18"/>
              </w:rPr>
              <w:t>164.312(a)(2)(iv)</w:t>
            </w:r>
          </w:p>
        </w:tc>
        <w:tc>
          <w:tcPr>
            <w:tcW w:type="dxa" w:w="1152"/>
          </w:tcPr>
          <w:p>
            <w:r>
              <w:rPr>
                <w:sz w:val="18"/>
              </w:rPr>
              <w:t>Moderate</w:t>
            </w:r>
          </w:p>
        </w:tc>
        <w:tc>
          <w:tcPr>
            <w:tcW w:type="dxa" w:w="2160"/>
          </w:tcPr>
          <w:p>
            <w:r>
              <w:rPr>
                <w:sz w:val="18"/>
              </w:rPr>
              <w:t>Migrate to a Key Vault reference</w:t>
            </w:r>
          </w:p>
        </w:tc>
        <w:tc>
          <w:tcPr>
            <w:tcW w:type="dxa" w:w="864"/>
          </w:tcPr>
          <w:p>
            <w:r>
              <w:rPr>
                <w:sz w:val="18"/>
              </w:rPr>
              <w:t>60 days</w:t>
            </w:r>
          </w:p>
        </w:tc>
      </w:tr>
      <w:tr>
        <w:tc>
          <w:tcPr>
            <w:tcW w:type="dxa" w:w="720"/>
          </w:tcPr>
          <w:p>
            <w:r>
              <w:rPr>
                <w:sz w:val="18"/>
              </w:rPr>
              <w:t>F-05</w:t>
            </w:r>
          </w:p>
        </w:tc>
        <w:tc>
          <w:tcPr>
            <w:tcW w:type="dxa" w:w="2880"/>
          </w:tcPr>
          <w:p>
            <w:r>
              <w:rPr>
                <w:sz w:val="18"/>
              </w:rPr>
              <w:t>One static analysis scanner has never executed</w:t>
            </w:r>
          </w:p>
        </w:tc>
        <w:tc>
          <w:tcPr>
            <w:tcW w:type="dxa" w:w="1728"/>
          </w:tcPr>
          <w:p>
            <w:r>
              <w:rPr>
                <w:sz w:val="18"/>
              </w:rPr>
              <w:t>164.308(a)(8)</w:t>
            </w:r>
          </w:p>
        </w:tc>
        <w:tc>
          <w:tcPr>
            <w:tcW w:type="dxa" w:w="1152"/>
          </w:tcPr>
          <w:p>
            <w:r>
              <w:rPr>
                <w:sz w:val="18"/>
              </w:rPr>
              <w:t>Moderate</w:t>
            </w:r>
          </w:p>
        </w:tc>
        <w:tc>
          <w:tcPr>
            <w:tcW w:type="dxa" w:w="2160"/>
          </w:tcPr>
          <w:p>
            <w:r>
              <w:rPr>
                <w:sz w:val="18"/>
              </w:rPr>
              <w:t>Execute on a supported platform</w:t>
            </w:r>
          </w:p>
        </w:tc>
        <w:tc>
          <w:tcPr>
            <w:tcW w:type="dxa" w:w="864"/>
          </w:tcPr>
          <w:p>
            <w:r>
              <w:rPr>
                <w:sz w:val="18"/>
              </w:rPr>
              <w:t>60 days</w:t>
            </w:r>
          </w:p>
        </w:tc>
      </w:tr>
    </w:tbl>
    <w:p/>
    <w:p>
      <w:pPr>
        <w:pStyle w:val="Heading1"/>
      </w:pPr>
      <w:r>
        <w:t>9. Residual risk statement</w:t>
      </w:r>
    </w:p>
    <w:p>
      <w:r>
        <w:t>With the corrective actions in section 8 outstanding, AGT's residual risk to ePHI is assessed as MODERATE. The dominant contributor is F-01 and F-02: clinical content can reach third-party processors that have not provided the written assurances HIPAA requires. Until those are executed or the paths are blocked, the compliant position is that PHI must not traverse them, and the residual risk reflects the gap between that requirement and the technical enforcement currently in place.</w:t>
      </w:r>
    </w:p>
    <w:p>
      <w:pPr>
        <w:pStyle w:val="Heading1"/>
      </w:pPr>
      <w:r>
        <w:t>10. Assessment metadata</w:t>
      </w:r>
    </w:p>
    <w:tbl>
      <w:tblPr>
        <w:tblStyle w:val="TableGrid"/>
        <w:tblW w:type="auto" w:w="0"/>
        <w:tblLook w:firstColumn="1" w:firstRow="1" w:lastColumn="0" w:lastRow="0" w:noHBand="0" w:noVBand="1" w:val="04A0"/>
      </w:tblPr>
      <w:tblGrid>
        <w:gridCol w:w="4680"/>
        <w:gridCol w:w="4680"/>
      </w:tblGrid>
      <w:tr>
        <w:tc>
          <w:tcPr>
            <w:tcW w:type="dxa" w:w="2304"/>
            <w:shd w:val="clear" w:fill="0F2B4C"/>
          </w:tcPr>
          <w:p>
            <w:r>
              <w:rPr>
                <w:b/>
                <w:color w:val="FFFFFF"/>
                <w:sz w:val="18"/>
              </w:rPr>
              <w:t>Attribute</w:t>
            </w:r>
          </w:p>
        </w:tc>
        <w:tc>
          <w:tcPr>
            <w:tcW w:type="dxa" w:w="6624"/>
            <w:shd w:val="clear" w:fill="0F2B4C"/>
          </w:tcPr>
          <w:p>
            <w:r>
              <w:rPr>
                <w:b/>
                <w:color w:val="FFFFFF"/>
                <w:sz w:val="18"/>
              </w:rPr>
              <w:t>Value</w:t>
            </w:r>
          </w:p>
        </w:tc>
      </w:tr>
      <w:tr>
        <w:tc>
          <w:tcPr>
            <w:tcW w:type="dxa" w:w="2304"/>
          </w:tcPr>
          <w:p>
            <w:r>
              <w:rPr>
                <w:sz w:val="18"/>
              </w:rPr>
              <w:t>Assessment date</w:t>
            </w:r>
          </w:p>
        </w:tc>
        <w:tc>
          <w:tcPr>
            <w:tcW w:type="dxa" w:w="6624"/>
          </w:tcPr>
          <w:p>
            <w:r>
              <w:rPr>
                <w:sz w:val="18"/>
              </w:rPr>
              <w:t>2026-07-28</w:t>
            </w:r>
          </w:p>
        </w:tc>
      </w:tr>
      <w:tr>
        <w:tc>
          <w:tcPr>
            <w:tcW w:type="dxa" w:w="2304"/>
          </w:tcPr>
          <w:p>
            <w:r>
              <w:rPr>
                <w:sz w:val="18"/>
              </w:rPr>
              <w:t>Assessor</w:t>
            </w:r>
          </w:p>
        </w:tc>
        <w:tc>
          <w:tcPr>
            <w:tcW w:type="dxa" w:w="6624"/>
          </w:tcPr>
          <w:p>
            <w:r>
              <w:rPr>
                <w:sz w:val="18"/>
              </w:rPr>
              <w:t>AGT Security Officer, using the AGT Security Assurance Platform</w:t>
            </w:r>
          </w:p>
        </w:tc>
      </w:tr>
      <w:tr>
        <w:tc>
          <w:tcPr>
            <w:tcW w:type="dxa" w:w="2304"/>
          </w:tcPr>
          <w:p>
            <w:r>
              <w:rPr>
                <w:sz w:val="18"/>
              </w:rPr>
              <w:t>Method</w:t>
            </w:r>
          </w:p>
        </w:tc>
        <w:tc>
          <w:tcPr>
            <w:tcW w:type="dxa" w:w="6624"/>
          </w:tcPr>
          <w:p>
            <w:r>
              <w:rPr>
                <w:sz w:val="18"/>
              </w:rPr>
              <w:t>Automated scanning, configuration review, code review, policy review</w:t>
            </w:r>
          </w:p>
        </w:tc>
      </w:tr>
      <w:tr>
        <w:tc>
          <w:tcPr>
            <w:tcW w:type="dxa" w:w="2304"/>
          </w:tcPr>
          <w:p>
            <w:r>
              <w:rPr>
                <w:sz w:val="18"/>
              </w:rPr>
              <w:t>Scope</w:t>
            </w:r>
          </w:p>
        </w:tc>
        <w:tc>
          <w:tcPr>
            <w:tcW w:type="dxa" w:w="6624"/>
          </w:tcPr>
          <w:p>
            <w:r>
              <w:rPr>
                <w:sz w:val="18"/>
              </w:rPr>
              <w:t>DocuAction TEFCA ARC production and development environments</w:t>
            </w:r>
          </w:p>
        </w:tc>
      </w:tr>
      <w:tr>
        <w:tc>
          <w:tcPr>
            <w:tcW w:type="dxa" w:w="2304"/>
          </w:tcPr>
          <w:p>
            <w:r>
              <w:rPr>
                <w:sz w:val="18"/>
              </w:rPr>
              <w:t>Next assessment</w:t>
            </w:r>
          </w:p>
        </w:tc>
        <w:tc>
          <w:tcPr>
            <w:tcW w:type="dxa" w:w="6624"/>
          </w:tcPr>
          <w:p>
            <w:r>
              <w:rPr>
                <w:sz w:val="18"/>
              </w:rPr>
              <w:t>2027-07-28, or upon material change</w:t>
            </w:r>
          </w:p>
        </w:tc>
      </w:tr>
      <w:tr>
        <w:tc>
          <w:tcPr>
            <w:tcW w:type="dxa" w:w="2304"/>
          </w:tcPr>
          <w:p>
            <w:r>
              <w:rPr>
                <w:sz w:val="18"/>
              </w:rPr>
              <w:t>Retention</w:t>
            </w:r>
          </w:p>
        </w:tc>
        <w:tc>
          <w:tcPr>
            <w:tcW w:type="dxa" w:w="6624"/>
          </w:tcPr>
          <w:p>
            <w:r>
              <w:rPr>
                <w:sz w:val="18"/>
              </w:rPr>
              <w:t>Six years per 164.316(b)(2)</w:t>
            </w:r>
          </w:p>
        </w:tc>
      </w:tr>
    </w:tbl>
    <w:p/>
    <w:p>
      <w:pPr>
        <w:pStyle w:val="Heading2"/>
      </w:pPr>
      <w:r>
        <w:t>Roles and responsibilities</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Role</w:t>
            </w:r>
          </w:p>
        </w:tc>
        <w:tc>
          <w:tcPr>
            <w:tcW w:type="dxa" w:w="6336"/>
            <w:shd w:val="clear" w:fill="0F2B4C"/>
          </w:tcPr>
          <w:p>
            <w:r>
              <w:rPr>
                <w:b/>
                <w:color w:val="FFFFFF"/>
                <w:sz w:val="18"/>
              </w:rPr>
              <w:t>Responsibility</w:t>
            </w:r>
          </w:p>
        </w:tc>
      </w:tr>
      <w:tr>
        <w:tc>
          <w:tcPr>
            <w:tcW w:type="dxa" w:w="2592"/>
          </w:tcPr>
          <w:p>
            <w:r>
              <w:rPr>
                <w:sz w:val="18"/>
              </w:rPr>
              <w:t>Security Officer</w:t>
            </w:r>
          </w:p>
        </w:tc>
        <w:tc>
          <w:tcPr>
            <w:tcW w:type="dxa" w:w="6336"/>
          </w:tcPr>
          <w:p>
            <w:r>
              <w:rPr>
                <w:sz w:val="18"/>
              </w:rPr>
              <w:t>Conducts the assessment; tracks corrective actions.</w:t>
            </w:r>
          </w:p>
        </w:tc>
      </w:tr>
      <w:tr>
        <w:tc>
          <w:tcPr>
            <w:tcW w:type="dxa" w:w="2592"/>
          </w:tcPr>
          <w:p>
            <w:r>
              <w:rPr>
                <w:sz w:val="18"/>
              </w:rPr>
              <w:t>Privacy Officer</w:t>
            </w:r>
          </w:p>
        </w:tc>
        <w:tc>
          <w:tcPr>
            <w:tcW w:type="dxa" w:w="6336"/>
          </w:tcPr>
          <w:p>
            <w:r>
              <w:rPr>
                <w:sz w:val="18"/>
              </w:rPr>
              <w:t>Validates ePHI scoping and disclosure analysis.</w:t>
            </w:r>
          </w:p>
        </w:tc>
      </w:tr>
      <w:tr>
        <w:tc>
          <w:tcPr>
            <w:tcW w:type="dxa" w:w="2592"/>
          </w:tcPr>
          <w:p>
            <w:r>
              <w:rPr>
                <w:sz w:val="18"/>
              </w:rPr>
              <w:t>CEO</w:t>
            </w:r>
          </w:p>
        </w:tc>
        <w:tc>
          <w:tcPr>
            <w:tcW w:type="dxa" w:w="6336"/>
          </w:tcPr>
          <w:p>
            <w:r>
              <w:rPr>
                <w:sz w:val="18"/>
              </w:rPr>
              <w:t>Accepts residual risk; funds corrective action.</w:t>
            </w:r>
          </w:p>
        </w:tc>
      </w:tr>
    </w:tbl>
    <w:p/>
    <w:p>
      <w:r>
        <w:br w:type="page"/>
      </w:r>
    </w:p>
    <w:p>
      <w:pPr>
        <w:pStyle w:val="Heading2"/>
      </w:pPr>
      <w:r>
        <w:t>Compliance mapping</w:t>
      </w:r>
    </w:p>
    <w:p>
      <w:r>
        <w:t>Each framework reference below identifies the control this document is written to satisfy. Where a control is only partially satisfied, the gap is stated in the row rather than omitted - a mapping table that shows only green is not evidence, it is decoration.</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0F2B4C"/>
          </w:tcPr>
          <w:p>
            <w:r>
              <w:rPr>
                <w:b/>
                <w:color w:val="FFFFFF"/>
                <w:sz w:val="18"/>
              </w:rPr>
              <w:t>Framework</w:t>
            </w:r>
          </w:p>
        </w:tc>
        <w:tc>
          <w:tcPr>
            <w:tcW w:type="dxa" w:w="2160"/>
            <w:shd w:val="clear" w:fill="0F2B4C"/>
          </w:tcPr>
          <w:p>
            <w:r>
              <w:rPr>
                <w:b/>
                <w:color w:val="FFFFFF"/>
                <w:sz w:val="18"/>
              </w:rPr>
              <w:t>Control reference</w:t>
            </w:r>
          </w:p>
        </w:tc>
        <w:tc>
          <w:tcPr>
            <w:tcW w:type="dxa" w:w="4320"/>
            <w:shd w:val="clear" w:fill="0F2B4C"/>
          </w:tcPr>
          <w:p>
            <w:r>
              <w:rPr>
                <w:b/>
                <w:color w:val="FFFFFF"/>
                <w:sz w:val="18"/>
              </w:rPr>
              <w:t>How this document satisfies it</w:t>
            </w:r>
          </w:p>
        </w:tc>
        <w:tc>
          <w:tcPr>
            <w:tcW w:type="dxa" w:w="1152"/>
            <w:shd w:val="clear" w:fill="0F2B4C"/>
          </w:tcPr>
          <w:p>
            <w:r>
              <w:rPr>
                <w:b/>
                <w:color w:val="FFFFFF"/>
                <w:sz w:val="18"/>
              </w:rPr>
              <w:t>Status</w:t>
            </w:r>
          </w:p>
        </w:tc>
      </w:tr>
      <w:tr>
        <w:tc>
          <w:tcPr>
            <w:tcW w:type="dxa" w:w="1584"/>
          </w:tcPr>
          <w:p>
            <w:r>
              <w:rPr>
                <w:sz w:val="18"/>
              </w:rPr>
              <w:t>HIPAA</w:t>
            </w:r>
          </w:p>
        </w:tc>
        <w:tc>
          <w:tcPr>
            <w:tcW w:type="dxa" w:w="2160"/>
          </w:tcPr>
          <w:p>
            <w:r>
              <w:rPr>
                <w:sz w:val="18"/>
              </w:rPr>
              <w:t>164.308(a)(1)(ii)(A)</w:t>
            </w:r>
          </w:p>
        </w:tc>
        <w:tc>
          <w:tcPr>
            <w:tcW w:type="dxa" w:w="4320"/>
          </w:tcPr>
          <w:p>
            <w:r>
              <w:rPr>
                <w:sz w:val="18"/>
              </w:rPr>
              <w:t>Risk analysis - this document is the required assessment.</w:t>
            </w:r>
          </w:p>
        </w:tc>
        <w:tc>
          <w:tcPr>
            <w:tcW w:type="dxa" w:w="1152"/>
          </w:tcPr>
          <w:p>
            <w:r>
              <w:rPr>
                <w:sz w:val="18"/>
              </w:rPr>
              <w:t>Met</w:t>
            </w:r>
          </w:p>
        </w:tc>
      </w:tr>
      <w:tr>
        <w:tc>
          <w:tcPr>
            <w:tcW w:type="dxa" w:w="1584"/>
          </w:tcPr>
          <w:p>
            <w:r>
              <w:rPr>
                <w:sz w:val="18"/>
              </w:rPr>
              <w:t>HIPAA</w:t>
            </w:r>
          </w:p>
        </w:tc>
        <w:tc>
          <w:tcPr>
            <w:tcW w:type="dxa" w:w="2160"/>
          </w:tcPr>
          <w:p>
            <w:r>
              <w:rPr>
                <w:sz w:val="18"/>
              </w:rPr>
              <w:t>164.308(a)(1)(ii)(B)</w:t>
            </w:r>
          </w:p>
        </w:tc>
        <w:tc>
          <w:tcPr>
            <w:tcW w:type="dxa" w:w="4320"/>
          </w:tcPr>
          <w:p>
            <w:r>
              <w:rPr>
                <w:sz w:val="18"/>
              </w:rPr>
              <w:t>Risk management - corrective actions in section 8.</w:t>
            </w:r>
          </w:p>
        </w:tc>
        <w:tc>
          <w:tcPr>
            <w:tcW w:type="dxa" w:w="1152"/>
          </w:tcPr>
          <w:p>
            <w:r>
              <w:rPr>
                <w:sz w:val="18"/>
              </w:rPr>
              <w:t>Met</w:t>
            </w:r>
          </w:p>
        </w:tc>
      </w:tr>
      <w:tr>
        <w:tc>
          <w:tcPr>
            <w:tcW w:type="dxa" w:w="1584"/>
          </w:tcPr>
          <w:p>
            <w:r>
              <w:rPr>
                <w:sz w:val="18"/>
              </w:rPr>
              <w:t>HIPAA</w:t>
            </w:r>
          </w:p>
        </w:tc>
        <w:tc>
          <w:tcPr>
            <w:tcW w:type="dxa" w:w="2160"/>
          </w:tcPr>
          <w:p>
            <w:r>
              <w:rPr>
                <w:sz w:val="18"/>
              </w:rPr>
              <w:t>164.308(a)(8)</w:t>
            </w:r>
          </w:p>
        </w:tc>
        <w:tc>
          <w:tcPr>
            <w:tcW w:type="dxa" w:w="4320"/>
          </w:tcPr>
          <w:p>
            <w:r>
              <w:rPr>
                <w:sz w:val="18"/>
              </w:rPr>
              <w:t>Periodic evaluation.</w:t>
            </w:r>
          </w:p>
        </w:tc>
        <w:tc>
          <w:tcPr>
            <w:tcW w:type="dxa" w:w="1152"/>
          </w:tcPr>
          <w:p>
            <w:r>
              <w:rPr>
                <w:sz w:val="18"/>
              </w:rPr>
              <w:t>Met</w:t>
            </w:r>
          </w:p>
        </w:tc>
      </w:tr>
      <w:tr>
        <w:tc>
          <w:tcPr>
            <w:tcW w:type="dxa" w:w="1584"/>
          </w:tcPr>
          <w:p>
            <w:r>
              <w:rPr>
                <w:sz w:val="18"/>
              </w:rPr>
              <w:t>HIPAA</w:t>
            </w:r>
          </w:p>
        </w:tc>
        <w:tc>
          <w:tcPr>
            <w:tcW w:type="dxa" w:w="2160"/>
          </w:tcPr>
          <w:p>
            <w:r>
              <w:rPr>
                <w:sz w:val="18"/>
              </w:rPr>
              <w:t>164.316(b)(2)</w:t>
            </w:r>
          </w:p>
        </w:tc>
        <w:tc>
          <w:tcPr>
            <w:tcW w:type="dxa" w:w="4320"/>
          </w:tcPr>
          <w:p>
            <w:r>
              <w:rPr>
                <w:sz w:val="18"/>
              </w:rPr>
              <w:t>Six-year retention of this assessment.</w:t>
            </w:r>
          </w:p>
        </w:tc>
        <w:tc>
          <w:tcPr>
            <w:tcW w:type="dxa" w:w="1152"/>
          </w:tcPr>
          <w:p>
            <w:r>
              <w:rPr>
                <w:sz w:val="18"/>
              </w:rPr>
              <w:t>Met</w:t>
            </w:r>
          </w:p>
        </w:tc>
      </w:tr>
      <w:tr>
        <w:tc>
          <w:tcPr>
            <w:tcW w:type="dxa" w:w="1584"/>
          </w:tcPr>
          <w:p>
            <w:r>
              <w:rPr>
                <w:sz w:val="18"/>
              </w:rPr>
              <w:t>NIST 800-66</w:t>
            </w:r>
          </w:p>
        </w:tc>
        <w:tc>
          <w:tcPr>
            <w:tcW w:type="dxa" w:w="2160"/>
          </w:tcPr>
          <w:p>
            <w:r>
              <w:rPr>
                <w:sz w:val="18"/>
              </w:rPr>
              <w:t>Rev. 2</w:t>
            </w:r>
          </w:p>
        </w:tc>
        <w:tc>
          <w:tcPr>
            <w:tcW w:type="dxa" w:w="4320"/>
          </w:tcPr>
          <w:p>
            <w:r>
              <w:rPr>
                <w:sz w:val="18"/>
              </w:rPr>
              <w:t>HIPAA Security Rule implementation guidance.</w:t>
            </w:r>
          </w:p>
        </w:tc>
        <w:tc>
          <w:tcPr>
            <w:tcW w:type="dxa" w:w="1152"/>
          </w:tcPr>
          <w:p>
            <w:r>
              <w:rPr>
                <w:sz w:val="18"/>
              </w:rPr>
              <w:t>Met</w:t>
            </w:r>
          </w:p>
        </w:tc>
      </w:tr>
      <w:tr>
        <w:tc>
          <w:tcPr>
            <w:tcW w:type="dxa" w:w="1584"/>
          </w:tcPr>
          <w:p>
            <w:r>
              <w:rPr>
                <w:sz w:val="18"/>
              </w:rPr>
              <w:t>NIST 800-30</w:t>
            </w:r>
          </w:p>
        </w:tc>
        <w:tc>
          <w:tcPr>
            <w:tcW w:type="dxa" w:w="2160"/>
          </w:tcPr>
          <w:p>
            <w:r>
              <w:rPr>
                <w:sz w:val="18"/>
              </w:rPr>
              <w:t>Rev. 1</w:t>
            </w:r>
          </w:p>
        </w:tc>
        <w:tc>
          <w:tcPr>
            <w:tcW w:type="dxa" w:w="4320"/>
          </w:tcPr>
          <w:p>
            <w:r>
              <w:rPr>
                <w:sz w:val="18"/>
              </w:rPr>
              <w:t>Risk assessment methodology.</w:t>
            </w:r>
          </w:p>
        </w:tc>
        <w:tc>
          <w:tcPr>
            <w:tcW w:type="dxa" w:w="1152"/>
          </w:tcPr>
          <w:p>
            <w:r>
              <w:rPr>
                <w:sz w:val="18"/>
              </w:rPr>
              <w:t>Met</w:t>
            </w:r>
          </w:p>
        </w:tc>
      </w:tr>
      <w:tr>
        <w:tc>
          <w:tcPr>
            <w:tcW w:type="dxa" w:w="1584"/>
          </w:tcPr>
          <w:p>
            <w:r>
              <w:rPr>
                <w:sz w:val="18"/>
              </w:rPr>
              <w:t>SOC 2</w:t>
            </w:r>
          </w:p>
        </w:tc>
        <w:tc>
          <w:tcPr>
            <w:tcW w:type="dxa" w:w="2160"/>
          </w:tcPr>
          <w:p>
            <w:r>
              <w:rPr>
                <w:sz w:val="18"/>
              </w:rPr>
              <w:t>CC3.2</w:t>
            </w:r>
          </w:p>
        </w:tc>
        <w:tc>
          <w:tcPr>
            <w:tcW w:type="dxa" w:w="4320"/>
          </w:tcPr>
          <w:p>
            <w:r>
              <w:rPr>
                <w:sz w:val="18"/>
              </w:rPr>
              <w:t>Risk identification and analysis.</w:t>
            </w:r>
          </w:p>
        </w:tc>
        <w:tc>
          <w:tcPr>
            <w:tcW w:type="dxa" w:w="1152"/>
          </w:tcPr>
          <w:p>
            <w:r>
              <w:rPr>
                <w:sz w:val="18"/>
              </w:rPr>
              <w:t>Met</w:t>
            </w:r>
          </w:p>
        </w:tc>
      </w:tr>
    </w:tbl>
    <w:p/>
    <w:p>
      <w:pPr>
        <w:pStyle w:val="Heading2"/>
      </w:pPr>
      <w:r>
        <w:t>Related documents</w:t>
      </w:r>
    </w:p>
    <w:tbl>
      <w:tblPr>
        <w:tblStyle w:val="TableGrid"/>
        <w:tblW w:type="auto" w:w="0"/>
        <w:tblLook w:firstColumn="1" w:firstRow="1" w:lastColumn="0" w:lastRow="0" w:noHBand="0" w:noVBand="1" w:val="04A0"/>
      </w:tblPr>
      <w:tblGrid>
        <w:gridCol w:w="3120"/>
        <w:gridCol w:w="3120"/>
        <w:gridCol w:w="3120"/>
      </w:tblGrid>
      <w:tr>
        <w:tc>
          <w:tcPr>
            <w:tcW w:type="dxa" w:w="1872"/>
            <w:shd w:val="clear" w:fill="0F2B4C"/>
          </w:tcPr>
          <w:p>
            <w:r>
              <w:rPr>
                <w:b/>
                <w:color w:val="FFFFFF"/>
                <w:sz w:val="18"/>
              </w:rPr>
              <w:t>Document ID</w:t>
            </w:r>
          </w:p>
        </w:tc>
        <w:tc>
          <w:tcPr>
            <w:tcW w:type="dxa" w:w="4176"/>
            <w:shd w:val="clear" w:fill="0F2B4C"/>
          </w:tcPr>
          <w:p>
            <w:r>
              <w:rPr>
                <w:b/>
                <w:color w:val="FFFFFF"/>
                <w:sz w:val="18"/>
              </w:rPr>
              <w:t>Title</w:t>
            </w:r>
          </w:p>
        </w:tc>
        <w:tc>
          <w:tcPr>
            <w:tcW w:type="dxa" w:w="3168"/>
            <w:shd w:val="clear" w:fill="0F2B4C"/>
          </w:tcPr>
          <w:p>
            <w:r>
              <w:rPr>
                <w:b/>
                <w:color w:val="FFFFFF"/>
                <w:sz w:val="18"/>
              </w:rPr>
              <w:t>Relationship</w:t>
            </w:r>
          </w:p>
        </w:tc>
      </w:tr>
      <w:tr>
        <w:tc>
          <w:tcPr>
            <w:tcW w:type="dxa" w:w="1872"/>
          </w:tcPr>
          <w:p>
            <w:r>
              <w:rPr>
                <w:sz w:val="18"/>
              </w:rPr>
              <w:t>AGT-RMP-023</w:t>
            </w:r>
          </w:p>
        </w:tc>
        <w:tc>
          <w:tcPr>
            <w:tcW w:type="dxa" w:w="4176"/>
          </w:tcPr>
          <w:p>
            <w:r>
              <w:rPr>
                <w:sz w:val="18"/>
              </w:rPr>
              <w:t>Risk Management Plan</w:t>
            </w:r>
          </w:p>
        </w:tc>
        <w:tc>
          <w:tcPr>
            <w:tcW w:type="dxa" w:w="3168"/>
          </w:tcPr>
          <w:p>
            <w:r>
              <w:rPr>
                <w:sz w:val="18"/>
              </w:rPr>
              <w:t>Findings feed the enterprise risk register</w:t>
            </w:r>
          </w:p>
        </w:tc>
      </w:tr>
      <w:tr>
        <w:tc>
          <w:tcPr>
            <w:tcW w:type="dxa" w:w="1872"/>
          </w:tcPr>
          <w:p>
            <w:r>
              <w:rPr>
                <w:sz w:val="18"/>
              </w:rPr>
              <w:t>AGT-PPF-014</w:t>
            </w:r>
          </w:p>
        </w:tc>
        <w:tc>
          <w:tcPr>
            <w:tcW w:type="dxa" w:w="4176"/>
          </w:tcPr>
          <w:p>
            <w:r>
              <w:rPr>
                <w:sz w:val="18"/>
              </w:rPr>
              <w:t>Privacy Policy Framework</w:t>
            </w:r>
          </w:p>
        </w:tc>
        <w:tc>
          <w:tcPr>
            <w:tcW w:type="dxa" w:w="3168"/>
          </w:tcPr>
          <w:p>
            <w:r>
              <w:rPr>
                <w:sz w:val="18"/>
              </w:rPr>
              <w:t>Privacy Rule obligations</w:t>
            </w:r>
          </w:p>
        </w:tc>
      </w:tr>
      <w:tr>
        <w:tc>
          <w:tcPr>
            <w:tcW w:type="dxa" w:w="1872"/>
          </w:tcPr>
          <w:p>
            <w:r>
              <w:rPr>
                <w:sz w:val="18"/>
              </w:rPr>
              <w:t>AGT-VRM-012</w:t>
            </w:r>
          </w:p>
        </w:tc>
        <w:tc>
          <w:tcPr>
            <w:tcW w:type="dxa" w:w="4176"/>
          </w:tcPr>
          <w:p>
            <w:r>
              <w:rPr>
                <w:sz w:val="18"/>
              </w:rPr>
              <w:t>Vendor Risk Management Policy</w:t>
            </w:r>
          </w:p>
        </w:tc>
        <w:tc>
          <w:tcPr>
            <w:tcW w:type="dxa" w:w="3168"/>
          </w:tcPr>
          <w:p>
            <w:r>
              <w:rPr>
                <w:sz w:val="18"/>
              </w:rPr>
              <w:t>BAA status for F-02</w:t>
            </w:r>
          </w:p>
        </w:tc>
      </w:tr>
      <w:tr>
        <w:tc>
          <w:tcPr>
            <w:tcW w:type="dxa" w:w="1872"/>
          </w:tcPr>
          <w:p>
            <w:r>
              <w:rPr>
                <w:sz w:val="18"/>
              </w:rPr>
              <w:t>AGT-AIGOV-013</w:t>
            </w:r>
          </w:p>
        </w:tc>
        <w:tc>
          <w:tcPr>
            <w:tcW w:type="dxa" w:w="4176"/>
          </w:tcPr>
          <w:p>
            <w:r>
              <w:rPr>
                <w:sz w:val="18"/>
              </w:rPr>
              <w:t>AI Governance Policy</w:t>
            </w:r>
          </w:p>
        </w:tc>
        <w:tc>
          <w:tcPr>
            <w:tcW w:type="dxa" w:w="3168"/>
          </w:tcPr>
          <w:p>
            <w:r>
              <w:rPr>
                <w:sz w:val="18"/>
              </w:rPr>
              <w:t>Controls for F-01</w:t>
            </w:r>
          </w:p>
        </w:tc>
      </w:tr>
      <w:tr>
        <w:tc>
          <w:tcPr>
            <w:tcW w:type="dxa" w:w="1872"/>
          </w:tcPr>
          <w:p>
            <w:r>
              <w:rPr>
                <w:sz w:val="18"/>
              </w:rPr>
              <w:t>AGT-CMS-024</w:t>
            </w:r>
          </w:p>
        </w:tc>
        <w:tc>
          <w:tcPr>
            <w:tcW w:type="dxa" w:w="4176"/>
          </w:tcPr>
          <w:p>
            <w:r>
              <w:rPr>
                <w:sz w:val="18"/>
              </w:rPr>
              <w:t>Continuous Monitoring Strategy</w:t>
            </w:r>
          </w:p>
        </w:tc>
        <w:tc>
          <w:tcPr>
            <w:tcW w:type="dxa" w:w="3168"/>
          </w:tcPr>
          <w:p>
            <w:r>
              <w:rPr>
                <w:sz w:val="18"/>
              </w:rPr>
              <w:t>Tracks corrective action progress</w:t>
            </w:r>
          </w:p>
        </w:tc>
      </w:tr>
    </w:tbl>
    <w:p/>
    <w:p>
      <w:r>
        <w:br w:type="page"/>
      </w:r>
    </w:p>
    <w:p>
      <w:pPr>
        <w:pStyle w:val="Heading1"/>
      </w:pPr>
      <w:r>
        <w:t>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fill="0F2B4C"/>
          </w:tcPr>
          <w:p>
            <w:r>
              <w:rPr>
                <w:b/>
                <w:color w:val="FFFFFF"/>
                <w:sz w:val="18"/>
              </w:rPr>
              <w:t>Version</w:t>
            </w:r>
          </w:p>
        </w:tc>
        <w:tc>
          <w:tcPr>
            <w:tcW w:type="dxa" w:w="1584"/>
            <w:shd w:val="clear" w:fill="0F2B4C"/>
          </w:tcPr>
          <w:p>
            <w:r>
              <w:rPr>
                <w:b/>
                <w:color w:val="FFFFFF"/>
                <w:sz w:val="18"/>
              </w:rPr>
              <w:t>Date</w:t>
            </w:r>
          </w:p>
        </w:tc>
        <w:tc>
          <w:tcPr>
            <w:tcW w:type="dxa" w:w="2016"/>
            <w:shd w:val="clear" w:fill="0F2B4C"/>
          </w:tcPr>
          <w:p>
            <w:r>
              <w:rPr>
                <w:b/>
                <w:color w:val="FFFFFF"/>
                <w:sz w:val="18"/>
              </w:rPr>
              <w:t>Author</w:t>
            </w:r>
          </w:p>
        </w:tc>
        <w:tc>
          <w:tcPr>
            <w:tcW w:type="dxa" w:w="4176"/>
            <w:shd w:val="clear" w:fill="0F2B4C"/>
          </w:tcPr>
          <w:p>
            <w:r>
              <w:rPr>
                <w:b/>
                <w:color w:val="FFFFFF"/>
                <w:sz w:val="18"/>
              </w:rPr>
              <w:t>Summary of change</w:t>
            </w:r>
          </w:p>
        </w:tc>
      </w:tr>
      <w:tr>
        <w:tc>
          <w:tcPr>
            <w:tcW w:type="dxa" w:w="1152"/>
          </w:tcPr>
          <w:p>
            <w:r>
              <w:rPr>
                <w:sz w:val="18"/>
              </w:rPr>
              <w:t>1.0</w:t>
            </w:r>
          </w:p>
        </w:tc>
        <w:tc>
          <w:tcPr>
            <w:tcW w:type="dxa" w:w="1584"/>
          </w:tcPr>
          <w:p>
            <w:r>
              <w:rPr>
                <w:sz w:val="18"/>
              </w:rPr>
              <w:t>2026-07-28</w:t>
            </w:r>
          </w:p>
        </w:tc>
        <w:tc>
          <w:tcPr>
            <w:tcW w:type="dxa" w:w="2016"/>
          </w:tcPr>
          <w:p>
            <w:r>
              <w:rPr>
                <w:sz w:val="18"/>
              </w:rPr>
              <w:t>Imran Siddiqui</w:t>
            </w:r>
          </w:p>
        </w:tc>
        <w:tc>
          <w:tcPr>
            <w:tcW w:type="dxa" w:w="4176"/>
          </w:tcPr>
          <w:p>
            <w:r>
              <w:rPr>
                <w:sz w:val="18"/>
              </w:rPr>
              <w:t>Initial issue.</w:t>
            </w:r>
          </w:p>
        </w:tc>
      </w:tr>
    </w:tbl>
    <w:p/>
    <w:p>
      <w:pPr>
        <w:pStyle w:val="Heading1"/>
      </w:pPr>
      <w:r>
        <w:t>Approval</w:t>
      </w:r>
    </w:p>
    <w:p>
      <w:r>
        <w:t>This document is approved for use and is binding on all personnel and contractors with access to the systems in scope.</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fill="0F2B4C"/>
          </w:tcPr>
          <w:p>
            <w:r>
              <w:rPr>
                <w:b/>
                <w:color w:val="FFFFFF"/>
                <w:sz w:val="18"/>
              </w:rPr>
              <w:t>Role</w:t>
            </w:r>
          </w:p>
        </w:tc>
        <w:tc>
          <w:tcPr>
            <w:tcW w:type="dxa" w:w="2304"/>
            <w:shd w:val="clear" w:fill="0F2B4C"/>
          </w:tcPr>
          <w:p>
            <w:r>
              <w:rPr>
                <w:b/>
                <w:color w:val="FFFFFF"/>
                <w:sz w:val="18"/>
              </w:rPr>
              <w:t>Name</w:t>
            </w:r>
          </w:p>
        </w:tc>
        <w:tc>
          <w:tcPr>
            <w:tcW w:type="dxa" w:w="2304"/>
            <w:shd w:val="clear" w:fill="0F2B4C"/>
          </w:tcPr>
          <w:p>
            <w:r>
              <w:rPr>
                <w:b/>
                <w:color w:val="FFFFFF"/>
                <w:sz w:val="18"/>
              </w:rPr>
              <w:t>Signature</w:t>
            </w:r>
          </w:p>
        </w:tc>
        <w:tc>
          <w:tcPr>
            <w:tcW w:type="dxa" w:w="1728"/>
            <w:shd w:val="clear" w:fill="0F2B4C"/>
          </w:tcPr>
          <w:p>
            <w:r>
              <w:rPr>
                <w:b/>
                <w:color w:val="FFFFFF"/>
                <w:sz w:val="18"/>
              </w:rPr>
              <w:t>Date</w:t>
            </w:r>
          </w:p>
        </w:tc>
      </w:tr>
      <w:tr>
        <w:tc>
          <w:tcPr>
            <w:tcW w:type="dxa" w:w="2592"/>
          </w:tcPr>
          <w:p>
            <w:r>
              <w:rPr>
                <w:sz w:val="18"/>
              </w:rPr>
              <w:t>Chief Executive Officer</w:t>
            </w:r>
          </w:p>
        </w:tc>
        <w:tc>
          <w:tcPr>
            <w:tcW w:type="dxa" w:w="2304"/>
          </w:tcPr>
          <w:p>
            <w:r>
              <w:rPr>
                <w:sz w:val="18"/>
              </w:rPr>
              <w:t>Imran Siddiqui</w:t>
            </w:r>
          </w:p>
        </w:tc>
        <w:tc>
          <w:tcPr>
            <w:tcW w:type="dxa" w:w="2304"/>
          </w:tcPr>
          <w:p>
            <w:r>
              <w:rPr>
                <w:sz w:val="18"/>
              </w:rPr>
            </w:r>
          </w:p>
        </w:tc>
        <w:tc>
          <w:tcPr>
            <w:tcW w:type="dxa" w:w="1728"/>
          </w:tcPr>
          <w:p>
            <w:r>
              <w:rPr>
                <w:sz w:val="18"/>
              </w:rPr>
            </w:r>
          </w:p>
        </w:tc>
      </w:tr>
      <w:tr>
        <w:tc>
          <w:tcPr>
            <w:tcW w:type="dxa" w:w="2592"/>
          </w:tcPr>
          <w:p>
            <w:r>
              <w:rPr>
                <w:sz w:val="18"/>
              </w:rPr>
              <w:t>Security Officer</w:t>
            </w:r>
          </w:p>
        </w:tc>
        <w:tc>
          <w:tcPr>
            <w:tcW w:type="dxa" w:w="2304"/>
          </w:tcPr>
          <w:p>
            <w:r>
              <w:rPr>
                <w:sz w:val="18"/>
              </w:rPr>
            </w:r>
          </w:p>
        </w:tc>
        <w:tc>
          <w:tcPr>
            <w:tcW w:type="dxa" w:w="2304"/>
          </w:tcPr>
          <w:p>
            <w:r>
              <w:rPr>
                <w:sz w:val="18"/>
              </w:rPr>
            </w:r>
          </w:p>
        </w:tc>
        <w:tc>
          <w:tcPr>
            <w:tcW w:type="dxa" w:w="1728"/>
          </w:tcPr>
          <w:p>
            <w:r>
              <w:rPr>
                <w:sz w:val="18"/>
              </w:rPr>
            </w:r>
          </w:p>
        </w:tc>
      </w:tr>
      <w:tr>
        <w:tc>
          <w:tcPr>
            <w:tcW w:type="dxa" w:w="2592"/>
          </w:tcPr>
          <w:p>
            <w:r>
              <w:rPr>
                <w:sz w:val="18"/>
              </w:rPr>
              <w:t>Privacy Officer</w:t>
            </w:r>
          </w:p>
        </w:tc>
        <w:tc>
          <w:tcPr>
            <w:tcW w:type="dxa" w:w="2304"/>
          </w:tcPr>
          <w:p>
            <w:r>
              <w:rPr>
                <w:sz w:val="18"/>
              </w:rPr>
            </w:r>
          </w:p>
        </w:tc>
        <w:tc>
          <w:tcPr>
            <w:tcW w:type="dxa" w:w="2304"/>
          </w:tcPr>
          <w:p>
            <w:r>
              <w:rPr>
                <w:sz w:val="18"/>
              </w:rPr>
            </w:r>
          </w:p>
        </w:tc>
        <w:tc>
          <w:tcPr>
            <w:tcW w:type="dxa" w:w="1728"/>
          </w:tcPr>
          <w:p>
            <w:r>
              <w:rPr>
                <w:sz w:val="18"/>
              </w:rPr>
            </w:r>
          </w:p>
        </w:tc>
      </w:tr>
    </w:tbl>
    <w:p/>
    <w:p>
      <w:r>
        <w:rPr>
          <w:i/>
          <w:color w:val="5A5A5A"/>
          <w:sz w:val="19"/>
        </w:rPr>
        <w:t>Approval is recorded in the document management system; a wet signature is not required where an auditable electronic approval exists.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AGT-HIRA-025 v1.0  |  AGT Internal  |  Uncontrolled when printed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B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B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6C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