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Mobile Device and BYOD Policy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AGT-MDBYOD-010</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defines the requirements a device must meet before it is used to access AGT systems or data, whether the device is AGT-issued or personally owned. AGT permits personally owned devices because forbidding them produces shadow usage rather than compliance; the trade is that a personal device carrying AGT data accepts AGT controls over the portion that holds that data.</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2"/>
      </w:pPr>
      <w:r>
        <w:t>Definitions</w:t>
      </w:r>
    </w:p>
    <w:tbl>
      <w:tblPr>
        <w:tblStyle w:val="TableGrid"/>
        <w:tblW w:type="auto" w:w="0"/>
        <w:tblLook w:firstColumn="1" w:firstRow="1" w:lastColumn="0" w:lastRow="0" w:noHBand="0" w:noVBand="1" w:val="04A0"/>
      </w:tblPr>
      <w:tblGrid>
        <w:gridCol w:w="4680"/>
        <w:gridCol w:w="4680"/>
      </w:tblGrid>
      <w:tr>
        <w:tc>
          <w:tcPr>
            <w:tcW w:type="dxa" w:w="2160"/>
            <w:shd w:val="clear" w:fill="0F2B4C"/>
          </w:tcPr>
          <w:p>
            <w:r>
              <w:rPr>
                <w:b/>
                <w:color w:val="FFFFFF"/>
                <w:sz w:val="18"/>
              </w:rPr>
              <w:t>Term</w:t>
            </w:r>
          </w:p>
        </w:tc>
        <w:tc>
          <w:tcPr>
            <w:tcW w:type="dxa" w:w="6768"/>
            <w:shd w:val="clear" w:fill="0F2B4C"/>
          </w:tcPr>
          <w:p>
            <w:r>
              <w:rPr>
                <w:b/>
                <w:color w:val="FFFFFF"/>
                <w:sz w:val="18"/>
              </w:rPr>
              <w:t>Definition</w:t>
            </w:r>
          </w:p>
        </w:tc>
      </w:tr>
      <w:tr>
        <w:tc>
          <w:tcPr>
            <w:tcW w:type="dxa" w:w="2160"/>
          </w:tcPr>
          <w:p>
            <w:r>
              <w:rPr>
                <w:sz w:val="18"/>
              </w:rPr>
              <w:t>BYOD</w:t>
            </w:r>
          </w:p>
        </w:tc>
        <w:tc>
          <w:tcPr>
            <w:tcW w:type="dxa" w:w="6768"/>
          </w:tcPr>
          <w:p>
            <w:r>
              <w:rPr>
                <w:sz w:val="18"/>
              </w:rPr>
              <w:t>Bring Your Own Device; a personally owned device used for work.</w:t>
            </w:r>
          </w:p>
        </w:tc>
      </w:tr>
      <w:tr>
        <w:tc>
          <w:tcPr>
            <w:tcW w:type="dxa" w:w="2160"/>
          </w:tcPr>
          <w:p>
            <w:r>
              <w:rPr>
                <w:sz w:val="18"/>
              </w:rPr>
              <w:t>MDM</w:t>
            </w:r>
          </w:p>
        </w:tc>
        <w:tc>
          <w:tcPr>
            <w:tcW w:type="dxa" w:w="6768"/>
          </w:tcPr>
          <w:p>
            <w:r>
              <w:rPr>
                <w:sz w:val="18"/>
              </w:rPr>
              <w:t>Mobile Device Management; centralized enforcement of device policy.</w:t>
            </w:r>
          </w:p>
        </w:tc>
      </w:tr>
      <w:tr>
        <w:tc>
          <w:tcPr>
            <w:tcW w:type="dxa" w:w="2160"/>
          </w:tcPr>
          <w:p>
            <w:r>
              <w:rPr>
                <w:sz w:val="18"/>
              </w:rPr>
              <w:t>Containerization</w:t>
            </w:r>
          </w:p>
        </w:tc>
        <w:tc>
          <w:tcPr>
            <w:tcW w:type="dxa" w:w="6768"/>
          </w:tcPr>
          <w:p>
            <w:r>
              <w:rPr>
                <w:sz w:val="18"/>
              </w:rPr>
              <w:t>Isolation of work data in a managed area of the device.</w:t>
            </w:r>
          </w:p>
        </w:tc>
      </w:tr>
      <w:tr>
        <w:tc>
          <w:tcPr>
            <w:tcW w:type="dxa" w:w="2160"/>
          </w:tcPr>
          <w:p>
            <w:r>
              <w:rPr>
                <w:sz w:val="18"/>
              </w:rPr>
              <w:t>Remote wipe</w:t>
            </w:r>
          </w:p>
        </w:tc>
        <w:tc>
          <w:tcPr>
            <w:tcW w:type="dxa" w:w="6768"/>
          </w:tcPr>
          <w:p>
            <w:r>
              <w:rPr>
                <w:sz w:val="18"/>
              </w:rPr>
              <w:t>Erasure of managed data on a device, initiated centrally.</w:t>
            </w:r>
          </w:p>
        </w:tc>
      </w:tr>
    </w:tbl>
    <w:p/>
    <w:p>
      <w:pPr>
        <w:pStyle w:val="Heading1"/>
      </w:pPr>
      <w:r>
        <w:t>3. Device requirements</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fill="0F2B4C"/>
          </w:tcPr>
          <w:p>
            <w:r>
              <w:rPr>
                <w:b/>
                <w:color w:val="FFFFFF"/>
                <w:sz w:val="18"/>
              </w:rPr>
              <w:t>Requirement</w:t>
            </w:r>
          </w:p>
        </w:tc>
        <w:tc>
          <w:tcPr>
            <w:tcW w:type="dxa" w:w="1728"/>
            <w:shd w:val="clear" w:fill="0F2B4C"/>
          </w:tcPr>
          <w:p>
            <w:r>
              <w:rPr>
                <w:b/>
                <w:color w:val="FFFFFF"/>
                <w:sz w:val="18"/>
              </w:rPr>
              <w:t>AGT-issued</w:t>
            </w:r>
          </w:p>
        </w:tc>
        <w:tc>
          <w:tcPr>
            <w:tcW w:type="dxa" w:w="1728"/>
            <w:shd w:val="clear" w:fill="0F2B4C"/>
          </w:tcPr>
          <w:p>
            <w:r>
              <w:rPr>
                <w:b/>
                <w:color w:val="FFFFFF"/>
                <w:sz w:val="18"/>
              </w:rPr>
              <w:t>BYOD</w:t>
            </w:r>
          </w:p>
        </w:tc>
        <w:tc>
          <w:tcPr>
            <w:tcW w:type="dxa" w:w="3312"/>
            <w:shd w:val="clear" w:fill="0F2B4C"/>
          </w:tcPr>
          <w:p>
            <w:r>
              <w:rPr>
                <w:b/>
                <w:color w:val="FFFFFF"/>
                <w:sz w:val="18"/>
              </w:rPr>
              <w:t>Notes</w:t>
            </w:r>
          </w:p>
        </w:tc>
      </w:tr>
      <w:tr>
        <w:tc>
          <w:tcPr>
            <w:tcW w:type="dxa" w:w="2160"/>
          </w:tcPr>
          <w:p>
            <w:r>
              <w:rPr>
                <w:sz w:val="18"/>
              </w:rPr>
              <w:t>Full-disk encryption</w:t>
            </w:r>
          </w:p>
        </w:tc>
        <w:tc>
          <w:tcPr>
            <w:tcW w:type="dxa" w:w="1728"/>
          </w:tcPr>
          <w:p>
            <w:r>
              <w:rPr>
                <w:sz w:val="18"/>
              </w:rPr>
              <w:t>Required</w:t>
            </w:r>
          </w:p>
        </w:tc>
        <w:tc>
          <w:tcPr>
            <w:tcW w:type="dxa" w:w="1728"/>
          </w:tcPr>
          <w:p>
            <w:r>
              <w:rPr>
                <w:sz w:val="18"/>
              </w:rPr>
              <w:t>Required</w:t>
            </w:r>
          </w:p>
        </w:tc>
        <w:tc>
          <w:tcPr>
            <w:tcW w:type="dxa" w:w="3312"/>
          </w:tcPr>
          <w:p>
            <w:r>
              <w:rPr>
                <w:sz w:val="18"/>
              </w:rPr>
              <w:t>BitLocker, FileVault, or platform default</w:t>
            </w:r>
          </w:p>
        </w:tc>
      </w:tr>
      <w:tr>
        <w:tc>
          <w:tcPr>
            <w:tcW w:type="dxa" w:w="2160"/>
          </w:tcPr>
          <w:p>
            <w:r>
              <w:rPr>
                <w:sz w:val="18"/>
              </w:rPr>
              <w:t>Screen lock</w:t>
            </w:r>
          </w:p>
        </w:tc>
        <w:tc>
          <w:tcPr>
            <w:tcW w:type="dxa" w:w="1728"/>
          </w:tcPr>
          <w:p>
            <w:r>
              <w:rPr>
                <w:sz w:val="18"/>
              </w:rPr>
              <w:t>Required, &lt;=10 min</w:t>
            </w:r>
          </w:p>
        </w:tc>
        <w:tc>
          <w:tcPr>
            <w:tcW w:type="dxa" w:w="1728"/>
          </w:tcPr>
          <w:p>
            <w:r>
              <w:rPr>
                <w:sz w:val="18"/>
              </w:rPr>
              <w:t>Required, &lt;=10 min</w:t>
            </w:r>
          </w:p>
        </w:tc>
        <w:tc>
          <w:tcPr>
            <w:tcW w:type="dxa" w:w="3312"/>
          </w:tcPr>
          <w:p>
            <w:r>
              <w:rPr>
                <w:sz w:val="18"/>
              </w:rPr>
              <w:t>Biometric or 6+ digit PIN</w:t>
            </w:r>
          </w:p>
        </w:tc>
      </w:tr>
      <w:tr>
        <w:tc>
          <w:tcPr>
            <w:tcW w:type="dxa" w:w="2160"/>
          </w:tcPr>
          <w:p>
            <w:r>
              <w:rPr>
                <w:sz w:val="18"/>
              </w:rPr>
              <w:t>OS currency</w:t>
            </w:r>
          </w:p>
        </w:tc>
        <w:tc>
          <w:tcPr>
            <w:tcW w:type="dxa" w:w="1728"/>
          </w:tcPr>
          <w:p>
            <w:r>
              <w:rPr>
                <w:sz w:val="18"/>
              </w:rPr>
              <w:t>Vendor-supported version</w:t>
            </w:r>
          </w:p>
        </w:tc>
        <w:tc>
          <w:tcPr>
            <w:tcW w:type="dxa" w:w="1728"/>
          </w:tcPr>
          <w:p>
            <w:r>
              <w:rPr>
                <w:sz w:val="18"/>
              </w:rPr>
              <w:t>Vendor-supported version</w:t>
            </w:r>
          </w:p>
        </w:tc>
        <w:tc>
          <w:tcPr>
            <w:tcW w:type="dxa" w:w="3312"/>
          </w:tcPr>
          <w:p>
            <w:r>
              <w:rPr>
                <w:sz w:val="18"/>
              </w:rPr>
              <w:t>Devices past end-of-support are blocked</w:t>
            </w:r>
          </w:p>
        </w:tc>
      </w:tr>
      <w:tr>
        <w:tc>
          <w:tcPr>
            <w:tcW w:type="dxa" w:w="2160"/>
          </w:tcPr>
          <w:p>
            <w:r>
              <w:rPr>
                <w:sz w:val="18"/>
              </w:rPr>
              <w:t>Security updates</w:t>
            </w:r>
          </w:p>
        </w:tc>
        <w:tc>
          <w:tcPr>
            <w:tcW w:type="dxa" w:w="1728"/>
          </w:tcPr>
          <w:p>
            <w:r>
              <w:rPr>
                <w:sz w:val="18"/>
              </w:rPr>
              <w:t>Within 14 days</w:t>
            </w:r>
          </w:p>
        </w:tc>
        <w:tc>
          <w:tcPr>
            <w:tcW w:type="dxa" w:w="1728"/>
          </w:tcPr>
          <w:p>
            <w:r>
              <w:rPr>
                <w:sz w:val="18"/>
              </w:rPr>
              <w:t>Within 30 days</w:t>
            </w:r>
          </w:p>
        </w:tc>
        <w:tc>
          <w:tcPr>
            <w:tcW w:type="dxa" w:w="3312"/>
          </w:tcPr>
          <w:p>
            <w:r>
              <w:rPr>
                <w:sz w:val="18"/>
              </w:rPr>
              <w:t>Critical patches within 7 days</w:t>
            </w:r>
          </w:p>
        </w:tc>
      </w:tr>
      <w:tr>
        <w:tc>
          <w:tcPr>
            <w:tcW w:type="dxa" w:w="2160"/>
          </w:tcPr>
          <w:p>
            <w:r>
              <w:rPr>
                <w:sz w:val="18"/>
              </w:rPr>
              <w:t>MDM enrolment</w:t>
            </w:r>
          </w:p>
        </w:tc>
        <w:tc>
          <w:tcPr>
            <w:tcW w:type="dxa" w:w="1728"/>
          </w:tcPr>
          <w:p>
            <w:r>
              <w:rPr>
                <w:sz w:val="18"/>
              </w:rPr>
              <w:t>Required</w:t>
            </w:r>
          </w:p>
        </w:tc>
        <w:tc>
          <w:tcPr>
            <w:tcW w:type="dxa" w:w="1728"/>
          </w:tcPr>
          <w:p>
            <w:r>
              <w:rPr>
                <w:sz w:val="18"/>
              </w:rPr>
              <w:t>Required for PHI access</w:t>
            </w:r>
          </w:p>
        </w:tc>
        <w:tc>
          <w:tcPr>
            <w:tcW w:type="dxa" w:w="3312"/>
          </w:tcPr>
          <w:p>
            <w:r>
              <w:rPr>
                <w:sz w:val="18"/>
              </w:rPr>
              <w:t>Conditional Access enforces</w:t>
            </w:r>
          </w:p>
        </w:tc>
      </w:tr>
      <w:tr>
        <w:tc>
          <w:tcPr>
            <w:tcW w:type="dxa" w:w="2160"/>
          </w:tcPr>
          <w:p>
            <w:r>
              <w:rPr>
                <w:sz w:val="18"/>
              </w:rPr>
              <w:t>Anti-malware</w:t>
            </w:r>
          </w:p>
        </w:tc>
        <w:tc>
          <w:tcPr>
            <w:tcW w:type="dxa" w:w="1728"/>
          </w:tcPr>
          <w:p>
            <w:r>
              <w:rPr>
                <w:sz w:val="18"/>
              </w:rPr>
              <w:t>Required</w:t>
            </w:r>
          </w:p>
        </w:tc>
        <w:tc>
          <w:tcPr>
            <w:tcW w:type="dxa" w:w="1728"/>
          </w:tcPr>
          <w:p>
            <w:r>
              <w:rPr>
                <w:sz w:val="18"/>
              </w:rPr>
              <w:t>Recommended</w:t>
            </w:r>
          </w:p>
        </w:tc>
        <w:tc>
          <w:tcPr>
            <w:tcW w:type="dxa" w:w="3312"/>
          </w:tcPr>
          <w:p>
            <w:r>
              <w:rPr>
                <w:sz w:val="18"/>
              </w:rPr>
              <w:t>Platform-native acceptable</w:t>
            </w:r>
          </w:p>
        </w:tc>
      </w:tr>
      <w:tr>
        <w:tc>
          <w:tcPr>
            <w:tcW w:type="dxa" w:w="2160"/>
          </w:tcPr>
          <w:p>
            <w:r>
              <w:rPr>
                <w:sz w:val="18"/>
              </w:rPr>
              <w:t>Jailbreak / root</w:t>
            </w:r>
          </w:p>
        </w:tc>
        <w:tc>
          <w:tcPr>
            <w:tcW w:type="dxa" w:w="1728"/>
          </w:tcPr>
          <w:p>
            <w:r>
              <w:rPr>
                <w:sz w:val="18"/>
              </w:rPr>
              <w:t>Prohibited</w:t>
            </w:r>
          </w:p>
        </w:tc>
        <w:tc>
          <w:tcPr>
            <w:tcW w:type="dxa" w:w="1728"/>
          </w:tcPr>
          <w:p>
            <w:r>
              <w:rPr>
                <w:sz w:val="18"/>
              </w:rPr>
              <w:t>Prohibited</w:t>
            </w:r>
          </w:p>
        </w:tc>
        <w:tc>
          <w:tcPr>
            <w:tcW w:type="dxa" w:w="3312"/>
          </w:tcPr>
          <w:p>
            <w:r>
              <w:rPr>
                <w:sz w:val="18"/>
              </w:rPr>
              <w:t>Detected devices are blocked</w:t>
            </w:r>
          </w:p>
        </w:tc>
      </w:tr>
      <w:tr>
        <w:tc>
          <w:tcPr>
            <w:tcW w:type="dxa" w:w="2160"/>
          </w:tcPr>
          <w:p>
            <w:r>
              <w:rPr>
                <w:sz w:val="18"/>
              </w:rPr>
              <w:t>Shared use</w:t>
            </w:r>
          </w:p>
        </w:tc>
        <w:tc>
          <w:tcPr>
            <w:tcW w:type="dxa" w:w="1728"/>
          </w:tcPr>
          <w:p>
            <w:r>
              <w:rPr>
                <w:sz w:val="18"/>
              </w:rPr>
              <w:t>Prohibited</w:t>
            </w:r>
          </w:p>
        </w:tc>
        <w:tc>
          <w:tcPr>
            <w:tcW w:type="dxa" w:w="1728"/>
          </w:tcPr>
          <w:p>
            <w:r>
              <w:rPr>
                <w:sz w:val="18"/>
              </w:rPr>
              <w:t>Work container not shared</w:t>
            </w:r>
          </w:p>
        </w:tc>
        <w:tc>
          <w:tcPr>
            <w:tcW w:type="dxa" w:w="3312"/>
          </w:tcPr>
          <w:p>
            <w:r>
              <w:rPr>
                <w:sz w:val="18"/>
              </w:rPr>
              <w:t>No family use of the work profile</w:t>
            </w:r>
          </w:p>
        </w:tc>
      </w:tr>
    </w:tbl>
    <w:p/>
    <w:p>
      <w:pPr>
        <w:pStyle w:val="Heading1"/>
      </w:pPr>
      <w:r>
        <w:t>4. Containerization and data separation</w:t>
      </w:r>
    </w:p>
    <w:p>
      <w:r>
        <w:t>On BYOD, AGT data is confined to a managed work profile or application container. AGT does not read, index, or wipe personal data, and the technical boundary is what makes that promise credible rather than merely stated.</w:t>
      </w:r>
    </w:p>
    <w:p>
      <w:pPr>
        <w:pStyle w:val="ListBullet"/>
      </w:pPr>
      <w:r>
        <w:t>Copy and paste from the work container to personal applications is restricted.</w:t>
      </w:r>
    </w:p>
    <w:p>
      <w:pPr>
        <w:pStyle w:val="ListBullet"/>
      </w:pPr>
      <w:r>
        <w:t>AGT data is not backed up to a personal cloud account.</w:t>
      </w:r>
    </w:p>
    <w:p>
      <w:pPr>
        <w:pStyle w:val="ListBullet"/>
      </w:pPr>
      <w:r>
        <w:t>Screenshots within the work container may be restricted where PHI is displayed.</w:t>
      </w:r>
    </w:p>
    <w:p>
      <w:pPr>
        <w:pStyle w:val="ListBullet"/>
      </w:pPr>
      <w:r>
        <w:t>Remote wipe removes only the work container on a BYOD device.</w:t>
      </w:r>
    </w:p>
    <w:p>
      <w:pPr>
        <w:pStyle w:val="Heading1"/>
      </w:pPr>
      <w:r>
        <w:t>5. PHI on mobile devices</w:t>
      </w:r>
    </w:p>
    <w:p>
      <w:pPr>
        <w:pStyle w:val="ListBullet"/>
      </w:pPr>
      <w:r>
        <w:t>PHI must not be stored locally on a mobile device. Access is permitted through the application, which holds no persistent local copy.</w:t>
      </w:r>
    </w:p>
    <w:p>
      <w:pPr>
        <w:pStyle w:val="ListBullet"/>
      </w:pPr>
      <w:r>
        <w:t>PHI must not be captured in a photograph, screenshot, or personal note application.</w:t>
      </w:r>
    </w:p>
    <w:p>
      <w:pPr>
        <w:pStyle w:val="ListBullet"/>
      </w:pPr>
      <w:r>
        <w:t>A device used to access PHI must be MDM-enrolled and encrypted without exception.</w:t>
      </w:r>
    </w:p>
    <w:p>
      <w:pPr>
        <w:pStyle w:val="Heading1"/>
      </w:pPr>
      <w:r>
        <w:t>6. Loss, theft, and departure</w:t>
      </w:r>
    </w:p>
    <w:p>
      <w:pPr>
        <w:pStyle w:val="ListNumber"/>
      </w:pPr>
      <w:r>
        <w:t>Report loss or theft to the Security Officer immediately, and in no case later than 24 hours after discovery.</w:t>
      </w:r>
    </w:p>
    <w:p>
      <w:pPr>
        <w:pStyle w:val="ListNumber"/>
      </w:pPr>
      <w:r>
        <w:t>The Security Officer revokes sessions and initiates a remote wipe of the work container.</w:t>
      </w:r>
    </w:p>
    <w:p>
      <w:pPr>
        <w:pStyle w:val="ListNumber"/>
      </w:pPr>
      <w:r>
        <w:t>The event is assessed under AGT-IRP-022 for breach-notification obligations. A lost encrypted device with no evidence of access is generally not a reportable breach under the HIPAA safe harbour; an unencrypted one generally is. That distinction is the entire practical value of the encryption requirement.</w:t>
      </w:r>
    </w:p>
    <w:p>
      <w:pPr>
        <w:pStyle w:val="ListNumber"/>
      </w:pPr>
      <w:r>
        <w:t>On termination, the work container is wiped and enrolment removed before the final day of access.</w:t>
      </w:r>
    </w:p>
    <w:p>
      <w:pPr>
        <w:pStyle w:val="Heading1"/>
      </w:pPr>
      <w:r>
        <w:t>7. Acceptable use on mobile</w:t>
      </w:r>
    </w:p>
    <w:p>
      <w:r>
        <w:t>The Acceptable Use Policy (AGT-AUP-002) applies in full to mobile devices. Use of unapproved cloud storage, messaging applications, or AI assistants to process AGT data is prohibited regardless of the device's ownership.</w:t>
      </w:r>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Security Officer</w:t>
            </w:r>
          </w:p>
        </w:tc>
        <w:tc>
          <w:tcPr>
            <w:tcW w:type="dxa" w:w="6336"/>
          </w:tcPr>
          <w:p>
            <w:r>
              <w:rPr>
                <w:sz w:val="18"/>
              </w:rPr>
              <w:t>Operates MDM; approves device exceptions; executes remote wipe.</w:t>
            </w:r>
          </w:p>
        </w:tc>
      </w:tr>
      <w:tr>
        <w:tc>
          <w:tcPr>
            <w:tcW w:type="dxa" w:w="2592"/>
          </w:tcPr>
          <w:p>
            <w:r>
              <w:rPr>
                <w:sz w:val="18"/>
              </w:rPr>
              <w:t>All personnel</w:t>
            </w:r>
          </w:p>
        </w:tc>
        <w:tc>
          <w:tcPr>
            <w:tcW w:type="dxa" w:w="6336"/>
          </w:tcPr>
          <w:p>
            <w:r>
              <w:rPr>
                <w:sz w:val="18"/>
              </w:rPr>
              <w:t>Maintain device compliance; report loss within 24 hours.</w:t>
            </w:r>
          </w:p>
        </w:tc>
      </w:tr>
      <w:tr>
        <w:tc>
          <w:tcPr>
            <w:tcW w:type="dxa" w:w="2592"/>
          </w:tcPr>
          <w:p>
            <w:r>
              <w:rPr>
                <w:sz w:val="18"/>
              </w:rPr>
              <w:t>Privacy Officer</w:t>
            </w:r>
          </w:p>
        </w:tc>
        <w:tc>
          <w:tcPr>
            <w:tcW w:type="dxa" w:w="6336"/>
          </w:tcPr>
          <w:p>
            <w:r>
              <w:rPr>
                <w:sz w:val="18"/>
              </w:rPr>
              <w:t>Assesses lost-device events for breach notification.</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AC-19, AC-20, MP-7</w:t>
            </w:r>
          </w:p>
        </w:tc>
        <w:tc>
          <w:tcPr>
            <w:tcW w:type="dxa" w:w="4320"/>
          </w:tcPr>
          <w:p>
            <w:r>
              <w:rPr>
                <w:sz w:val="18"/>
              </w:rPr>
              <w:t>Access control for mobile devices, use of external systems, media use.</w:t>
            </w:r>
          </w:p>
        </w:tc>
        <w:tc>
          <w:tcPr>
            <w:tcW w:type="dxa" w:w="1152"/>
          </w:tcPr>
          <w:p>
            <w:r>
              <w:rPr>
                <w:sz w:val="18"/>
              </w:rPr>
              <w:t>Met</w:t>
            </w:r>
          </w:p>
        </w:tc>
      </w:tr>
      <w:tr>
        <w:tc>
          <w:tcPr>
            <w:tcW w:type="dxa" w:w="1584"/>
          </w:tcPr>
          <w:p>
            <w:r>
              <w:rPr>
                <w:sz w:val="18"/>
              </w:rPr>
              <w:t>HIPAA</w:t>
            </w:r>
          </w:p>
        </w:tc>
        <w:tc>
          <w:tcPr>
            <w:tcW w:type="dxa" w:w="2160"/>
          </w:tcPr>
          <w:p>
            <w:r>
              <w:rPr>
                <w:sz w:val="18"/>
              </w:rPr>
              <w:t>164.310(d)(1)</w:t>
            </w:r>
          </w:p>
        </w:tc>
        <w:tc>
          <w:tcPr>
            <w:tcW w:type="dxa" w:w="4320"/>
          </w:tcPr>
          <w:p>
            <w:r>
              <w:rPr>
                <w:sz w:val="18"/>
              </w:rPr>
              <w:t>Device and media controls for mobile endpoints.</w:t>
            </w:r>
          </w:p>
        </w:tc>
        <w:tc>
          <w:tcPr>
            <w:tcW w:type="dxa" w:w="1152"/>
          </w:tcPr>
          <w:p>
            <w:r>
              <w:rPr>
                <w:sz w:val="18"/>
              </w:rPr>
              <w:t>Met</w:t>
            </w:r>
          </w:p>
        </w:tc>
      </w:tr>
      <w:tr>
        <w:tc>
          <w:tcPr>
            <w:tcW w:type="dxa" w:w="1584"/>
          </w:tcPr>
          <w:p>
            <w:r>
              <w:rPr>
                <w:sz w:val="18"/>
              </w:rPr>
              <w:t>HIPAA</w:t>
            </w:r>
          </w:p>
        </w:tc>
        <w:tc>
          <w:tcPr>
            <w:tcW w:type="dxa" w:w="2160"/>
          </w:tcPr>
          <w:p>
            <w:r>
              <w:rPr>
                <w:sz w:val="18"/>
              </w:rPr>
              <w:t>164.312(a)(2)(iv)</w:t>
            </w:r>
          </w:p>
        </w:tc>
        <w:tc>
          <w:tcPr>
            <w:tcW w:type="dxa" w:w="4320"/>
          </w:tcPr>
          <w:p>
            <w:r>
              <w:rPr>
                <w:sz w:val="18"/>
              </w:rPr>
              <w:t>Encryption as the safe-harbour control for lost devices.</w:t>
            </w:r>
          </w:p>
        </w:tc>
        <w:tc>
          <w:tcPr>
            <w:tcW w:type="dxa" w:w="1152"/>
          </w:tcPr>
          <w:p>
            <w:r>
              <w:rPr>
                <w:sz w:val="18"/>
              </w:rPr>
              <w:t>Met</w:t>
            </w:r>
          </w:p>
        </w:tc>
      </w:tr>
      <w:tr>
        <w:tc>
          <w:tcPr>
            <w:tcW w:type="dxa" w:w="1584"/>
          </w:tcPr>
          <w:p>
            <w:r>
              <w:rPr>
                <w:sz w:val="18"/>
              </w:rPr>
              <w:t>SOC 2</w:t>
            </w:r>
          </w:p>
        </w:tc>
        <w:tc>
          <w:tcPr>
            <w:tcW w:type="dxa" w:w="2160"/>
          </w:tcPr>
          <w:p>
            <w:r>
              <w:rPr>
                <w:sz w:val="18"/>
              </w:rPr>
              <w:t>CC6.7</w:t>
            </w:r>
          </w:p>
        </w:tc>
        <w:tc>
          <w:tcPr>
            <w:tcW w:type="dxa" w:w="4320"/>
          </w:tcPr>
          <w:p>
            <w:r>
              <w:rPr>
                <w:sz w:val="18"/>
              </w:rPr>
              <w:t>Restriction of data movement to and from endpoints.</w:t>
            </w:r>
          </w:p>
        </w:tc>
        <w:tc>
          <w:tcPr>
            <w:tcW w:type="dxa" w:w="1152"/>
          </w:tcPr>
          <w:p>
            <w:r>
              <w:rPr>
                <w:sz w:val="18"/>
              </w:rPr>
              <w:t>Met</w:t>
            </w:r>
          </w:p>
        </w:tc>
      </w:tr>
      <w:tr>
        <w:tc>
          <w:tcPr>
            <w:tcW w:type="dxa" w:w="1584"/>
          </w:tcPr>
          <w:p>
            <w:r>
              <w:rPr>
                <w:sz w:val="18"/>
              </w:rPr>
              <w:t>ISO 27001</w:t>
            </w:r>
          </w:p>
        </w:tc>
        <w:tc>
          <w:tcPr>
            <w:tcW w:type="dxa" w:w="2160"/>
          </w:tcPr>
          <w:p>
            <w:r>
              <w:rPr>
                <w:sz w:val="18"/>
              </w:rPr>
              <w:t>A.8.1, A.7.9</w:t>
            </w:r>
          </w:p>
        </w:tc>
        <w:tc>
          <w:tcPr>
            <w:tcW w:type="dxa" w:w="4320"/>
          </w:tcPr>
          <w:p>
            <w:r>
              <w:rPr>
                <w:sz w:val="18"/>
              </w:rPr>
              <w:t>User endpoint devices; security of assets off-premises.</w:t>
            </w:r>
          </w:p>
        </w:tc>
        <w:tc>
          <w:tcPr>
            <w:tcW w:type="dxa" w:w="1152"/>
          </w:tcPr>
          <w:p>
            <w:r>
              <w:rPr>
                <w:sz w:val="18"/>
              </w:rPr>
              <w:t>Met</w:t>
            </w:r>
          </w:p>
        </w:tc>
      </w:tr>
      <w:tr>
        <w:tc>
          <w:tcPr>
            <w:tcW w:type="dxa" w:w="1584"/>
          </w:tcPr>
          <w:p>
            <w:r>
              <w:rPr>
                <w:sz w:val="18"/>
              </w:rPr>
              <w:t>FedRAMP</w:t>
            </w:r>
          </w:p>
        </w:tc>
        <w:tc>
          <w:tcPr>
            <w:tcW w:type="dxa" w:w="2160"/>
          </w:tcPr>
          <w:p>
            <w:r>
              <w:rPr>
                <w:sz w:val="18"/>
              </w:rPr>
              <w:t>AC-19(5)</w:t>
            </w:r>
          </w:p>
        </w:tc>
        <w:tc>
          <w:tcPr>
            <w:tcW w:type="dxa" w:w="4320"/>
          </w:tcPr>
          <w:p>
            <w:r>
              <w:rPr>
                <w:sz w:val="18"/>
              </w:rPr>
              <w:t>Full-device or container-based encryption.</w:t>
            </w:r>
          </w:p>
        </w:tc>
        <w:tc>
          <w:tcPr>
            <w:tcW w:type="dxa" w:w="1152"/>
          </w:tcPr>
          <w:p>
            <w:r>
              <w:rPr>
                <w:sz w:val="18"/>
              </w:rPr>
              <w:t>Met</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AGT-AUP-002</w:t>
            </w:r>
          </w:p>
        </w:tc>
        <w:tc>
          <w:tcPr>
            <w:tcW w:type="dxa" w:w="4176"/>
          </w:tcPr>
          <w:p>
            <w:r>
              <w:rPr>
                <w:sz w:val="18"/>
              </w:rPr>
              <w:t>Acceptable Use Policy</w:t>
            </w:r>
          </w:p>
        </w:tc>
        <w:tc>
          <w:tcPr>
            <w:tcW w:type="dxa" w:w="3168"/>
          </w:tcPr>
          <w:p>
            <w:r>
              <w:rPr>
                <w:sz w:val="18"/>
              </w:rPr>
              <w:t>Applies in full to mobile use</w:t>
            </w:r>
          </w:p>
        </w:tc>
      </w:tr>
      <w:tr>
        <w:tc>
          <w:tcPr>
            <w:tcW w:type="dxa" w:w="1872"/>
          </w:tcPr>
          <w:p>
            <w:r>
              <w:rPr>
                <w:sz w:val="18"/>
              </w:rPr>
              <w:t>AGT-RAP-005</w:t>
            </w:r>
          </w:p>
        </w:tc>
        <w:tc>
          <w:tcPr>
            <w:tcW w:type="dxa" w:w="4176"/>
          </w:tcPr>
          <w:p>
            <w:r>
              <w:rPr>
                <w:sz w:val="18"/>
              </w:rPr>
              <w:t>Remote Access Policy</w:t>
            </w:r>
          </w:p>
        </w:tc>
        <w:tc>
          <w:tcPr>
            <w:tcW w:type="dxa" w:w="3168"/>
          </w:tcPr>
          <w:p>
            <w:r>
              <w:rPr>
                <w:sz w:val="18"/>
              </w:rPr>
              <w:t>Device requirements for remote access</w:t>
            </w:r>
          </w:p>
        </w:tc>
      </w:tr>
      <w:tr>
        <w:tc>
          <w:tcPr>
            <w:tcW w:type="dxa" w:w="1872"/>
          </w:tcPr>
          <w:p>
            <w:r>
              <w:rPr>
                <w:sz w:val="18"/>
              </w:rPr>
              <w:t>AGT-MPP-008</w:t>
            </w:r>
          </w:p>
        </w:tc>
        <w:tc>
          <w:tcPr>
            <w:tcW w:type="dxa" w:w="4176"/>
          </w:tcPr>
          <w:p>
            <w:r>
              <w:rPr>
                <w:sz w:val="18"/>
              </w:rPr>
              <w:t>Media Protection Policy</w:t>
            </w:r>
          </w:p>
        </w:tc>
        <w:tc>
          <w:tcPr>
            <w:tcW w:type="dxa" w:w="3168"/>
          </w:tcPr>
          <w:p>
            <w:r>
              <w:rPr>
                <w:sz w:val="18"/>
              </w:rPr>
              <w:t>Media handling on devices</w:t>
            </w:r>
          </w:p>
        </w:tc>
      </w:tr>
      <w:tr>
        <w:tc>
          <w:tcPr>
            <w:tcW w:type="dxa" w:w="1872"/>
          </w:tcPr>
          <w:p>
            <w:r>
              <w:rPr>
                <w:sz w:val="18"/>
              </w:rPr>
              <w:t>AGT-IRP-022</w:t>
            </w:r>
          </w:p>
        </w:tc>
        <w:tc>
          <w:tcPr>
            <w:tcW w:type="dxa" w:w="4176"/>
          </w:tcPr>
          <w:p>
            <w:r>
              <w:rPr>
                <w:sz w:val="18"/>
              </w:rPr>
              <w:t>Incident Response Plan</w:t>
            </w:r>
          </w:p>
        </w:tc>
        <w:tc>
          <w:tcPr>
            <w:tcW w:type="dxa" w:w="3168"/>
          </w:tcPr>
          <w:p>
            <w:r>
              <w:rPr>
                <w:sz w:val="18"/>
              </w:rPr>
              <w:t>Lost or stolen device response</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AGT-MDBYOD-010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