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Risk Management Plan</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AGT-RMP-023</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plan establishes how AGT identifies, analyses, treats, and monitors information security risk. It follows NIST SP 800-30 and feeds the continuous monitoring programme in AGT-CMS-024.</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Methodology</w:t>
      </w:r>
    </w:p>
    <w:p>
      <w:r>
        <w:t>Risk is assessed as the combination of the likelihood that a threat exploits a vulnerability and the impact if it does. AGT uses a qualitative five-by-five scale because the organization does not have the loss history that would make quantitative estimation honest.</w:t>
      </w:r>
    </w:p>
    <w:tbl>
      <w:tblPr>
        <w:tblStyle w:val="TableGrid"/>
        <w:tblW w:type="auto" w:w="0"/>
        <w:tblLook w:firstColumn="1" w:firstRow="1" w:lastColumn="0" w:lastRow="0" w:noHBand="0" w:noVBand="1" w:val="04A0"/>
      </w:tblPr>
      <w:tblGrid>
        <w:gridCol w:w="4680"/>
        <w:gridCol w:w="4680"/>
      </w:tblGrid>
      <w:tr>
        <w:tc>
          <w:tcPr>
            <w:tcW w:type="dxa" w:w="1872"/>
            <w:shd w:val="clear" w:fill="0F2B4C"/>
          </w:tcPr>
          <w:p>
            <w:r>
              <w:rPr>
                <w:b/>
                <w:color w:val="FFFFFF"/>
                <w:sz w:val="18"/>
              </w:rPr>
              <w:t>Likelihood</w:t>
            </w:r>
          </w:p>
        </w:tc>
        <w:tc>
          <w:tcPr>
            <w:tcW w:type="dxa" w:w="7056"/>
            <w:shd w:val="clear" w:fill="0F2B4C"/>
          </w:tcPr>
          <w:p>
            <w:r>
              <w:rPr>
                <w:b/>
                <w:color w:val="FFFFFF"/>
                <w:sz w:val="18"/>
              </w:rPr>
              <w:t>Definition</w:t>
            </w:r>
          </w:p>
        </w:tc>
      </w:tr>
      <w:tr>
        <w:tc>
          <w:tcPr>
            <w:tcW w:type="dxa" w:w="1872"/>
          </w:tcPr>
          <w:p>
            <w:r>
              <w:rPr>
                <w:sz w:val="18"/>
              </w:rPr>
              <w:t>Very High</w:t>
            </w:r>
          </w:p>
        </w:tc>
        <w:tc>
          <w:tcPr>
            <w:tcW w:type="dxa" w:w="7056"/>
          </w:tcPr>
          <w:p>
            <w:r>
              <w:rPr>
                <w:sz w:val="18"/>
              </w:rPr>
              <w:t>Expected to occur; already observed in this environment</w:t>
            </w:r>
          </w:p>
        </w:tc>
      </w:tr>
      <w:tr>
        <w:tc>
          <w:tcPr>
            <w:tcW w:type="dxa" w:w="1872"/>
          </w:tcPr>
          <w:p>
            <w:r>
              <w:rPr>
                <w:sz w:val="18"/>
              </w:rPr>
              <w:t>High</w:t>
            </w:r>
          </w:p>
        </w:tc>
        <w:tc>
          <w:tcPr>
            <w:tcW w:type="dxa" w:w="7056"/>
          </w:tcPr>
          <w:p>
            <w:r>
              <w:rPr>
                <w:sz w:val="18"/>
              </w:rPr>
              <w:t>Likely within a year</w:t>
            </w:r>
          </w:p>
        </w:tc>
      </w:tr>
      <w:tr>
        <w:tc>
          <w:tcPr>
            <w:tcW w:type="dxa" w:w="1872"/>
          </w:tcPr>
          <w:p>
            <w:r>
              <w:rPr>
                <w:sz w:val="18"/>
              </w:rPr>
              <w:t>Moderate</w:t>
            </w:r>
          </w:p>
        </w:tc>
        <w:tc>
          <w:tcPr>
            <w:tcW w:type="dxa" w:w="7056"/>
          </w:tcPr>
          <w:p>
            <w:r>
              <w:rPr>
                <w:sz w:val="18"/>
              </w:rPr>
              <w:t>Possible within a year</w:t>
            </w:r>
          </w:p>
        </w:tc>
      </w:tr>
      <w:tr>
        <w:tc>
          <w:tcPr>
            <w:tcW w:type="dxa" w:w="1872"/>
          </w:tcPr>
          <w:p>
            <w:r>
              <w:rPr>
                <w:sz w:val="18"/>
              </w:rPr>
              <w:t>Low</w:t>
            </w:r>
          </w:p>
        </w:tc>
        <w:tc>
          <w:tcPr>
            <w:tcW w:type="dxa" w:w="7056"/>
          </w:tcPr>
          <w:p>
            <w:r>
              <w:rPr>
                <w:sz w:val="18"/>
              </w:rPr>
              <w:t>Unlikely but credible</w:t>
            </w:r>
          </w:p>
        </w:tc>
      </w:tr>
      <w:tr>
        <w:tc>
          <w:tcPr>
            <w:tcW w:type="dxa" w:w="1872"/>
          </w:tcPr>
          <w:p>
            <w:r>
              <w:rPr>
                <w:sz w:val="18"/>
              </w:rPr>
              <w:t>Very Low</w:t>
            </w:r>
          </w:p>
        </w:tc>
        <w:tc>
          <w:tcPr>
            <w:tcW w:type="dxa" w:w="7056"/>
          </w:tcPr>
          <w:p>
            <w:r>
              <w:rPr>
                <w:sz w:val="18"/>
              </w:rPr>
              <w:t>Requires an improbable combination of conditions</w:t>
            </w:r>
          </w:p>
        </w:tc>
      </w:tr>
    </w:tbl>
    <w:p/>
    <w:tbl>
      <w:tblPr>
        <w:tblStyle w:val="TableGrid"/>
        <w:tblW w:type="auto" w:w="0"/>
        <w:tblLook w:firstColumn="1" w:firstRow="1" w:lastColumn="0" w:lastRow="0" w:noHBand="0" w:noVBand="1" w:val="04A0"/>
      </w:tblPr>
      <w:tblGrid>
        <w:gridCol w:w="4680"/>
        <w:gridCol w:w="4680"/>
      </w:tblGrid>
      <w:tr>
        <w:tc>
          <w:tcPr>
            <w:tcW w:type="dxa" w:w="1872"/>
            <w:shd w:val="clear" w:fill="0F2B4C"/>
          </w:tcPr>
          <w:p>
            <w:r>
              <w:rPr>
                <w:b/>
                <w:color w:val="FFFFFF"/>
                <w:sz w:val="18"/>
              </w:rPr>
              <w:t>Impact</w:t>
            </w:r>
          </w:p>
        </w:tc>
        <w:tc>
          <w:tcPr>
            <w:tcW w:type="dxa" w:w="7056"/>
            <w:shd w:val="clear" w:fill="0F2B4C"/>
          </w:tcPr>
          <w:p>
            <w:r>
              <w:rPr>
                <w:b/>
                <w:color w:val="FFFFFF"/>
                <w:sz w:val="18"/>
              </w:rPr>
              <w:t>Definition</w:t>
            </w:r>
          </w:p>
        </w:tc>
      </w:tr>
      <w:tr>
        <w:tc>
          <w:tcPr>
            <w:tcW w:type="dxa" w:w="1872"/>
          </w:tcPr>
          <w:p>
            <w:r>
              <w:rPr>
                <w:sz w:val="18"/>
              </w:rPr>
              <w:t>Very High</w:t>
            </w:r>
          </w:p>
        </w:tc>
        <w:tc>
          <w:tcPr>
            <w:tcW w:type="dxa" w:w="7056"/>
          </w:tcPr>
          <w:p>
            <w:r>
              <w:rPr>
                <w:sz w:val="18"/>
              </w:rPr>
              <w:t>PHI breach, contract termination, or regulatory enforcement</w:t>
            </w:r>
          </w:p>
        </w:tc>
      </w:tr>
      <w:tr>
        <w:tc>
          <w:tcPr>
            <w:tcW w:type="dxa" w:w="1872"/>
          </w:tcPr>
          <w:p>
            <w:r>
              <w:rPr>
                <w:sz w:val="18"/>
              </w:rPr>
              <w:t>High</w:t>
            </w:r>
          </w:p>
        </w:tc>
        <w:tc>
          <w:tcPr>
            <w:tcW w:type="dxa" w:w="7056"/>
          </w:tcPr>
          <w:p>
            <w:r>
              <w:rPr>
                <w:sz w:val="18"/>
              </w:rPr>
              <w:t>Significant service loss, material financial or reputational damage</w:t>
            </w:r>
          </w:p>
        </w:tc>
      </w:tr>
      <w:tr>
        <w:tc>
          <w:tcPr>
            <w:tcW w:type="dxa" w:w="1872"/>
          </w:tcPr>
          <w:p>
            <w:r>
              <w:rPr>
                <w:sz w:val="18"/>
              </w:rPr>
              <w:t>Moderate</w:t>
            </w:r>
          </w:p>
        </w:tc>
        <w:tc>
          <w:tcPr>
            <w:tcW w:type="dxa" w:w="7056"/>
          </w:tcPr>
          <w:p>
            <w:r>
              <w:rPr>
                <w:sz w:val="18"/>
              </w:rPr>
              <w:t>Limited service degradation; recoverable financial loss</w:t>
            </w:r>
          </w:p>
        </w:tc>
      </w:tr>
      <w:tr>
        <w:tc>
          <w:tcPr>
            <w:tcW w:type="dxa" w:w="1872"/>
          </w:tcPr>
          <w:p>
            <w:r>
              <w:rPr>
                <w:sz w:val="18"/>
              </w:rPr>
              <w:t>Low</w:t>
            </w:r>
          </w:p>
        </w:tc>
        <w:tc>
          <w:tcPr>
            <w:tcW w:type="dxa" w:w="7056"/>
          </w:tcPr>
          <w:p>
            <w:r>
              <w:rPr>
                <w:sz w:val="18"/>
              </w:rPr>
              <w:t>Minor operational inconvenience</w:t>
            </w:r>
          </w:p>
        </w:tc>
      </w:tr>
      <w:tr>
        <w:tc>
          <w:tcPr>
            <w:tcW w:type="dxa" w:w="1872"/>
          </w:tcPr>
          <w:p>
            <w:r>
              <w:rPr>
                <w:sz w:val="18"/>
              </w:rPr>
              <w:t>Very Low</w:t>
            </w:r>
          </w:p>
        </w:tc>
        <w:tc>
          <w:tcPr>
            <w:tcW w:type="dxa" w:w="7056"/>
          </w:tcPr>
          <w:p>
            <w:r>
              <w:rPr>
                <w:sz w:val="18"/>
              </w:rPr>
              <w:t>Negligible</w:t>
            </w:r>
          </w:p>
        </w:tc>
      </w:tr>
    </w:tbl>
    <w:p/>
    <w:p>
      <w:pPr>
        <w:pStyle w:val="Heading1"/>
      </w:pPr>
      <w:r>
        <w:t>4. Risk register - current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720"/>
            <w:shd w:val="clear" w:fill="0F2B4C"/>
          </w:tcPr>
          <w:p>
            <w:r>
              <w:rPr>
                <w:b/>
                <w:color w:val="FFFFFF"/>
                <w:sz w:val="18"/>
              </w:rPr>
              <w:t>ID</w:t>
            </w:r>
          </w:p>
        </w:tc>
        <w:tc>
          <w:tcPr>
            <w:tcW w:type="dxa" w:w="2880"/>
            <w:shd w:val="clear" w:fill="0F2B4C"/>
          </w:tcPr>
          <w:p>
            <w:r>
              <w:rPr>
                <w:b/>
                <w:color w:val="FFFFFF"/>
                <w:sz w:val="18"/>
              </w:rPr>
              <w:t>Risk</w:t>
            </w:r>
          </w:p>
        </w:tc>
        <w:tc>
          <w:tcPr>
            <w:tcW w:type="dxa" w:w="1008"/>
            <w:shd w:val="clear" w:fill="0F2B4C"/>
          </w:tcPr>
          <w:p>
            <w:r>
              <w:rPr>
                <w:b/>
                <w:color w:val="FFFFFF"/>
                <w:sz w:val="18"/>
              </w:rPr>
              <w:t>L</w:t>
            </w:r>
          </w:p>
        </w:tc>
        <w:tc>
          <w:tcPr>
            <w:tcW w:type="dxa" w:w="1008"/>
            <w:shd w:val="clear" w:fill="0F2B4C"/>
          </w:tcPr>
          <w:p>
            <w:r>
              <w:rPr>
                <w:b/>
                <w:color w:val="FFFFFF"/>
                <w:sz w:val="18"/>
              </w:rPr>
              <w:t>I</w:t>
            </w:r>
          </w:p>
        </w:tc>
        <w:tc>
          <w:tcPr>
            <w:tcW w:type="dxa" w:w="1008"/>
            <w:shd w:val="clear" w:fill="0F2B4C"/>
          </w:tcPr>
          <w:p>
            <w:r>
              <w:rPr>
                <w:b/>
                <w:color w:val="FFFFFF"/>
                <w:sz w:val="18"/>
              </w:rPr>
              <w:t>Rating</w:t>
            </w:r>
          </w:p>
        </w:tc>
        <w:tc>
          <w:tcPr>
            <w:tcW w:type="dxa" w:w="2304"/>
            <w:shd w:val="clear" w:fill="0F2B4C"/>
          </w:tcPr>
          <w:p>
            <w:r>
              <w:rPr>
                <w:b/>
                <w:color w:val="FFFFFF"/>
                <w:sz w:val="18"/>
              </w:rPr>
              <w:t>Treatment</w:t>
            </w:r>
          </w:p>
        </w:tc>
        <w:tc>
          <w:tcPr>
            <w:tcW w:type="dxa" w:w="1152"/>
            <w:shd w:val="clear" w:fill="0F2B4C"/>
          </w:tcPr>
          <w:p>
            <w:r>
              <w:rPr>
                <w:b/>
                <w:color w:val="FFFFFF"/>
                <w:sz w:val="18"/>
              </w:rPr>
              <w:t>Owner</w:t>
            </w:r>
          </w:p>
        </w:tc>
      </w:tr>
      <w:tr>
        <w:tc>
          <w:tcPr>
            <w:tcW w:type="dxa" w:w="720"/>
          </w:tcPr>
          <w:p>
            <w:r>
              <w:rPr>
                <w:sz w:val="18"/>
              </w:rPr>
              <w:t>R-01</w:t>
            </w:r>
          </w:p>
        </w:tc>
        <w:tc>
          <w:tcPr>
            <w:tcW w:type="dxa" w:w="2880"/>
          </w:tcPr>
          <w:p>
            <w:r>
              <w:rPr>
                <w:sz w:val="18"/>
              </w:rPr>
              <w:t>PHI reaches an AI provider with no BAA in place</w:t>
            </w:r>
          </w:p>
        </w:tc>
        <w:tc>
          <w:tcPr>
            <w:tcW w:type="dxa" w:w="1008"/>
          </w:tcPr>
          <w:p>
            <w:r>
              <w:rPr>
                <w:sz w:val="18"/>
              </w:rPr>
              <w:t>Moderate</w:t>
            </w:r>
          </w:p>
        </w:tc>
        <w:tc>
          <w:tcPr>
            <w:tcW w:type="dxa" w:w="1008"/>
          </w:tcPr>
          <w:p>
            <w:r>
              <w:rPr>
                <w:sz w:val="18"/>
              </w:rPr>
              <w:t>Very High</w:t>
            </w:r>
          </w:p>
        </w:tc>
        <w:tc>
          <w:tcPr>
            <w:tcW w:type="dxa" w:w="1008"/>
          </w:tcPr>
          <w:p>
            <w:r>
              <w:rPr>
                <w:sz w:val="18"/>
              </w:rPr>
              <w:t>High</w:t>
            </w:r>
          </w:p>
        </w:tc>
        <w:tc>
          <w:tcPr>
            <w:tcW w:type="dxa" w:w="2304"/>
          </w:tcPr>
          <w:p>
            <w:r>
              <w:rPr>
                <w:sz w:val="18"/>
              </w:rPr>
              <w:t>Mitigate - execute BAAs; block PHI paths meanwhile</w:t>
            </w:r>
          </w:p>
        </w:tc>
        <w:tc>
          <w:tcPr>
            <w:tcW w:type="dxa" w:w="1152"/>
          </w:tcPr>
          <w:p>
            <w:r>
              <w:rPr>
                <w:sz w:val="18"/>
              </w:rPr>
              <w:t>CEO</w:t>
            </w:r>
          </w:p>
        </w:tc>
      </w:tr>
      <w:tr>
        <w:tc>
          <w:tcPr>
            <w:tcW w:type="dxa" w:w="720"/>
          </w:tcPr>
          <w:p>
            <w:r>
              <w:rPr>
                <w:sz w:val="18"/>
              </w:rPr>
              <w:t>R-02</w:t>
            </w:r>
          </w:p>
        </w:tc>
        <w:tc>
          <w:tcPr>
            <w:tcW w:type="dxa" w:w="2880"/>
          </w:tcPr>
          <w:p>
            <w:r>
              <w:rPr>
                <w:sz w:val="18"/>
              </w:rPr>
              <w:t>Database password readable by any Reader on the resource group</w:t>
            </w:r>
          </w:p>
        </w:tc>
        <w:tc>
          <w:tcPr>
            <w:tcW w:type="dxa" w:w="1008"/>
          </w:tcPr>
          <w:p>
            <w:r>
              <w:rPr>
                <w:sz w:val="18"/>
              </w:rPr>
              <w:t>Low</w:t>
            </w:r>
          </w:p>
        </w:tc>
        <w:tc>
          <w:tcPr>
            <w:tcW w:type="dxa" w:w="1008"/>
          </w:tcPr>
          <w:p>
            <w:r>
              <w:rPr>
                <w:sz w:val="18"/>
              </w:rPr>
              <w:t>High</w:t>
            </w:r>
          </w:p>
        </w:tc>
        <w:tc>
          <w:tcPr>
            <w:tcW w:type="dxa" w:w="1008"/>
          </w:tcPr>
          <w:p>
            <w:r>
              <w:rPr>
                <w:sz w:val="18"/>
              </w:rPr>
              <w:t>Moderate</w:t>
            </w:r>
          </w:p>
        </w:tc>
        <w:tc>
          <w:tcPr>
            <w:tcW w:type="dxa" w:w="2304"/>
          </w:tcPr>
          <w:p>
            <w:r>
              <w:rPr>
                <w:sz w:val="18"/>
              </w:rPr>
              <w:t>Mitigate - migrate DATABASE_URL to Key Vault</w:t>
            </w:r>
          </w:p>
        </w:tc>
        <w:tc>
          <w:tcPr>
            <w:tcW w:type="dxa" w:w="1152"/>
          </w:tcPr>
          <w:p>
            <w:r>
              <w:rPr>
                <w:sz w:val="18"/>
              </w:rPr>
              <w:t>Security Officer</w:t>
            </w:r>
          </w:p>
        </w:tc>
      </w:tr>
      <w:tr>
        <w:tc>
          <w:tcPr>
            <w:tcW w:type="dxa" w:w="720"/>
          </w:tcPr>
          <w:p>
            <w:r>
              <w:rPr>
                <w:sz w:val="18"/>
              </w:rPr>
              <w:t>R-03</w:t>
            </w:r>
          </w:p>
        </w:tc>
        <w:tc>
          <w:tcPr>
            <w:tcW w:type="dxa" w:w="2880"/>
          </w:tcPr>
          <w:p>
            <w:r>
              <w:rPr>
                <w:sz w:val="18"/>
              </w:rPr>
              <w:t>Audit log has no tamper-evidence</w:t>
            </w:r>
          </w:p>
        </w:tc>
        <w:tc>
          <w:tcPr>
            <w:tcW w:type="dxa" w:w="1008"/>
          </w:tcPr>
          <w:p>
            <w:r>
              <w:rPr>
                <w:sz w:val="18"/>
              </w:rPr>
              <w:t>Low</w:t>
            </w:r>
          </w:p>
        </w:tc>
        <w:tc>
          <w:tcPr>
            <w:tcW w:type="dxa" w:w="1008"/>
          </w:tcPr>
          <w:p>
            <w:r>
              <w:rPr>
                <w:sz w:val="18"/>
              </w:rPr>
              <w:t>High</w:t>
            </w:r>
          </w:p>
        </w:tc>
        <w:tc>
          <w:tcPr>
            <w:tcW w:type="dxa" w:w="1008"/>
          </w:tcPr>
          <w:p>
            <w:r>
              <w:rPr>
                <w:sz w:val="18"/>
              </w:rPr>
              <w:t>Moderate</w:t>
            </w:r>
          </w:p>
        </w:tc>
        <w:tc>
          <w:tcPr>
            <w:tcW w:type="dxa" w:w="2304"/>
          </w:tcPr>
          <w:p>
            <w:r>
              <w:rPr>
                <w:sz w:val="18"/>
              </w:rPr>
              <w:t>Mitigate - implement hash chaining</w:t>
            </w:r>
          </w:p>
        </w:tc>
        <w:tc>
          <w:tcPr>
            <w:tcW w:type="dxa" w:w="1152"/>
          </w:tcPr>
          <w:p>
            <w:r>
              <w:rPr>
                <w:sz w:val="18"/>
              </w:rPr>
              <w:t>Engineering</w:t>
            </w:r>
          </w:p>
        </w:tc>
      </w:tr>
      <w:tr>
        <w:tc>
          <w:tcPr>
            <w:tcW w:type="dxa" w:w="720"/>
          </w:tcPr>
          <w:p>
            <w:r>
              <w:rPr>
                <w:sz w:val="18"/>
              </w:rPr>
              <w:t>R-04</w:t>
            </w:r>
          </w:p>
        </w:tc>
        <w:tc>
          <w:tcPr>
            <w:tcW w:type="dxa" w:w="2880"/>
          </w:tcPr>
          <w:p>
            <w:r>
              <w:rPr>
                <w:sz w:val="18"/>
              </w:rPr>
              <w:t>One SAST scanner has never run; coverage gap in every score</w:t>
            </w:r>
          </w:p>
        </w:tc>
        <w:tc>
          <w:tcPr>
            <w:tcW w:type="dxa" w:w="1008"/>
          </w:tcPr>
          <w:p>
            <w:r>
              <w:rPr>
                <w:sz w:val="18"/>
              </w:rPr>
              <w:t>High</w:t>
            </w:r>
          </w:p>
        </w:tc>
        <w:tc>
          <w:tcPr>
            <w:tcW w:type="dxa" w:w="1008"/>
          </w:tcPr>
          <w:p>
            <w:r>
              <w:rPr>
                <w:sz w:val="18"/>
              </w:rPr>
              <w:t>Moderate</w:t>
            </w:r>
          </w:p>
        </w:tc>
        <w:tc>
          <w:tcPr>
            <w:tcW w:type="dxa" w:w="1008"/>
          </w:tcPr>
          <w:p>
            <w:r>
              <w:rPr>
                <w:sz w:val="18"/>
              </w:rPr>
              <w:t>High</w:t>
            </w:r>
          </w:p>
        </w:tc>
        <w:tc>
          <w:tcPr>
            <w:tcW w:type="dxa" w:w="2304"/>
          </w:tcPr>
          <w:p>
            <w:r>
              <w:rPr>
                <w:sz w:val="18"/>
              </w:rPr>
              <w:t>Mitigate - run semgrep on a Linux runner</w:t>
            </w:r>
          </w:p>
        </w:tc>
        <w:tc>
          <w:tcPr>
            <w:tcW w:type="dxa" w:w="1152"/>
          </w:tcPr>
          <w:p>
            <w:r>
              <w:rPr>
                <w:sz w:val="18"/>
              </w:rPr>
              <w:t>Engineering</w:t>
            </w:r>
          </w:p>
        </w:tc>
      </w:tr>
      <w:tr>
        <w:tc>
          <w:tcPr>
            <w:tcW w:type="dxa" w:w="720"/>
          </w:tcPr>
          <w:p>
            <w:r>
              <w:rPr>
                <w:sz w:val="18"/>
              </w:rPr>
              <w:t>R-05</w:t>
            </w:r>
          </w:p>
        </w:tc>
        <w:tc>
          <w:tcPr>
            <w:tcW w:type="dxa" w:w="2880"/>
          </w:tcPr>
          <w:p>
            <w:r>
              <w:rPr>
                <w:sz w:val="18"/>
              </w:rPr>
              <w:t>Key-person dependency for operational knowledge</w:t>
            </w:r>
          </w:p>
        </w:tc>
        <w:tc>
          <w:tcPr>
            <w:tcW w:type="dxa" w:w="1008"/>
          </w:tcPr>
          <w:p>
            <w:r>
              <w:rPr>
                <w:sz w:val="18"/>
              </w:rPr>
              <w:t>Moderate</w:t>
            </w:r>
          </w:p>
        </w:tc>
        <w:tc>
          <w:tcPr>
            <w:tcW w:type="dxa" w:w="1008"/>
          </w:tcPr>
          <w:p>
            <w:r>
              <w:rPr>
                <w:sz w:val="18"/>
              </w:rPr>
              <w:t>High</w:t>
            </w:r>
          </w:p>
        </w:tc>
        <w:tc>
          <w:tcPr>
            <w:tcW w:type="dxa" w:w="1008"/>
          </w:tcPr>
          <w:p>
            <w:r>
              <w:rPr>
                <w:sz w:val="18"/>
              </w:rPr>
              <w:t>High</w:t>
            </w:r>
          </w:p>
        </w:tc>
        <w:tc>
          <w:tcPr>
            <w:tcW w:type="dxa" w:w="2304"/>
          </w:tcPr>
          <w:p>
            <w:r>
              <w:rPr>
                <w:sz w:val="18"/>
              </w:rPr>
              <w:t>Mitigate - runbooks; cross-training</w:t>
            </w:r>
          </w:p>
        </w:tc>
        <w:tc>
          <w:tcPr>
            <w:tcW w:type="dxa" w:w="1152"/>
          </w:tcPr>
          <w:p>
            <w:r>
              <w:rPr>
                <w:sz w:val="18"/>
              </w:rPr>
              <w:t>CEO</w:t>
            </w:r>
          </w:p>
        </w:tc>
      </w:tr>
      <w:tr>
        <w:tc>
          <w:tcPr>
            <w:tcW w:type="dxa" w:w="720"/>
          </w:tcPr>
          <w:p>
            <w:r>
              <w:rPr>
                <w:sz w:val="18"/>
              </w:rPr>
              <w:t>R-06</w:t>
            </w:r>
          </w:p>
        </w:tc>
        <w:tc>
          <w:tcPr>
            <w:tcW w:type="dxa" w:w="2880"/>
          </w:tcPr>
          <w:p>
            <w:r>
              <w:rPr>
                <w:sz w:val="18"/>
              </w:rPr>
              <w:t>Single cloud provider concentration</w:t>
            </w:r>
          </w:p>
        </w:tc>
        <w:tc>
          <w:tcPr>
            <w:tcW w:type="dxa" w:w="1008"/>
          </w:tcPr>
          <w:p>
            <w:r>
              <w:rPr>
                <w:sz w:val="18"/>
              </w:rPr>
              <w:t>Low</w:t>
            </w:r>
          </w:p>
        </w:tc>
        <w:tc>
          <w:tcPr>
            <w:tcW w:type="dxa" w:w="1008"/>
          </w:tcPr>
          <w:p>
            <w:r>
              <w:rPr>
                <w:sz w:val="18"/>
              </w:rPr>
              <w:t>Very High</w:t>
            </w:r>
          </w:p>
        </w:tc>
        <w:tc>
          <w:tcPr>
            <w:tcW w:type="dxa" w:w="1008"/>
          </w:tcPr>
          <w:p>
            <w:r>
              <w:rPr>
                <w:sz w:val="18"/>
              </w:rPr>
              <w:t>Moderate</w:t>
            </w:r>
          </w:p>
        </w:tc>
        <w:tc>
          <w:tcPr>
            <w:tcW w:type="dxa" w:w="2304"/>
          </w:tcPr>
          <w:p>
            <w:r>
              <w:rPr>
                <w:sz w:val="18"/>
              </w:rPr>
              <w:t>Accept - documented; geo-redundancy within the provider</w:t>
            </w:r>
          </w:p>
        </w:tc>
        <w:tc>
          <w:tcPr>
            <w:tcW w:type="dxa" w:w="1152"/>
          </w:tcPr>
          <w:p>
            <w:r>
              <w:rPr>
                <w:sz w:val="18"/>
              </w:rPr>
              <w:t>CEO</w:t>
            </w:r>
          </w:p>
        </w:tc>
      </w:tr>
      <w:tr>
        <w:tc>
          <w:tcPr>
            <w:tcW w:type="dxa" w:w="720"/>
          </w:tcPr>
          <w:p>
            <w:r>
              <w:rPr>
                <w:sz w:val="18"/>
              </w:rPr>
              <w:t>R-07</w:t>
            </w:r>
          </w:p>
        </w:tc>
        <w:tc>
          <w:tcPr>
            <w:tcW w:type="dxa" w:w="2880"/>
          </w:tcPr>
          <w:p>
            <w:r>
              <w:rPr>
                <w:sz w:val="18"/>
              </w:rPr>
              <w:t>Unauthenticated endpoints disclose operational data</w:t>
            </w:r>
          </w:p>
        </w:tc>
        <w:tc>
          <w:tcPr>
            <w:tcW w:type="dxa" w:w="1008"/>
          </w:tcPr>
          <w:p>
            <w:r>
              <w:rPr>
                <w:sz w:val="18"/>
              </w:rPr>
              <w:t>Low</w:t>
            </w:r>
          </w:p>
        </w:tc>
        <w:tc>
          <w:tcPr>
            <w:tcW w:type="dxa" w:w="1008"/>
          </w:tcPr>
          <w:p>
            <w:r>
              <w:rPr>
                <w:sz w:val="18"/>
              </w:rPr>
              <w:t>Moderate</w:t>
            </w:r>
          </w:p>
        </w:tc>
        <w:tc>
          <w:tcPr>
            <w:tcW w:type="dxa" w:w="1008"/>
          </w:tcPr>
          <w:p>
            <w:r>
              <w:rPr>
                <w:sz w:val="18"/>
              </w:rPr>
              <w:t>Low</w:t>
            </w:r>
          </w:p>
        </w:tc>
        <w:tc>
          <w:tcPr>
            <w:tcW w:type="dxa" w:w="2304"/>
          </w:tcPr>
          <w:p>
            <w:r>
              <w:rPr>
                <w:sz w:val="18"/>
              </w:rPr>
              <w:t>Mitigated - authorization added to sensitive endpoints</w:t>
            </w:r>
          </w:p>
        </w:tc>
        <w:tc>
          <w:tcPr>
            <w:tcW w:type="dxa" w:w="1152"/>
          </w:tcPr>
          <w:p>
            <w:r>
              <w:rPr>
                <w:sz w:val="18"/>
              </w:rPr>
              <w:t>Engineering</w:t>
            </w:r>
          </w:p>
        </w:tc>
      </w:tr>
      <w:tr>
        <w:tc>
          <w:tcPr>
            <w:tcW w:type="dxa" w:w="720"/>
          </w:tcPr>
          <w:p>
            <w:r>
              <w:rPr>
                <w:sz w:val="18"/>
              </w:rPr>
              <w:t>R-08</w:t>
            </w:r>
          </w:p>
        </w:tc>
        <w:tc>
          <w:tcPr>
            <w:tcW w:type="dxa" w:w="2880"/>
          </w:tcPr>
          <w:p>
            <w:r>
              <w:rPr>
                <w:sz w:val="18"/>
              </w:rPr>
              <w:t>Dead code with no authorization could be mounted by accident</w:t>
            </w:r>
          </w:p>
        </w:tc>
        <w:tc>
          <w:tcPr>
            <w:tcW w:type="dxa" w:w="1008"/>
          </w:tcPr>
          <w:p>
            <w:r>
              <w:rPr>
                <w:sz w:val="18"/>
              </w:rPr>
              <w:t>Low</w:t>
            </w:r>
          </w:p>
        </w:tc>
        <w:tc>
          <w:tcPr>
            <w:tcW w:type="dxa" w:w="1008"/>
          </w:tcPr>
          <w:p>
            <w:r>
              <w:rPr>
                <w:sz w:val="18"/>
              </w:rPr>
              <w:t>High</w:t>
            </w:r>
          </w:p>
        </w:tc>
        <w:tc>
          <w:tcPr>
            <w:tcW w:type="dxa" w:w="1008"/>
          </w:tcPr>
          <w:p>
            <w:r>
              <w:rPr>
                <w:sz w:val="18"/>
              </w:rPr>
              <w:t>Moderate</w:t>
            </w:r>
          </w:p>
        </w:tc>
        <w:tc>
          <w:tcPr>
            <w:tcW w:type="dxa" w:w="2304"/>
          </w:tcPr>
          <w:p>
            <w:r>
              <w:rPr>
                <w:sz w:val="18"/>
              </w:rPr>
              <w:t>Mitigate - suppressions expire so the finding returns</w:t>
            </w:r>
          </w:p>
        </w:tc>
        <w:tc>
          <w:tcPr>
            <w:tcW w:type="dxa" w:w="1152"/>
          </w:tcPr>
          <w:p>
            <w:r>
              <w:rPr>
                <w:sz w:val="18"/>
              </w:rPr>
              <w:t>Engineering</w:t>
            </w:r>
          </w:p>
        </w:tc>
      </w:tr>
      <w:tr>
        <w:tc>
          <w:tcPr>
            <w:tcW w:type="dxa" w:w="720"/>
          </w:tcPr>
          <w:p>
            <w:r>
              <w:rPr>
                <w:sz w:val="18"/>
              </w:rPr>
              <w:t>R-09</w:t>
            </w:r>
          </w:p>
        </w:tc>
        <w:tc>
          <w:tcPr>
            <w:tcW w:type="dxa" w:w="2880"/>
          </w:tcPr>
          <w:p>
            <w:r>
              <w:rPr>
                <w:sz w:val="18"/>
              </w:rPr>
              <w:t>FTP deployment path bypasses pipeline verification</w:t>
            </w:r>
          </w:p>
        </w:tc>
        <w:tc>
          <w:tcPr>
            <w:tcW w:type="dxa" w:w="1008"/>
          </w:tcPr>
          <w:p>
            <w:r>
              <w:rPr>
                <w:sz w:val="18"/>
              </w:rPr>
              <w:t>Low</w:t>
            </w:r>
          </w:p>
        </w:tc>
        <w:tc>
          <w:tcPr>
            <w:tcW w:type="dxa" w:w="1008"/>
          </w:tcPr>
          <w:p>
            <w:r>
              <w:rPr>
                <w:sz w:val="18"/>
              </w:rPr>
              <w:t>Moderate</w:t>
            </w:r>
          </w:p>
        </w:tc>
        <w:tc>
          <w:tcPr>
            <w:tcW w:type="dxa" w:w="1008"/>
          </w:tcPr>
          <w:p>
            <w:r>
              <w:rPr>
                <w:sz w:val="18"/>
              </w:rPr>
              <w:t>Low</w:t>
            </w:r>
          </w:p>
        </w:tc>
        <w:tc>
          <w:tcPr>
            <w:tcW w:type="dxa" w:w="2304"/>
          </w:tcPr>
          <w:p>
            <w:r>
              <w:rPr>
                <w:sz w:val="18"/>
              </w:rPr>
              <w:t>Mitigate - disable FTP</w:t>
            </w:r>
          </w:p>
        </w:tc>
        <w:tc>
          <w:tcPr>
            <w:tcW w:type="dxa" w:w="1152"/>
          </w:tcPr>
          <w:p>
            <w:r>
              <w:rPr>
                <w:sz w:val="18"/>
              </w:rPr>
              <w:t>Engineering</w:t>
            </w:r>
          </w:p>
        </w:tc>
      </w:tr>
      <w:tr>
        <w:tc>
          <w:tcPr>
            <w:tcW w:type="dxa" w:w="720"/>
          </w:tcPr>
          <w:p>
            <w:r>
              <w:rPr>
                <w:sz w:val="18"/>
              </w:rPr>
              <w:t>R-10</w:t>
            </w:r>
          </w:p>
        </w:tc>
        <w:tc>
          <w:tcPr>
            <w:tcW w:type="dxa" w:w="2880"/>
          </w:tcPr>
          <w:p>
            <w:r>
              <w:rPr>
                <w:sz w:val="18"/>
              </w:rPr>
              <w:t>No SIEM correlation; detection depends on manual review</w:t>
            </w:r>
          </w:p>
        </w:tc>
        <w:tc>
          <w:tcPr>
            <w:tcW w:type="dxa" w:w="1008"/>
          </w:tcPr>
          <w:p>
            <w:r>
              <w:rPr>
                <w:sz w:val="18"/>
              </w:rPr>
              <w:t>Moderate</w:t>
            </w:r>
          </w:p>
        </w:tc>
        <w:tc>
          <w:tcPr>
            <w:tcW w:type="dxa" w:w="1008"/>
          </w:tcPr>
          <w:p>
            <w:r>
              <w:rPr>
                <w:sz w:val="18"/>
              </w:rPr>
              <w:t>Moderate</w:t>
            </w:r>
          </w:p>
        </w:tc>
        <w:tc>
          <w:tcPr>
            <w:tcW w:type="dxa" w:w="1008"/>
          </w:tcPr>
          <w:p>
            <w:r>
              <w:rPr>
                <w:sz w:val="18"/>
              </w:rPr>
              <w:t>Moderate</w:t>
            </w:r>
          </w:p>
        </w:tc>
        <w:tc>
          <w:tcPr>
            <w:tcW w:type="dxa" w:w="2304"/>
          </w:tcPr>
          <w:p>
            <w:r>
              <w:rPr>
                <w:sz w:val="18"/>
              </w:rPr>
              <w:t>Mitigate - centralize logs, then evaluate Sentinel</w:t>
            </w:r>
          </w:p>
        </w:tc>
        <w:tc>
          <w:tcPr>
            <w:tcW w:type="dxa" w:w="1152"/>
          </w:tcPr>
          <w:p>
            <w:r>
              <w:rPr>
                <w:sz w:val="18"/>
              </w:rPr>
              <w:t>Security Officer</w:t>
            </w:r>
          </w:p>
        </w:tc>
      </w:tr>
    </w:tbl>
    <w:p/>
    <w:p>
      <w:pPr>
        <w:pStyle w:val="Heading1"/>
      </w:pPr>
      <w:r>
        <w:t>5. Risk treatment options</w:t>
      </w:r>
    </w:p>
    <w:p>
      <w:pPr>
        <w:pStyle w:val="ListBullet"/>
      </w:pPr>
      <w:r>
        <w:t>Mitigate - implement a control that reduces likelihood or impact.</w:t>
      </w:r>
    </w:p>
    <w:p>
      <w:pPr>
        <w:pStyle w:val="ListBullet"/>
      </w:pPr>
      <w:r>
        <w:t>Transfer - shift consequence by contract or insurance. Note that regulatory liability under HIPAA cannot be transferred; only financial consequence can.</w:t>
      </w:r>
    </w:p>
    <w:p>
      <w:pPr>
        <w:pStyle w:val="ListBullet"/>
      </w:pPr>
      <w:r>
        <w:t>Avoid - stop the activity that creates the risk.</w:t>
      </w:r>
    </w:p>
    <w:p>
      <w:pPr>
        <w:pStyle w:val="ListBullet"/>
      </w:pPr>
      <w:r>
        <w:t>Accept - document the rationale, the accepting authority, and a review date. An acceptance without a review date is an abandonment.</w:t>
      </w:r>
    </w:p>
    <w:p>
      <w:pPr>
        <w:pStyle w:val="Heading1"/>
      </w:pPr>
      <w:r>
        <w:t>6. Risk acceptance criteria</w:t>
      </w:r>
    </w:p>
    <w:tbl>
      <w:tblPr>
        <w:tblStyle w:val="TableGrid"/>
        <w:tblW w:type="auto" w:w="0"/>
        <w:tblLook w:firstColumn="1" w:firstRow="1" w:lastColumn="0" w:lastRow="0" w:noHBand="0" w:noVBand="1" w:val="04A0"/>
      </w:tblPr>
      <w:tblGrid>
        <w:gridCol w:w="3120"/>
        <w:gridCol w:w="3120"/>
        <w:gridCol w:w="3120"/>
      </w:tblGrid>
      <w:tr>
        <w:tc>
          <w:tcPr>
            <w:tcW w:type="dxa" w:w="1728"/>
            <w:shd w:val="clear" w:fill="0F2B4C"/>
          </w:tcPr>
          <w:p>
            <w:r>
              <w:rPr>
                <w:b/>
                <w:color w:val="FFFFFF"/>
                <w:sz w:val="18"/>
              </w:rPr>
              <w:t>Rating</w:t>
            </w:r>
          </w:p>
        </w:tc>
        <w:tc>
          <w:tcPr>
            <w:tcW w:type="dxa" w:w="3600"/>
            <w:shd w:val="clear" w:fill="0F2B4C"/>
          </w:tcPr>
          <w:p>
            <w:r>
              <w:rPr>
                <w:b/>
                <w:color w:val="FFFFFF"/>
                <w:sz w:val="18"/>
              </w:rPr>
              <w:t>Acceptance authority</w:t>
            </w:r>
          </w:p>
        </w:tc>
        <w:tc>
          <w:tcPr>
            <w:tcW w:type="dxa" w:w="3600"/>
            <w:shd w:val="clear" w:fill="0F2B4C"/>
          </w:tcPr>
          <w:p>
            <w:r>
              <w:rPr>
                <w:b/>
                <w:color w:val="FFFFFF"/>
                <w:sz w:val="18"/>
              </w:rPr>
              <w:t>Maximum acceptance period</w:t>
            </w:r>
          </w:p>
        </w:tc>
      </w:tr>
      <w:tr>
        <w:tc>
          <w:tcPr>
            <w:tcW w:type="dxa" w:w="1728"/>
          </w:tcPr>
          <w:p>
            <w:r>
              <w:rPr>
                <w:sz w:val="18"/>
              </w:rPr>
              <w:t>Critical</w:t>
            </w:r>
          </w:p>
        </w:tc>
        <w:tc>
          <w:tcPr>
            <w:tcW w:type="dxa" w:w="3600"/>
          </w:tcPr>
          <w:p>
            <w:r>
              <w:rPr>
                <w:sz w:val="18"/>
              </w:rPr>
              <w:t>Not acceptable - must be treated</w:t>
            </w:r>
          </w:p>
        </w:tc>
        <w:tc>
          <w:tcPr>
            <w:tcW w:type="dxa" w:w="3600"/>
          </w:tcPr>
          <w:p>
            <w:r>
              <w:rPr>
                <w:sz w:val="18"/>
              </w:rPr>
              <w:t>n/a</w:t>
            </w:r>
          </w:p>
        </w:tc>
      </w:tr>
      <w:tr>
        <w:tc>
          <w:tcPr>
            <w:tcW w:type="dxa" w:w="1728"/>
          </w:tcPr>
          <w:p>
            <w:r>
              <w:rPr>
                <w:sz w:val="18"/>
              </w:rPr>
              <w:t>High</w:t>
            </w:r>
          </w:p>
        </w:tc>
        <w:tc>
          <w:tcPr>
            <w:tcW w:type="dxa" w:w="3600"/>
          </w:tcPr>
          <w:p>
            <w:r>
              <w:rPr>
                <w:sz w:val="18"/>
              </w:rPr>
              <w:t>CEO</w:t>
            </w:r>
          </w:p>
        </w:tc>
        <w:tc>
          <w:tcPr>
            <w:tcW w:type="dxa" w:w="3600"/>
          </w:tcPr>
          <w:p>
            <w:r>
              <w:rPr>
                <w:sz w:val="18"/>
              </w:rPr>
              <w:t>90 days, then re-evaluated</w:t>
            </w:r>
          </w:p>
        </w:tc>
      </w:tr>
      <w:tr>
        <w:tc>
          <w:tcPr>
            <w:tcW w:type="dxa" w:w="1728"/>
          </w:tcPr>
          <w:p>
            <w:r>
              <w:rPr>
                <w:sz w:val="18"/>
              </w:rPr>
              <w:t>Moderate</w:t>
            </w:r>
          </w:p>
        </w:tc>
        <w:tc>
          <w:tcPr>
            <w:tcW w:type="dxa" w:w="3600"/>
          </w:tcPr>
          <w:p>
            <w:r>
              <w:rPr>
                <w:sz w:val="18"/>
              </w:rPr>
              <w:t>CEO or Security Officer</w:t>
            </w:r>
          </w:p>
        </w:tc>
        <w:tc>
          <w:tcPr>
            <w:tcW w:type="dxa" w:w="3600"/>
          </w:tcPr>
          <w:p>
            <w:r>
              <w:rPr>
                <w:sz w:val="18"/>
              </w:rPr>
              <w:t>180 days</w:t>
            </w:r>
          </w:p>
        </w:tc>
      </w:tr>
      <w:tr>
        <w:tc>
          <w:tcPr>
            <w:tcW w:type="dxa" w:w="1728"/>
          </w:tcPr>
          <w:p>
            <w:r>
              <w:rPr>
                <w:sz w:val="18"/>
              </w:rPr>
              <w:t>Low</w:t>
            </w:r>
          </w:p>
        </w:tc>
        <w:tc>
          <w:tcPr>
            <w:tcW w:type="dxa" w:w="3600"/>
          </w:tcPr>
          <w:p>
            <w:r>
              <w:rPr>
                <w:sz w:val="18"/>
              </w:rPr>
              <w:t>Security Officer</w:t>
            </w:r>
          </w:p>
        </w:tc>
        <w:tc>
          <w:tcPr>
            <w:tcW w:type="dxa" w:w="3600"/>
          </w:tcPr>
          <w:p>
            <w:r>
              <w:rPr>
                <w:sz w:val="18"/>
              </w:rPr>
              <w:t>Annual review</w:t>
            </w:r>
          </w:p>
        </w:tc>
      </w:tr>
    </w:tbl>
    <w:p/>
    <w:p>
      <w:pPr>
        <w:pStyle w:val="Heading1"/>
      </w:pPr>
      <w:r>
        <w:t>7. Continuous risk identification</w:t>
      </w:r>
    </w:p>
    <w:p>
      <w:r>
        <w:t>Risks enter the register from: security scanning, incidents and near misses, vendor assessments, audit and assessment findings, change impact analysis, and the annual HIPAA risk assessment (AGT-HIRA-025). A finding that is suppressed in a scanning tool is not thereby closed as a risk; suppression with an expiry is a deferral, and the register records it as such.</w:t>
      </w:r>
    </w:p>
    <w:p>
      <w:pPr>
        <w:pStyle w:val="Heading1"/>
      </w:pPr>
      <w:r>
        <w:t>8. Review cadence</w:t>
      </w:r>
    </w:p>
    <w:tbl>
      <w:tblPr>
        <w:tblStyle w:val="TableGrid"/>
        <w:tblW w:type="auto" w:w="0"/>
        <w:tblLook w:firstColumn="1" w:firstRow="1" w:lastColumn="0" w:lastRow="0" w:noHBand="0" w:noVBand="1" w:val="04A0"/>
      </w:tblPr>
      <w:tblGrid>
        <w:gridCol w:w="3120"/>
        <w:gridCol w:w="3120"/>
        <w:gridCol w:w="3120"/>
      </w:tblGrid>
      <w:tr>
        <w:tc>
          <w:tcPr>
            <w:tcW w:type="dxa" w:w="3456"/>
            <w:shd w:val="clear" w:fill="0F2B4C"/>
          </w:tcPr>
          <w:p>
            <w:r>
              <w:rPr>
                <w:b/>
                <w:color w:val="FFFFFF"/>
                <w:sz w:val="18"/>
              </w:rPr>
              <w:t>Activity</w:t>
            </w:r>
          </w:p>
        </w:tc>
        <w:tc>
          <w:tcPr>
            <w:tcW w:type="dxa" w:w="2016"/>
            <w:shd w:val="clear" w:fill="0F2B4C"/>
          </w:tcPr>
          <w:p>
            <w:r>
              <w:rPr>
                <w:b/>
                <w:color w:val="FFFFFF"/>
                <w:sz w:val="18"/>
              </w:rPr>
              <w:t>Frequency</w:t>
            </w:r>
          </w:p>
        </w:tc>
        <w:tc>
          <w:tcPr>
            <w:tcW w:type="dxa" w:w="3456"/>
            <w:shd w:val="clear" w:fill="0F2B4C"/>
          </w:tcPr>
          <w:p>
            <w:r>
              <w:rPr>
                <w:b/>
                <w:color w:val="FFFFFF"/>
                <w:sz w:val="18"/>
              </w:rPr>
              <w:t>Owner</w:t>
            </w:r>
          </w:p>
        </w:tc>
      </w:tr>
      <w:tr>
        <w:tc>
          <w:tcPr>
            <w:tcW w:type="dxa" w:w="3456"/>
          </w:tcPr>
          <w:p>
            <w:r>
              <w:rPr>
                <w:sz w:val="18"/>
              </w:rPr>
              <w:t>Register review and re-rating</w:t>
            </w:r>
          </w:p>
        </w:tc>
        <w:tc>
          <w:tcPr>
            <w:tcW w:type="dxa" w:w="2016"/>
          </w:tcPr>
          <w:p>
            <w:r>
              <w:rPr>
                <w:sz w:val="18"/>
              </w:rPr>
              <w:t>Quarterly</w:t>
            </w:r>
          </w:p>
        </w:tc>
        <w:tc>
          <w:tcPr>
            <w:tcW w:type="dxa" w:w="3456"/>
          </w:tcPr>
          <w:p>
            <w:r>
              <w:rPr>
                <w:sz w:val="18"/>
              </w:rPr>
              <w:t>Security Officer</w:t>
            </w:r>
          </w:p>
        </w:tc>
      </w:tr>
      <w:tr>
        <w:tc>
          <w:tcPr>
            <w:tcW w:type="dxa" w:w="3456"/>
          </w:tcPr>
          <w:p>
            <w:r>
              <w:rPr>
                <w:sz w:val="18"/>
              </w:rPr>
              <w:t>Executive risk review</w:t>
            </w:r>
          </w:p>
        </w:tc>
        <w:tc>
          <w:tcPr>
            <w:tcW w:type="dxa" w:w="2016"/>
          </w:tcPr>
          <w:p>
            <w:r>
              <w:rPr>
                <w:sz w:val="18"/>
              </w:rPr>
              <w:t>Quarterly</w:t>
            </w:r>
          </w:p>
        </w:tc>
        <w:tc>
          <w:tcPr>
            <w:tcW w:type="dxa" w:w="3456"/>
          </w:tcPr>
          <w:p>
            <w:r>
              <w:rPr>
                <w:sz w:val="18"/>
              </w:rPr>
              <w:t>CEO</w:t>
            </w:r>
          </w:p>
        </w:tc>
      </w:tr>
      <w:tr>
        <w:tc>
          <w:tcPr>
            <w:tcW w:type="dxa" w:w="3456"/>
          </w:tcPr>
          <w:p>
            <w:r>
              <w:rPr>
                <w:sz w:val="18"/>
              </w:rPr>
              <w:t>Full risk assessment refresh</w:t>
            </w:r>
          </w:p>
        </w:tc>
        <w:tc>
          <w:tcPr>
            <w:tcW w:type="dxa" w:w="2016"/>
          </w:tcPr>
          <w:p>
            <w:r>
              <w:rPr>
                <w:sz w:val="18"/>
              </w:rPr>
              <w:t>Annually</w:t>
            </w:r>
          </w:p>
        </w:tc>
        <w:tc>
          <w:tcPr>
            <w:tcW w:type="dxa" w:w="3456"/>
          </w:tcPr>
          <w:p>
            <w:r>
              <w:rPr>
                <w:sz w:val="18"/>
              </w:rPr>
              <w:t>Security Officer</w:t>
            </w:r>
          </w:p>
        </w:tc>
      </w:tr>
      <w:tr>
        <w:tc>
          <w:tcPr>
            <w:tcW w:type="dxa" w:w="3456"/>
          </w:tcPr>
          <w:p>
            <w:r>
              <w:rPr>
                <w:sz w:val="18"/>
              </w:rPr>
              <w:t>Post-incident risk update</w:t>
            </w:r>
          </w:p>
        </w:tc>
        <w:tc>
          <w:tcPr>
            <w:tcW w:type="dxa" w:w="2016"/>
          </w:tcPr>
          <w:p>
            <w:r>
              <w:rPr>
                <w:sz w:val="18"/>
              </w:rPr>
              <w:t>Within 10 days of closure</w:t>
            </w:r>
          </w:p>
        </w:tc>
        <w:tc>
          <w:tcPr>
            <w:tcW w:type="dxa" w:w="3456"/>
          </w:tcPr>
          <w:p>
            <w:r>
              <w:rPr>
                <w:sz w:val="18"/>
              </w:rPr>
              <w:t>Security Officer</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Accepts High risk; owns the executive review.</w:t>
            </w:r>
          </w:p>
        </w:tc>
      </w:tr>
      <w:tr>
        <w:tc>
          <w:tcPr>
            <w:tcW w:type="dxa" w:w="2592"/>
          </w:tcPr>
          <w:p>
            <w:r>
              <w:rPr>
                <w:sz w:val="18"/>
              </w:rPr>
              <w:t>Security Officer</w:t>
            </w:r>
          </w:p>
        </w:tc>
        <w:tc>
          <w:tcPr>
            <w:tcW w:type="dxa" w:w="6336"/>
          </w:tcPr>
          <w:p>
            <w:r>
              <w:rPr>
                <w:sz w:val="18"/>
              </w:rPr>
              <w:t>Maintains the register; performs assessment; tracks treatment.</w:t>
            </w:r>
          </w:p>
        </w:tc>
      </w:tr>
      <w:tr>
        <w:tc>
          <w:tcPr>
            <w:tcW w:type="dxa" w:w="2592"/>
          </w:tcPr>
          <w:p>
            <w:r>
              <w:rPr>
                <w:sz w:val="18"/>
              </w:rPr>
              <w:t>Engineering</w:t>
            </w:r>
          </w:p>
        </w:tc>
        <w:tc>
          <w:tcPr>
            <w:tcW w:type="dxa" w:w="6336"/>
          </w:tcPr>
          <w:p>
            <w:r>
              <w:rPr>
                <w:sz w:val="18"/>
              </w:rPr>
              <w:t>Implements technical treatments.</w:t>
            </w:r>
          </w:p>
        </w:tc>
      </w:tr>
      <w:tr>
        <w:tc>
          <w:tcPr>
            <w:tcW w:type="dxa" w:w="2592"/>
          </w:tcPr>
          <w:p>
            <w:r>
              <w:rPr>
                <w:sz w:val="18"/>
              </w:rPr>
              <w:t>Privacy Officer</w:t>
            </w:r>
          </w:p>
        </w:tc>
        <w:tc>
          <w:tcPr>
            <w:tcW w:type="dxa" w:w="6336"/>
          </w:tcPr>
          <w:p>
            <w:r>
              <w:rPr>
                <w:sz w:val="18"/>
              </w:rPr>
              <w:t>Contributes privacy risk.</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RA-1, RA-3, RA-5, RA-7, PM-9</w:t>
            </w:r>
          </w:p>
        </w:tc>
        <w:tc>
          <w:tcPr>
            <w:tcW w:type="dxa" w:w="4320"/>
          </w:tcPr>
          <w:p>
            <w:r>
              <w:rPr>
                <w:sz w:val="18"/>
              </w:rPr>
              <w:t>Risk assessment policy, assessment, scanning, risk response, risk management strategy.</w:t>
            </w:r>
          </w:p>
        </w:tc>
        <w:tc>
          <w:tcPr>
            <w:tcW w:type="dxa" w:w="1152"/>
          </w:tcPr>
          <w:p>
            <w:r>
              <w:rPr>
                <w:sz w:val="18"/>
              </w:rPr>
              <w:t>Met</w:t>
            </w:r>
          </w:p>
        </w:tc>
      </w:tr>
      <w:tr>
        <w:tc>
          <w:tcPr>
            <w:tcW w:type="dxa" w:w="1584"/>
          </w:tcPr>
          <w:p>
            <w:r>
              <w:rPr>
                <w:sz w:val="18"/>
              </w:rPr>
              <w:t>NIST 800-30</w:t>
            </w:r>
          </w:p>
        </w:tc>
        <w:tc>
          <w:tcPr>
            <w:tcW w:type="dxa" w:w="2160"/>
          </w:tcPr>
          <w:p>
            <w:r>
              <w:rPr>
                <w:sz w:val="18"/>
              </w:rPr>
              <w:t>Rev. 1</w:t>
            </w:r>
          </w:p>
        </w:tc>
        <w:tc>
          <w:tcPr>
            <w:tcW w:type="dxa" w:w="4320"/>
          </w:tcPr>
          <w:p>
            <w:r>
              <w:rPr>
                <w:sz w:val="18"/>
              </w:rPr>
              <w:t>Risk assessment methodology adopted.</w:t>
            </w:r>
          </w:p>
        </w:tc>
        <w:tc>
          <w:tcPr>
            <w:tcW w:type="dxa" w:w="1152"/>
          </w:tcPr>
          <w:p>
            <w:r>
              <w:rPr>
                <w:sz w:val="18"/>
              </w:rPr>
              <w:t>Met</w:t>
            </w:r>
          </w:p>
        </w:tc>
      </w:tr>
      <w:tr>
        <w:tc>
          <w:tcPr>
            <w:tcW w:type="dxa" w:w="1584"/>
          </w:tcPr>
          <w:p>
            <w:r>
              <w:rPr>
                <w:sz w:val="18"/>
              </w:rPr>
              <w:t>HIPAA</w:t>
            </w:r>
          </w:p>
        </w:tc>
        <w:tc>
          <w:tcPr>
            <w:tcW w:type="dxa" w:w="2160"/>
          </w:tcPr>
          <w:p>
            <w:r>
              <w:rPr>
                <w:sz w:val="18"/>
              </w:rPr>
              <w:t>164.308(a)(1)(ii)(A)</w:t>
            </w:r>
          </w:p>
        </w:tc>
        <w:tc>
          <w:tcPr>
            <w:tcW w:type="dxa" w:w="4320"/>
          </w:tcPr>
          <w:p>
            <w:r>
              <w:rPr>
                <w:sz w:val="18"/>
              </w:rPr>
              <w:t>Risk analysis.</w:t>
            </w:r>
          </w:p>
        </w:tc>
        <w:tc>
          <w:tcPr>
            <w:tcW w:type="dxa" w:w="1152"/>
          </w:tcPr>
          <w:p>
            <w:r>
              <w:rPr>
                <w:sz w:val="18"/>
              </w:rPr>
              <w:t>Met</w:t>
            </w:r>
          </w:p>
        </w:tc>
      </w:tr>
      <w:tr>
        <w:tc>
          <w:tcPr>
            <w:tcW w:type="dxa" w:w="1584"/>
          </w:tcPr>
          <w:p>
            <w:r>
              <w:rPr>
                <w:sz w:val="18"/>
              </w:rPr>
              <w:t>HIPAA</w:t>
            </w:r>
          </w:p>
        </w:tc>
        <w:tc>
          <w:tcPr>
            <w:tcW w:type="dxa" w:w="2160"/>
          </w:tcPr>
          <w:p>
            <w:r>
              <w:rPr>
                <w:sz w:val="18"/>
              </w:rPr>
              <w:t>164.308(a)(1)(ii)(B)</w:t>
            </w:r>
          </w:p>
        </w:tc>
        <w:tc>
          <w:tcPr>
            <w:tcW w:type="dxa" w:w="4320"/>
          </w:tcPr>
          <w:p>
            <w:r>
              <w:rPr>
                <w:sz w:val="18"/>
              </w:rPr>
              <w:t>Risk management.</w:t>
            </w:r>
          </w:p>
        </w:tc>
        <w:tc>
          <w:tcPr>
            <w:tcW w:type="dxa" w:w="1152"/>
          </w:tcPr>
          <w:p>
            <w:r>
              <w:rPr>
                <w:sz w:val="18"/>
              </w:rPr>
              <w:t>Met</w:t>
            </w:r>
          </w:p>
        </w:tc>
      </w:tr>
      <w:tr>
        <w:tc>
          <w:tcPr>
            <w:tcW w:type="dxa" w:w="1584"/>
          </w:tcPr>
          <w:p>
            <w:r>
              <w:rPr>
                <w:sz w:val="18"/>
              </w:rPr>
              <w:t>SOC 2</w:t>
            </w:r>
          </w:p>
        </w:tc>
        <w:tc>
          <w:tcPr>
            <w:tcW w:type="dxa" w:w="2160"/>
          </w:tcPr>
          <w:p>
            <w:r>
              <w:rPr>
                <w:sz w:val="18"/>
              </w:rPr>
              <w:t>CC3.1 through CC3.4</w:t>
            </w:r>
          </w:p>
        </w:tc>
        <w:tc>
          <w:tcPr>
            <w:tcW w:type="dxa" w:w="4320"/>
          </w:tcPr>
          <w:p>
            <w:r>
              <w:rPr>
                <w:sz w:val="18"/>
              </w:rPr>
              <w:t>Objectives, risk identification, fraud risk, change assessment.</w:t>
            </w:r>
          </w:p>
        </w:tc>
        <w:tc>
          <w:tcPr>
            <w:tcW w:type="dxa" w:w="1152"/>
          </w:tcPr>
          <w:p>
            <w:r>
              <w:rPr>
                <w:sz w:val="18"/>
              </w:rPr>
              <w:t>Met</w:t>
            </w:r>
          </w:p>
        </w:tc>
      </w:tr>
      <w:tr>
        <w:tc>
          <w:tcPr>
            <w:tcW w:type="dxa" w:w="1584"/>
          </w:tcPr>
          <w:p>
            <w:r>
              <w:rPr>
                <w:sz w:val="18"/>
              </w:rPr>
              <w:t>ISO 27001</w:t>
            </w:r>
          </w:p>
        </w:tc>
        <w:tc>
          <w:tcPr>
            <w:tcW w:type="dxa" w:w="2160"/>
          </w:tcPr>
          <w:p>
            <w:r>
              <w:rPr>
                <w:sz w:val="18"/>
              </w:rPr>
              <w:t>Clause 6.1, 8.2, 8.3</w:t>
            </w:r>
          </w:p>
        </w:tc>
        <w:tc>
          <w:tcPr>
            <w:tcW w:type="dxa" w:w="4320"/>
          </w:tcPr>
          <w:p>
            <w:r>
              <w:rPr>
                <w:sz w:val="18"/>
              </w:rPr>
              <w:t>Risk assessment and treatment.</w:t>
            </w:r>
          </w:p>
        </w:tc>
        <w:tc>
          <w:tcPr>
            <w:tcW w:type="dxa" w:w="1152"/>
          </w:tcPr>
          <w:p>
            <w:r>
              <w:rPr>
                <w:sz w:val="18"/>
              </w:rPr>
              <w:t>Met</w:t>
            </w:r>
          </w:p>
        </w:tc>
      </w:tr>
      <w:tr>
        <w:tc>
          <w:tcPr>
            <w:tcW w:type="dxa" w:w="1584"/>
          </w:tcPr>
          <w:p>
            <w:r>
              <w:rPr>
                <w:sz w:val="18"/>
              </w:rPr>
              <w:t>CMMI L3</w:t>
            </w:r>
          </w:p>
        </w:tc>
        <w:tc>
          <w:tcPr>
            <w:tcW w:type="dxa" w:w="2160"/>
          </w:tcPr>
          <w:p>
            <w:r>
              <w:rPr>
                <w:sz w:val="18"/>
              </w:rPr>
              <w:t>RSKM</w:t>
            </w:r>
          </w:p>
        </w:tc>
        <w:tc>
          <w:tcPr>
            <w:tcW w:type="dxa" w:w="4320"/>
          </w:tcPr>
          <w:p>
            <w:r>
              <w:rPr>
                <w:sz w:val="18"/>
              </w:rPr>
              <w:t>Risk management process area.</w:t>
            </w:r>
          </w:p>
        </w:tc>
        <w:tc>
          <w:tcPr>
            <w:tcW w:type="dxa" w:w="1152"/>
          </w:tcPr>
          <w:p>
            <w:r>
              <w:rPr>
                <w:sz w:val="18"/>
              </w:rPr>
              <w:t>Met</w:t>
            </w:r>
          </w:p>
        </w:tc>
      </w:tr>
      <w:tr>
        <w:tc>
          <w:tcPr>
            <w:tcW w:type="dxa" w:w="1584"/>
          </w:tcPr>
          <w:p>
            <w:r>
              <w:rPr>
                <w:sz w:val="18"/>
              </w:rPr>
              <w:t>FedRAMP</w:t>
            </w:r>
          </w:p>
        </w:tc>
        <w:tc>
          <w:tcPr>
            <w:tcW w:type="dxa" w:w="2160"/>
          </w:tcPr>
          <w:p>
            <w:r>
              <w:rPr>
                <w:sz w:val="18"/>
              </w:rPr>
              <w:t>RA-5(5), PM-9</w:t>
            </w:r>
          </w:p>
        </w:tc>
        <w:tc>
          <w:tcPr>
            <w:tcW w:type="dxa" w:w="4320"/>
          </w:tcPr>
          <w:p>
            <w:r>
              <w:rPr>
                <w:sz w:val="18"/>
              </w:rPr>
              <w:t>Privileged scanning and organizational risk strategy.</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AGT-HIRA-025</w:t>
            </w:r>
          </w:p>
        </w:tc>
        <w:tc>
          <w:tcPr>
            <w:tcW w:type="dxa" w:w="4176"/>
          </w:tcPr>
          <w:p>
            <w:r>
              <w:rPr>
                <w:sz w:val="18"/>
              </w:rPr>
              <w:t>HIPAA Organizational Risk Assessment</w:t>
            </w:r>
          </w:p>
        </w:tc>
        <w:tc>
          <w:tcPr>
            <w:tcW w:type="dxa" w:w="3168"/>
          </w:tcPr>
          <w:p>
            <w:r>
              <w:rPr>
                <w:sz w:val="18"/>
              </w:rPr>
              <w:t>Feeds the register annually</w:t>
            </w:r>
          </w:p>
        </w:tc>
      </w:tr>
      <w:tr>
        <w:tc>
          <w:tcPr>
            <w:tcW w:type="dxa" w:w="1872"/>
          </w:tcPr>
          <w:p>
            <w:r>
              <w:rPr>
                <w:sz w:val="18"/>
              </w:rPr>
              <w:t>AGT-CMS-024</w:t>
            </w:r>
          </w:p>
        </w:tc>
        <w:tc>
          <w:tcPr>
            <w:tcW w:type="dxa" w:w="4176"/>
          </w:tcPr>
          <w:p>
            <w:r>
              <w:rPr>
                <w:sz w:val="18"/>
              </w:rPr>
              <w:t>Continuous Monitoring Strategy</w:t>
            </w:r>
          </w:p>
        </w:tc>
        <w:tc>
          <w:tcPr>
            <w:tcW w:type="dxa" w:w="3168"/>
          </w:tcPr>
          <w:p>
            <w:r>
              <w:rPr>
                <w:sz w:val="18"/>
              </w:rPr>
              <w:t>Monitors treatment progress</w:t>
            </w:r>
          </w:p>
        </w:tc>
      </w:tr>
      <w:tr>
        <w:tc>
          <w:tcPr>
            <w:tcW w:type="dxa" w:w="1872"/>
          </w:tcPr>
          <w:p>
            <w:r>
              <w:rPr>
                <w:sz w:val="18"/>
              </w:rPr>
              <w:t>AGT-IRP-022</w:t>
            </w:r>
          </w:p>
        </w:tc>
        <w:tc>
          <w:tcPr>
            <w:tcW w:type="dxa" w:w="4176"/>
          </w:tcPr>
          <w:p>
            <w:r>
              <w:rPr>
                <w:sz w:val="18"/>
              </w:rPr>
              <w:t>Incident Response Plan</w:t>
            </w:r>
          </w:p>
        </w:tc>
        <w:tc>
          <w:tcPr>
            <w:tcW w:type="dxa" w:w="3168"/>
          </w:tcPr>
          <w:p>
            <w:r>
              <w:rPr>
                <w:sz w:val="18"/>
              </w:rPr>
              <w:t>Incidents generate new risks</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Vendor risk source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AGT-RMP-023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