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ATO Readiness Guide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AGT-A-002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guide states what AGT must have in place to pursue an Authority to Operate, what currently exists, and what remains. It is written to be usable as a self-assessment rather than as an aspiration.</w:t>
      </w:r>
    </w:p>
    <w:p>
      <w:pPr>
        <w:pStyle w:val="Heading2"/>
      </w:pPr>
      <w:r>
        <w:t>System context</w:t>
      </w:r>
    </w:p>
    <w:p>
      <w:r>
        <w:t>This document applies to DocuAction TEFCA ARC, operated by Alliance Global Tech Inc. on Microsoft Azure. The control descriptions in this document are written against the following implementation, not against a generic reference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Next.js 14 (React), static export, Azure Static Web Apps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FastAPI on Python 3.12, Azure App Service (Linux)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Database for PostgreSQL - Flexible Server, geo-redundant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Microsoft Entra ID; OAuth 2.0, OIDC, JWT bearer, RBAC, MFA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Key Vault, resolved at runtime by system-assigned managed identity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Monitor and Application Insights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Healthcare standards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FHIR R4, HL7, TEFCA Common Agreement / RCE IG v1.14.0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CMMI Level 3, ISO 27001, ISO 9001, ISO 20000-1, DoD Final Contractor</w:t>
            </w:r>
          </w:p>
        </w:tc>
      </w:tr>
    </w:tbl>
    <w:p/>
    <w:p>
      <w:pPr>
        <w:pStyle w:val="Heading1"/>
      </w:pPr>
      <w:r>
        <w:t>2. Readiness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fill="0F2B4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System Security Plan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AGT-SSP-001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Security categorization (FIPS 199)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AGT-SSP-001 s3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Authorization boundary defined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AGT-SSP-001 s4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Policy set covering all control families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AGT-MCM-026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Risk assessment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AGT-HIRA-025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Incident response plan and exercise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AGT-IRP-022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Annual exercise due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Contingency plan and DR test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AGT-BCP-020, AGT-DRP-021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Annual test due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Continuous monitoring strategy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AGT-CMS-024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Configuration baselines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AGT-CfMP-016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Open configuration findings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Vulnerability scanning programme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reports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One scanner non-functional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Independent penetration test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POA&amp;M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AGT-SSP-001 s9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Business associate agreements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AGT-VRM-012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Two AI providers outstanding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Evidence collection procedure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AGT-T-012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Security awareness training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 records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3PAO assessment (FedRAMP path)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Required for FedRAMP only</w:t>
            </w:r>
          </w:p>
        </w:tc>
      </w:tr>
    </w:tbl>
    <w:p/>
    <w:p>
      <w:pPr>
        <w:pStyle w:val="Heading1"/>
      </w:pPr>
      <w:r>
        <w:t>3. Critical path to authorization</w:t>
      </w:r>
    </w:p>
    <w:p>
      <w:pPr>
        <w:pStyle w:val="ListNumber"/>
      </w:pPr>
      <w:r>
        <w:t>Execute business associate agreements with both AI providers, or technically block PHI from reaching them. This is the highest-severity open item and it is a legal requirement rather than a best practice.</w:t>
      </w:r>
    </w:p>
    <w:p>
      <w:pPr>
        <w:pStyle w:val="ListNumber"/>
      </w:pPr>
      <w:r>
        <w:t>Restore full scanner coverage. Every security metric AGT currently reports carries a coverage caveat, which an assessor will treat as an unknown rather than as a zero.</w:t>
      </w:r>
    </w:p>
    <w:p>
      <w:pPr>
        <w:pStyle w:val="ListNumber"/>
      </w:pPr>
      <w:r>
        <w:t>Commission an independent penetration test. Internal assessment cannot satisfy the independence requirement.</w:t>
      </w:r>
    </w:p>
    <w:p>
      <w:pPr>
        <w:pStyle w:val="ListNumber"/>
      </w:pPr>
      <w:r>
        <w:t>Close the configuration findings: Key Vault reference for the database credential, FTP disabled, health check configured.</w:t>
      </w:r>
    </w:p>
    <w:p>
      <w:pPr>
        <w:pStyle w:val="ListNumber"/>
      </w:pPr>
      <w:r>
        <w:t>Implement audit log tamper-evidence, or accept and document the limitation on the log's forensic strength.</w:t>
      </w:r>
    </w:p>
    <w:p>
      <w:pPr>
        <w:pStyle w:val="ListNumber"/>
      </w:pPr>
      <w:r>
        <w:t>Perform the annual DR test and incident response exercise, and retain the records.</w:t>
      </w:r>
    </w:p>
    <w:p>
      <w:pPr>
        <w:pStyle w:val="Heading1"/>
      </w:pPr>
      <w:r>
        <w:t>4. What an assessor will probe first</w:t>
      </w:r>
    </w:p>
    <w:p>
      <w:r>
        <w:t>Based on the profile of this system, the areas most likely to attract early scrutiny:</w:t>
      </w:r>
    </w:p>
    <w:p>
      <w:pPr>
        <w:pStyle w:val="ListBullet"/>
      </w:pPr>
      <w:r>
        <w:t>The PHI flow to third-party AI providers, and the contractual basis for it.</w:t>
      </w:r>
    </w:p>
    <w:p>
      <w:pPr>
        <w:pStyle w:val="ListBullet"/>
      </w:pPr>
      <w:r>
        <w:t>Whether the audit trail actually captures PHI access, and whether it can be altered.</w:t>
      </w:r>
    </w:p>
    <w:p>
      <w:pPr>
        <w:pStyle w:val="ListBullet"/>
      </w:pPr>
      <w:r>
        <w:t>Whether suppressed scan findings are deferrals with expiry or quiet dismissals.</w:t>
      </w:r>
    </w:p>
    <w:p>
      <w:pPr>
        <w:pStyle w:val="ListBullet"/>
      </w:pPr>
      <w:r>
        <w:t>Whether the deployment pipeline can be bypassed, and whether anything does bypass it.</w:t>
      </w:r>
    </w:p>
    <w:p>
      <w:pPr>
        <w:pStyle w:val="ListBullet"/>
      </w:pPr>
      <w:r>
        <w:t>Whether inherited controls are genuinely inherited or merely assumed.</w:t>
      </w:r>
    </w:p>
    <w:p>
      <w:pPr>
        <w:pStyle w:val="Heading1"/>
      </w:pPr>
      <w:r>
        <w:t>5. Evidence package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1. System documentation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SSP, architecture, data flow, boundary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2. Policies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AGT-EISP-001 through AGT-MCM-026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3. Risk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HIPAA risk assessment, risk register, POA&amp;M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4. Operational evidence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Access reviews, backup and DR tests, incident records, change records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5. Technical evidence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Scan reports, SBOMs, configuration exports, DAST results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6. Third-party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Vendor assessments, BAAs, cloud provider attestations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7. Assessment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Assessment plan, penetration test, prior findings and closure</w:t>
            </w:r>
          </w:p>
        </w:tc>
      </w:tr>
    </w:tbl>
    <w:p/>
    <w:p>
      <w:pPr>
        <w:pStyle w:val="Heading2"/>
      </w:pPr>
      <w:r>
        <w:t>Compliance mapping</w:t>
      </w:r>
    </w:p>
    <w:p>
      <w:r>
        <w:t>Each framework reference below identifies the control this document is written to satisfy. Where a control is only partially satisfied, the gap is stated in the row rather than omitted - a mapping table that shows only green is not evidence, it is decoration.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320"/>
            <w:shd w:val="clear" w:fill="0F2B4C"/>
          </w:tcPr>
          <w:p>
            <w:r>
              <w:rPr>
                <w:b/>
                <w:color w:val="FFFFFF"/>
                <w:sz w:val="18"/>
              </w:rPr>
              <w:t>How this document satisfies it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CA-6, PM-10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and security authorization process.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RMF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management framework steps followed through step 5.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FedRAMP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 package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SSP, SAP, SAR, POA&amp;M structure adopted.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HIPAA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164.308(a)(8)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Evaluation supporting authorization.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SOC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CC4.1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 evaluation.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AGT-SSP-001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System Security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Primary authorization artifact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AGT-A-001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Security Assessment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How controls are assessed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AGT-A-006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FedRAMP Readiness Roadmap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FedRAMP-specific path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AGT-HIRA-025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HIPAA Organizational Risk Assessment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Risk basis</w:t>
            </w:r>
          </w:p>
        </w:tc>
      </w:tr>
    </w:tbl>
    <w:p/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2026-07-28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Initial issue.</w:t>
            </w:r>
          </w:p>
        </w:tc>
      </w:tr>
    </w:tbl>
    <w:p/>
    <w:p>
      <w:pPr>
        <w:pStyle w:val="Heading1"/>
      </w:pPr>
      <w:r>
        <w:t>Approval</w:t>
      </w:r>
    </w:p>
    <w:p>
      <w:r>
        <w:t>This document is approved for use and is binding on all personnel and contractors with access to the systems in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Privacy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Approval is recorded in the document management system; a wet signature is not required where an auditable electronic approval exists.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AGT-A-002 v1.0  |  AGT Confidential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