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POA&amp;M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AGT-T-007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Plan of Action and Milestones. Tracks every weakness that is not remediated within its severity window. Evidence for NIST CA-5 and PM-4.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POA&amp;M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576"/>
            <w:shd w:val="clear" w:fill="0F2B4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Weakness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Controls</w:t>
            </w:r>
          </w:p>
        </w:tc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POA&amp;M ID</w:t>
            </w:r>
          </w:p>
        </w:tc>
        <w:tc>
          <w:tcPr>
            <w:tcW w:type="dxa" w:w="3456"/>
            <w:shd w:val="clear" w:fill="0F2B4C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Actual date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Deviations and extensions</w:t>
      </w:r>
    </w:p>
    <w:p>
      <w:r>
        <w:t>A missed target is recorded with a reason and a new date approved by the accepting authority. Silently moving a target date is how a POA&amp;M stops being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POA&amp;M ID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Original target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New target</w:t>
            </w:r>
          </w:p>
        </w:tc>
        <w:tc>
          <w:tcPr>
            <w:tcW w:type="dxa" w:w="3024"/>
            <w:shd w:val="clear" w:fill="0F2B4C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Closure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POA&amp;M ID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Closure date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Verified by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AGT-T-007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