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Penetration Test Report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AGT-T-008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Structure for the annual independent penetration test required by AGT-CMS-024 section 3. Completed by the testing provider and retained as evidence for NIST CA-8.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Engagement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Testing provider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Lead tester and credentials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Test window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Scope (in)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Scope (explicitly out)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Methodology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Rules of engagement reference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Authorization letter reference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Scope exclusions matter as much as inclusions. A report that does not state what was not tested invites the reader to assume everything was.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Overall risk rating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Critical findings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High findings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Medium findings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Low findings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Was the objective achieved (e.g. data access)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val="clear" w:fill="0F2B4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720"/>
            <w:shd w:val="clear" w:fill="0F2B4C"/>
          </w:tcPr>
          <w:p>
            <w:r>
              <w:rPr>
                <w:b/>
                <w:color w:val="FFFFFF"/>
                <w:sz w:val="18"/>
              </w:rPr>
              <w:t>CVSS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Affected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Exploitability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Finding detail (repeat per finding)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Finding ID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Attack narrative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Evidence / proof of concept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Business impact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Remediation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Retest result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Remediation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Remediated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Retested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Closed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AGT-T-008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