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Vulnerability Scan Report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AGT-T-009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Periodic reporting of automated scan results under AGT-CMS-024. The automated platform produces the underlying data; this template is the reviewed, human-attested summary.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Scan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Scan date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Scan ID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Target scope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Scanners executed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Scanners that did NOT execute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New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Existing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Reopened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Suppressed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Total 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Coverage statement</w:t>
      </w:r>
    </w:p>
    <w:p>
      <w:r>
        <w:t>Any scanner that did not execute leaves a capability gap in these results. State the gap explicitly; a reader will otherwise treat the totals as 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Scanner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Findings</w:t>
            </w:r>
          </w:p>
        </w:tc>
        <w:tc>
          <w:tcPr>
            <w:tcW w:type="dxa" w:w="4608"/>
            <w:shd w:val="clear" w:fill="0F2B4C"/>
          </w:tcPr>
          <w:p>
            <w:r>
              <w:rPr>
                <w:b/>
                <w:color w:val="FFFFFF"/>
                <w:sz w:val="18"/>
              </w:rPr>
              <w:t>If skipped, why and what is missed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460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Triage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3024"/>
            <w:shd w:val="clear" w:fill="0F2B4C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Suppression expiry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POA&amp;M 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Attestation</w:t>
      </w:r>
    </w:p>
    <w:p>
      <w:r>
        <w:t>I confirm the results above were reviewed, that each disposition reflects an assessment of the underlying code or configuration rather than a bulk action, and that every suppression carries a documented reason and an expiry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AGT-T-009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