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Change Record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AGT-T-010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Request for Change and its implementation record under AGT-ChMP-017. Retained six years. Evidence for NIST CM-3 and SOC 2 CC8.1.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Change ID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Requested by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Date requested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Category (standard/normal/major/emergency)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Business justification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Systems affected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Data classes affected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Risk and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What breaks if this fails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Security impact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Privacy impact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Downtime expected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Customer impact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fill="0F2B4C"/>
          </w:tcPr>
          <w:p>
            <w:r>
              <w:rPr>
                <w:b/>
                <w:color w:val="FFFFFF"/>
                <w:sz w:val="18"/>
              </w:rPr>
              <w:t>Test performed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736"/>
            <w:shd w:val="clear" w:fill="0F2B4C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fill="0F2B4C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600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Rollback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Rollback procedure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Point of no return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Rollback tested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migration reversibility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 change without a stated rollback is not approved. Where a schema change makes rollback non-trivial, the plan must include a tested down-migration or a forward-compatible design.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Engineering lead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CEO (major/emergency)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Implementation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Implemented by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Start time (UTC)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End time (UTC)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Deployment record status (server-side)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Verification endpoint unique to the new build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Verification result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Rollback required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Verify from the server-side deployment record, not the CLI exit status - the deployment tool reports connection failures while the deployment is still succeeding. Verify with an endpoint that exists only in the new build; the health endpoint answers from the old code throughout.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AGT-T-010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