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0F2B4C"/>
          <w:sz w:val="88"/>
        </w:rPr>
        <w:t>AGT</w:t>
      </w:r>
    </w:p>
    <w:p>
      <w:pPr>
        <w:jc w:val="center"/>
      </w:pPr>
      <w:r>
        <w:rPr>
          <w:color w:val="5A5A5A"/>
          <w:sz w:val="26"/>
        </w:rPr>
        <w:t>Alliance Global Tech Inc.</w:t>
      </w:r>
    </w:p>
    <w:p/>
    <w:p>
      <w:pPr>
        <w:jc w:val="center"/>
      </w:pPr>
      <w:r>
        <w:rPr>
          <w:b/>
          <w:color w:val="0F2B4C"/>
          <w:sz w:val="48"/>
        </w:rPr>
        <w:t>Evidence Collection Procedure</w:t>
      </w:r>
    </w:p>
    <w:p>
      <w:pPr>
        <w:jc w:val="center"/>
      </w:pPr>
      <w:r>
        <w:rPr>
          <w:i/>
          <w:color w:val="0F6CBD"/>
          <w:sz w:val="26"/>
        </w:rPr>
        <w:t>DocuAction TEFCA ARC</w:t>
      </w:r>
    </w:p>
    <w:p/>
    <w:p/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Document ID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AGT-T-012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Version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1.0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Effective date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2026-07-28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Classification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Internal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Chief Executive Officer, AGT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Approved by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Imran Siddiqui</w:t>
            </w:r>
          </w:p>
        </w:tc>
      </w:tr>
      <w:tr>
        <w:tc>
          <w:tcPr>
            <w:tcW w:type="dxa" w:w="2736"/>
            <w:shd w:val="clear" w:fill="EEF3F8"/>
          </w:tcPr>
          <w:p>
            <w:r>
              <w:rPr>
                <w:b/>
                <w:sz w:val="20"/>
              </w:rPr>
              <w:t>Review cycle</w:t>
            </w:r>
          </w:p>
        </w:tc>
        <w:tc>
          <w:tcPr>
            <w:tcW w:type="dxa" w:w="5184"/>
          </w:tcPr>
          <w:p>
            <w:r>
              <w:rPr>
                <w:sz w:val="20"/>
              </w:rPr>
              <w:t>Annual, or on material change</w:t>
            </w:r>
          </w:p>
        </w:tc>
      </w:tr>
    </w:tbl>
    <w:p>
      <w:r>
        <w:br w:type="page"/>
      </w:r>
    </w:p>
    <w:p>
      <w:pPr>
        <w:pStyle w:val="Heading1"/>
      </w:pPr>
      <w:r>
        <w:t>Purpose of this template</w:t>
      </w:r>
    </w:p>
    <w:p>
      <w:r>
        <w:t>How AGT collects, names, stores, and produces compliance evidence. Written so that an assessment does not become an archaeology exercise.</w:t>
      </w:r>
    </w:p>
    <w:p>
      <w:r>
        <w:rPr>
          <w:i/>
          <w:color w:val="5A5A5A"/>
          <w:sz w:val="19"/>
        </w:rPr>
        <w:t>Complete every field. A field left blank is indistinguishable from a control that was not performed, and an assessor will read it as the latter. Where an item genuinely does not apply, write 'N/A' and the reason.</w:t>
      </w:r>
    </w:p>
    <w:p>
      <w:pPr>
        <w:pStyle w:val="Heading1"/>
      </w:pPr>
      <w:r>
        <w:t>Principles</w:t>
      </w:r>
    </w:p>
    <w:p>
      <w:pPr>
        <w:pStyle w:val="ListBullet"/>
      </w:pPr>
      <w:r>
        <w:t>Evidence is produced as a by-product of doing the work, not reconstructed before an audit. Reconstructed evidence is both expensive and unconvincing.</w:t>
      </w:r>
    </w:p>
    <w:p>
      <w:pPr>
        <w:pStyle w:val="ListBullet"/>
      </w:pPr>
      <w:r>
        <w:t>Every recurring control activity in AGT-CMS-024 names the artifact it produces.</w:t>
      </w:r>
    </w:p>
    <w:p>
      <w:pPr>
        <w:pStyle w:val="ListBullet"/>
      </w:pPr>
      <w:r>
        <w:t>Artifacts are dated, attributed, and immutable once complete.</w:t>
      </w:r>
    </w:p>
    <w:p>
      <w:pPr>
        <w:pStyle w:val="ListBullet"/>
      </w:pPr>
      <w:r>
        <w:t>Automated output is retained in its original form alongside any human summary, so a reviewer can check the summary against the source.</w:t>
      </w:r>
    </w:p>
    <w:p>
      <w:pPr>
        <w:pStyle w:val="Heading1"/>
      </w:pPr>
      <w:r>
        <w:t>Evidence catalogue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Control activity</w:t>
            </w:r>
          </w:p>
        </w:tc>
        <w:tc>
          <w:tcPr>
            <w:tcW w:type="dxa" w:w="2304"/>
            <w:shd w:val="clear" w:fill="0F2B4C"/>
          </w:tcPr>
          <w:p>
            <w:r>
              <w:rPr>
                <w:b/>
                <w:color w:val="FFFFFF"/>
                <w:sz w:val="18"/>
              </w:rPr>
              <w:t>Artifact</w:t>
            </w:r>
          </w:p>
        </w:tc>
        <w:tc>
          <w:tcPr>
            <w:tcW w:type="dxa" w:w="1296"/>
            <w:shd w:val="clear" w:fill="0F2B4C"/>
          </w:tcPr>
          <w:p>
            <w:r>
              <w:rPr>
                <w:b/>
                <w:color w:val="FFFFFF"/>
                <w:sz w:val="18"/>
              </w:rPr>
              <w:t>Frequency</w:t>
            </w:r>
          </w:p>
        </w:tc>
        <w:tc>
          <w:tcPr>
            <w:tcW w:type="dxa" w:w="1152"/>
            <w:shd w:val="clear" w:fill="0F2B4C"/>
          </w:tcPr>
          <w:p>
            <w:r>
              <w:rPr>
                <w:b/>
                <w:color w:val="FFFFFF"/>
                <w:sz w:val="18"/>
              </w:rPr>
              <w:t>Retention</w:t>
            </w:r>
          </w:p>
        </w:tc>
        <w:tc>
          <w:tcPr>
            <w:tcW w:type="dxa" w:w="1872"/>
            <w:shd w:val="clear" w:fill="0F2B4C"/>
          </w:tcPr>
          <w:p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Access review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Quarterly Access Review record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Backup restoration test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Backup Test Record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DR exercise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DR Test Record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Security scanning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Scan report, SBOM, dashboard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Nightly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Life of release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Scan artifacts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Scan triage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Vulnerability Scan Report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Weekly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Incident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Incident Report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Per event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Change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Change Record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Per change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Repository and pipeline logs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Vendor review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Vendor Review record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Risk review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Risk Register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Quarterly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Metrics reporting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Security Metrics Dashboard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Monthly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Penetration test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Penetration Test Report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  <w:tr>
        <w:tc>
          <w:tcPr>
            <w:tcW w:type="dxa" w:w="2304"/>
          </w:tcPr>
          <w:p>
            <w:r>
              <w:rPr>
                <w:sz w:val="18"/>
              </w:rPr>
              <w:t>HIPAA risk assessment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AGT-HIRA-025</w:t>
            </w:r>
          </w:p>
        </w:tc>
        <w:tc>
          <w:tcPr>
            <w:tcW w:type="dxa" w:w="1296"/>
          </w:tcPr>
          <w:p>
            <w:r>
              <w:rPr>
                <w:sz w:val="18"/>
              </w:rPr>
              <w:t>Annually</w:t>
            </w:r>
          </w:p>
        </w:tc>
        <w:tc>
          <w:tcPr>
            <w:tcW w:type="dxa" w:w="1152"/>
          </w:tcPr>
          <w:p>
            <w:r>
              <w:rPr>
                <w:sz w:val="18"/>
              </w:rPr>
              <w:t>6 years</w:t>
            </w:r>
          </w:p>
        </w:tc>
        <w:tc>
          <w:tcPr>
            <w:tcW w:type="dxa" w:w="1872"/>
          </w:tcPr>
          <w:p>
            <w:r>
              <w:rPr>
                <w:sz w:val="18"/>
              </w:rPr>
              <w:t>Compliance repository</w:t>
            </w:r>
          </w:p>
        </w:tc>
      </w:tr>
    </w:tbl>
    <w:p/>
    <w:p>
      <w:pPr>
        <w:pStyle w:val="Heading1"/>
      </w:pPr>
      <w:r>
        <w:t>Naming convention</w:t>
      </w:r>
    </w:p>
    <w:p>
      <w:r>
        <w:t>YYYY-MM-DD_ArtifactType_Scope_vN. Sorting by name sorts by date, and the scope makes the right artifact findable without opening it.</w:t>
      </w:r>
    </w:p>
    <w:p>
      <w:pPr>
        <w:pStyle w:val="Heading1"/>
      </w:pPr>
      <w:r>
        <w:t>Integrity</w:t>
      </w:r>
    </w:p>
    <w:p>
      <w:pPr>
        <w:pStyle w:val="ListBullet"/>
      </w:pPr>
      <w:r>
        <w:t>Completed evidence is stored in a version-controlled repository, which provides an immutable history and attribution.</w:t>
      </w:r>
    </w:p>
    <w:p>
      <w:pPr>
        <w:pStyle w:val="ListBullet"/>
      </w:pPr>
      <w:r>
        <w:t>Automated scan output is retained unmodified; edits are made to the summary, never to the source artifact.</w:t>
      </w:r>
    </w:p>
    <w:p>
      <w:pPr>
        <w:pStyle w:val="ListBullet"/>
      </w:pPr>
      <w:r>
        <w:t>Where an artifact is amended, the amendment is a new version with a stated reason. Overwriting evidence destroys its value.</w:t>
      </w:r>
    </w:p>
    <w:p>
      <w:pPr>
        <w:pStyle w:val="Heading1"/>
      </w:pPr>
      <w:r>
        <w:t>Producing evidence for an assessment</w:t>
      </w:r>
    </w:p>
    <w:p>
      <w:pPr>
        <w:pStyle w:val="ListNumber"/>
      </w:pPr>
      <w:r>
        <w:t>Identify the controls in scope from AGT-MCM-026.</w:t>
      </w:r>
    </w:p>
    <w:p>
      <w:pPr>
        <w:pStyle w:val="ListNumber"/>
      </w:pPr>
      <w:r>
        <w:t>For each control, locate the owning policy and the artifact named in the catalogue.</w:t>
      </w:r>
    </w:p>
    <w:p>
      <w:pPr>
        <w:pStyle w:val="ListNumber"/>
      </w:pPr>
      <w:r>
        <w:t>Assemble artifacts for the assessment period, not a sample chosen for quality.</w:t>
      </w:r>
    </w:p>
    <w:p>
      <w:pPr>
        <w:pStyle w:val="ListNumber"/>
      </w:pPr>
      <w:r>
        <w:t>Where a control has no artifact for a period, say so and explain why - a gap disclosed is a finding, a gap concealed is a credibility problem.</w:t>
      </w:r>
    </w:p>
    <w:p>
      <w:pPr>
        <w:pStyle w:val="ListNumber"/>
      </w:pPr>
      <w:r>
        <w:t>Provide the coverage caveats alongside any metric, particularly scanner coverage.</w:t>
      </w:r>
    </w:p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6"/>
      </w:rPr>
      <w:t>AGT-T-012 v1.0  |  AGT Internal  |  Uncontrolled when printed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0F2B4C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0F2B4C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0F6C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