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rFonts w:ascii="Calibri" w:hAnsi="Calibri"/>
          <w:b/>
          <w:color w:val="003087"/>
          <w:sz w:val="60"/>
        </w:rPr>
        <w:t>DocuAction TEFCA</w:t>
      </w:r>
    </w:p>
    <w:p>
      <w:pPr>
        <w:spacing w:after="80"/>
        <w:jc w:val="center"/>
      </w:pPr>
      <w:r>
        <w:rPr>
          <w:rFonts w:ascii="Calibri" w:hAnsi="Calibri"/>
          <w:b/>
          <w:color w:val="003087"/>
          <w:sz w:val="44"/>
        </w:rPr>
        <w:t>User &amp; Operations Guide</w:t>
      </w:r>
    </w:p>
    <w:p/>
    <w:p>
      <w:pPr>
        <w:spacing w:after="60"/>
        <w:jc w:val="center"/>
      </w:pPr>
      <w:r>
        <w:rPr>
          <w:rFonts w:ascii="Calibri" w:hAnsi="Calibri"/>
          <w:color w:val="444444"/>
          <w:sz w:val="23"/>
        </w:rPr>
        <w:t>TEFCA Audit, Review &amp; Compliance</w:t>
      </w:r>
    </w:p>
    <w:p>
      <w:pPr>
        <w:spacing w:after="60"/>
        <w:jc w:val="center"/>
      </w:pPr>
      <w:r>
        <w:rPr>
          <w:rFonts w:ascii="Calibri" w:hAnsi="Calibri"/>
          <w:color w:val="444444"/>
          <w:sz w:val="23"/>
        </w:rPr>
        <w:t>Contract 7571MN26F80064</w:t>
      </w:r>
    </w:p>
    <w:p>
      <w:pPr>
        <w:spacing w:after="60"/>
        <w:jc w:val="center"/>
      </w:pPr>
      <w:r>
        <w:rPr>
          <w:rFonts w:ascii="Calibri" w:hAnsi="Calibri"/>
          <w:color w:val="444444"/>
          <w:sz w:val="23"/>
        </w:rPr>
        <w:t>Alliance Global Tech, Inc.</w:t>
      </w:r>
    </w:p>
    <w:p>
      <w:pPr>
        <w:spacing w:after="60"/>
        <w:jc w:val="center"/>
      </w:pPr>
      <w:r>
        <w:rPr>
          <w:rFonts w:ascii="Calibri" w:hAnsi="Calibri"/>
          <w:color w:val="444444"/>
          <w:sz w:val="23"/>
        </w:rPr>
        <w:t>Document Version 1.0 — 10 August 2026</w:t>
      </w:r>
    </w:p>
    <w:p>
      <w:pPr>
        <w:spacing w:after="60"/>
        <w:jc w:val="center"/>
      </w:pPr>
      <w:r>
        <w:rPr>
          <w:rFonts w:ascii="Calibri" w:hAnsi="Calibri"/>
          <w:color w:val="444444"/>
          <w:sz w:val="23"/>
        </w:rPr>
        <w:t>Classification: CONFIDENTIAL — Internal &amp; Government Use</w:t>
      </w:r>
    </w:p>
    <w:p>
      <w:r>
        <w:br w:type="page"/>
      </w:r>
    </w:p>
    <w:p>
      <w:pPr>
        <w:pStyle w:val="Heading1"/>
        <w:keepNext/>
        <w:spacing w:before="280" w:after="120"/>
        <w:outlineLvl w:val="0"/>
      </w:pPr>
      <w:r>
        <w:rPr>
          <w:rFonts w:ascii="Calibri" w:hAnsi="Calibri"/>
          <w:b/>
          <w:color w:val="003087"/>
          <w:sz w:val="28"/>
        </w:rPr>
        <w:t>Table of Contents</w:t>
      </w:r>
    </w:p>
    <w:p>
      <w:pPr>
        <w:spacing w:after="120" w:before="0"/>
      </w:pPr>
      <w:r>
        <w:rPr>
          <w:rFonts w:ascii="Calibri" w:hAnsi="Calibri"/>
          <w:b w:val="0"/>
          <w:i/>
          <w:color w:val="444444"/>
          <w:sz w:val="19"/>
        </w:rPr>
        <w:t>_If the entries below show only a placeholder, open in Word and press Ctrl+A then F9 to populate the table of contents and page numbers._</w:t>
      </w:r>
    </w:p>
    <w:p>
      <w:r>
        <w:fldChar w:fldCharType="begin"/>
      </w:r>
      <w:r>
        <w:instrText xml:space="preserve">TOC \o "1-2" \h \z \u</w:instrText>
      </w:r>
      <w:r>
        <w:fldChar w:fldCharType="separate"/>
      </w:r>
      <w:r>
        <w:t>1</w:t>
      </w:r>
      <w:r>
        <w:fldChar w:fldCharType="end"/>
      </w:r>
    </w:p>
    <w:p>
      <w:r>
        <w:br w:type="page"/>
      </w:r>
    </w:p>
    <w:p>
      <w:pPr>
        <w:pStyle w:val="Heading1"/>
        <w:keepNext/>
        <w:spacing w:before="280" w:after="120"/>
        <w:outlineLvl w:val="0"/>
      </w:pPr>
      <w:r>
        <w:rPr>
          <w:rFonts w:ascii="Calibri" w:hAnsi="Calibri"/>
          <w:b/>
          <w:color w:val="003087"/>
          <w:sz w:val="28"/>
        </w:rPr>
        <w:t>1. Document Purpose</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PRE-PRODUCTION DEMONSTRATION MODE</w:t>
            </w:r>
          </w:p>
          <w:p>
            <w:pPr>
              <w:spacing w:after="60" w:before="0"/>
            </w:pPr>
            <w:r>
              <w:rPr>
                <w:rFonts w:ascii="Calibri" w:hAnsi="Calibri"/>
                <w:b w:val="0"/>
                <w:color w:val="000000"/>
                <w:sz w:val="21"/>
              </w:rPr>
              <w:t>DocuAction TEFCA is currently operating in pre-production demonstration mode. Both development and production environments serve synthetic demonstration data. No ONC entity population data has been received. All verification results shown are operational readiness demonstrations and must NOT be treated as official production verification determinations.</w:t>
            </w:r>
          </w:p>
          <w:p>
            <w:pPr>
              <w:spacing w:after="60" w:before="0"/>
            </w:pPr>
            <w:r>
              <w:rPr>
                <w:rFonts w:ascii="Calibri" w:hAnsi="Calibri"/>
                <w:b w:val="0"/>
                <w:color w:val="000000"/>
                <w:sz w:val="21"/>
              </w:rPr>
              <w:t>The system stamps every report with: "MOCK — demonstration data only. Do not use for operational decisions."</w:t>
            </w:r>
          </w:p>
          <w:p>
            <w:pPr>
              <w:spacing w:after="0" w:before="0"/>
            </w:pPr>
            <w:r>
              <w:rPr>
                <w:rFonts w:ascii="Calibri" w:hAnsi="Calibri"/>
                <w:b w:val="0"/>
                <w:color w:val="000000"/>
                <w:sz w:val="21"/>
              </w:rPr>
              <w:t>When ONC provides the initial entity population data and the entity-data configuration key is set, the system transitions to production verification mode and this warning is removed automatically.</w:t>
            </w:r>
          </w:p>
        </w:tc>
      </w:tr>
    </w:tbl>
    <w:p>
      <w:pPr>
        <w:spacing w:after="80"/>
      </w:pPr>
    </w:p>
    <w:p>
      <w:pPr>
        <w:pStyle w:val="Heading2"/>
        <w:keepNext/>
        <w:spacing w:before="200" w:after="120"/>
        <w:outlineLvl w:val="1"/>
      </w:pPr>
      <w:r>
        <w:rPr>
          <w:rFonts w:ascii="Calibri" w:hAnsi="Calibri"/>
          <w:b/>
          <w:color w:val="003087"/>
          <w:sz w:val="25"/>
        </w:rPr>
        <w:t>1.1 What this guide is</w:t>
      </w:r>
    </w:p>
    <w:p>
      <w:pPr>
        <w:spacing w:after="120" w:before="0"/>
      </w:pPr>
      <w:r>
        <w:rPr>
          <w:rFonts w:ascii="Calibri" w:hAnsi="Calibri"/>
          <w:b w:val="0"/>
          <w:color w:val="000000"/>
          <w:sz w:val="22"/>
        </w:rPr>
        <w:t>This is the operating manual for the DocuAction TEFCA platform as it exists today. It was written by inspecting the running application — its code, configuration, database models, API routes, connectors, and live production endpoints — rather than from earlier design documents. Where an older document disagrees with the running system, this guide follows the running system and says so.</w:t>
      </w:r>
    </w:p>
    <w:p>
      <w:pPr>
        <w:pStyle w:val="Heading2"/>
        <w:keepNext/>
        <w:spacing w:before="200" w:after="120"/>
        <w:outlineLvl w:val="1"/>
      </w:pPr>
      <w:r>
        <w:rPr>
          <w:rFonts w:ascii="Calibri" w:hAnsi="Calibri"/>
          <w:b/>
          <w:color w:val="003087"/>
          <w:sz w:val="25"/>
        </w:rPr>
        <w:t>1.2 Who this guide is for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Audience</w:t>
            </w:r>
          </w:p>
        </w:tc>
        <w:tc>
          <w:tcPr>
            <w:tcW w:type="dxa" w:w="4680"/>
            <w:shd w:val="clear" w:color="auto" w:fill="003087"/>
          </w:tcPr>
          <w:p>
            <w:pPr>
              <w:spacing w:after="40" w:before="40"/>
            </w:pPr>
            <w:r>
              <w:rPr>
                <w:rFonts w:ascii="Calibri" w:hAnsi="Calibri"/>
                <w:b/>
                <w:color w:val="FFFFFF"/>
                <w:sz w:val="20"/>
              </w:rPr>
              <w:t>Read first</w:t>
            </w:r>
          </w:p>
        </w:tc>
      </w:tr>
      <w:tr>
        <w:tc>
          <w:tcPr>
            <w:tcW w:type="dxa" w:w="4680"/>
          </w:tcPr>
          <w:p>
            <w:pPr>
              <w:spacing w:after="40" w:before="40"/>
            </w:pPr>
            <w:r>
              <w:rPr>
                <w:rFonts w:ascii="Calibri" w:hAnsi="Calibri"/>
                <w:b w:val="0"/>
                <w:color w:val="000000"/>
                <w:sz w:val="20"/>
              </w:rPr>
              <w:t>HHS/ONC program staff and new users</w:t>
            </w:r>
          </w:p>
        </w:tc>
        <w:tc>
          <w:tcPr>
            <w:tcW w:type="dxa" w:w="4680"/>
          </w:tcPr>
          <w:p>
            <w:pPr>
              <w:spacing w:after="40" w:before="40"/>
            </w:pPr>
            <w:r>
              <w:rPr>
                <w:rFonts w:ascii="Calibri" w:hAnsi="Calibri"/>
                <w:b w:val="0"/>
                <w:color w:val="000000"/>
                <w:sz w:val="20"/>
              </w:rPr>
              <w:t>Sections 2, 3, 4, 7, 8, 12</w:t>
            </w:r>
          </w:p>
        </w:tc>
      </w:tr>
      <w:tr>
        <w:tc>
          <w:tcPr>
            <w:tcW w:type="dxa" w:w="4680"/>
            <w:shd w:val="clear" w:color="auto" w:fill="F2F5FA"/>
          </w:tcPr>
          <w:p>
            <w:pPr>
              <w:spacing w:after="40" w:before="40"/>
            </w:pPr>
            <w:r>
              <w:rPr>
                <w:rFonts w:ascii="Calibri" w:hAnsi="Calibri"/>
                <w:b w:val="0"/>
                <w:color w:val="000000"/>
                <w:sz w:val="20"/>
              </w:rPr>
              <w:t>Analysts and reviewers</w:t>
            </w:r>
          </w:p>
        </w:tc>
        <w:tc>
          <w:tcPr>
            <w:tcW w:type="dxa" w:w="4680"/>
            <w:shd w:val="clear" w:color="auto" w:fill="F2F5FA"/>
          </w:tcPr>
          <w:p>
            <w:pPr>
              <w:spacing w:after="40" w:before="40"/>
            </w:pPr>
            <w:r>
              <w:rPr>
                <w:rFonts w:ascii="Calibri" w:hAnsi="Calibri"/>
                <w:b w:val="0"/>
                <w:color w:val="000000"/>
                <w:sz w:val="20"/>
              </w:rPr>
              <w:t>Sections 9, 10, 11, 12, 13, 24</w:t>
            </w:r>
          </w:p>
        </w:tc>
      </w:tr>
      <w:tr>
        <w:tc>
          <w:tcPr>
            <w:tcW w:type="dxa" w:w="4680"/>
          </w:tcPr>
          <w:p>
            <w:pPr>
              <w:spacing w:after="40" w:before="40"/>
            </w:pPr>
            <w:r>
              <w:rPr>
                <w:rFonts w:ascii="Calibri" w:hAnsi="Calibri"/>
                <w:b w:val="0"/>
                <w:color w:val="000000"/>
                <w:sz w:val="20"/>
              </w:rPr>
              <w:t>QA leads</w:t>
            </w:r>
          </w:p>
        </w:tc>
        <w:tc>
          <w:tcPr>
            <w:tcW w:type="dxa" w:w="4680"/>
          </w:tcPr>
          <w:p>
            <w:pPr>
              <w:spacing w:after="40" w:before="40"/>
            </w:pPr>
            <w:r>
              <w:rPr>
                <w:rFonts w:ascii="Calibri" w:hAnsi="Calibri"/>
                <w:b w:val="0"/>
                <w:color w:val="000000"/>
                <w:sz w:val="20"/>
              </w:rPr>
              <w:t>Sections 12, 15, 23</w:t>
            </w:r>
          </w:p>
        </w:tc>
      </w:tr>
      <w:tr>
        <w:tc>
          <w:tcPr>
            <w:tcW w:type="dxa" w:w="4680"/>
            <w:shd w:val="clear" w:color="auto" w:fill="F2F5FA"/>
          </w:tcPr>
          <w:p>
            <w:pPr>
              <w:spacing w:after="40" w:before="40"/>
            </w:pPr>
            <w:r>
              <w:rPr>
                <w:rFonts w:ascii="Calibri" w:hAnsi="Calibri"/>
                <w:b w:val="0"/>
                <w:color w:val="000000"/>
                <w:sz w:val="20"/>
              </w:rPr>
              <w:t>Administrators and technical support</w:t>
            </w:r>
          </w:p>
        </w:tc>
        <w:tc>
          <w:tcPr>
            <w:tcW w:type="dxa" w:w="4680"/>
            <w:shd w:val="clear" w:color="auto" w:fill="F2F5FA"/>
          </w:tcPr>
          <w:p>
            <w:pPr>
              <w:spacing w:after="40" w:before="40"/>
            </w:pPr>
            <w:r>
              <w:rPr>
                <w:rFonts w:ascii="Calibri" w:hAnsi="Calibri"/>
                <w:b w:val="0"/>
                <w:color w:val="000000"/>
                <w:sz w:val="20"/>
              </w:rPr>
              <w:t>Sections 17, 18, 19, 20</w:t>
            </w:r>
          </w:p>
        </w:tc>
      </w:tr>
      <w:tr>
        <w:tc>
          <w:tcPr>
            <w:tcW w:type="dxa" w:w="4680"/>
          </w:tcPr>
          <w:p>
            <w:pPr>
              <w:spacing w:after="40" w:before="40"/>
            </w:pPr>
            <w:r>
              <w:rPr>
                <w:rFonts w:ascii="Calibri" w:hAnsi="Calibri"/>
                <w:b w:val="0"/>
                <w:color w:val="000000"/>
                <w:sz w:val="20"/>
              </w:rPr>
              <w:t>Auditors and oversight reviewers</w:t>
            </w:r>
          </w:p>
        </w:tc>
        <w:tc>
          <w:tcPr>
            <w:tcW w:type="dxa" w:w="4680"/>
          </w:tcPr>
          <w:p>
            <w:pPr>
              <w:spacing w:after="40" w:before="40"/>
            </w:pPr>
            <w:r>
              <w:rPr>
                <w:rFonts w:ascii="Calibri" w:hAnsi="Calibri"/>
                <w:b w:val="0"/>
                <w:color w:val="000000"/>
                <w:sz w:val="20"/>
              </w:rPr>
              <w:t>Sections 5, 14, 17, 19</w:t>
            </w:r>
          </w:p>
        </w:tc>
      </w:tr>
    </w:tbl>
    <w:p>
      <w:pPr>
        <w:spacing w:after="80"/>
      </w:pPr>
    </w:p>
    <w:p>
      <w:pPr>
        <w:spacing w:after="120" w:before="0"/>
      </w:pPr>
      <w:r>
        <w:rPr>
          <w:rFonts w:ascii="Calibri" w:hAnsi="Calibri"/>
          <w:b w:val="0"/>
          <w:color w:val="000000"/>
          <w:sz w:val="22"/>
        </w:rPr>
        <w:t xml:space="preserve">The guide is written to be understood by a program user with limited technical background. Deeper technical material is separated into clearly marked </w:t>
      </w:r>
      <w:r>
        <w:rPr>
          <w:rFonts w:ascii="Calibri" w:hAnsi="Calibri"/>
          <w:b/>
          <w:color w:val="000000"/>
          <w:sz w:val="22"/>
        </w:rPr>
        <w:t>Technical / Administrator Notes</w:t>
      </w:r>
      <w:r>
        <w:rPr>
          <w:rFonts w:ascii="Calibri" w:hAnsi="Calibri"/>
          <w:b w:val="0"/>
          <w:color w:val="000000"/>
          <w:sz w:val="22"/>
        </w:rPr>
        <w:t xml:space="preserve"> subsections, which ordinary users may skip.</w:t>
      </w:r>
    </w:p>
    <w:p>
      <w:pPr>
        <w:pStyle w:val="Heading2"/>
        <w:keepNext/>
        <w:spacing w:before="200" w:after="120"/>
        <w:outlineLvl w:val="1"/>
      </w:pPr>
      <w:r>
        <w:rPr>
          <w:rFonts w:ascii="Calibri" w:hAnsi="Calibri"/>
          <w:b/>
          <w:color w:val="003087"/>
          <w:sz w:val="25"/>
        </w:rPr>
        <w:t>1.3 Accuracy commitments</w:t>
      </w:r>
    </w:p>
    <w:p>
      <w:pPr>
        <w:spacing w:after="120" w:before="0"/>
      </w:pPr>
      <w:r>
        <w:rPr>
          <w:rFonts w:ascii="Calibri" w:hAnsi="Calibri"/>
          <w:b w:val="0"/>
          <w:color w:val="000000"/>
          <w:sz w:val="22"/>
        </w:rPr>
        <w:t>This document follows four rules without exception:</w:t>
      </w:r>
    </w:p>
    <w:p>
      <w:pPr>
        <w:pStyle w:val="ListNumber"/>
        <w:spacing w:after="40"/>
      </w:pPr>
      <w:r>
        <w:rPr>
          <w:rFonts w:ascii="Calibri" w:hAnsi="Calibri"/>
          <w:b w:val="0"/>
          <w:color w:val="000000"/>
          <w:sz w:val="21"/>
        </w:rPr>
        <w:t>A capability is described only if it is implemented and reachable in the current build.</w:t>
      </w:r>
    </w:p>
    <w:p>
      <w:pPr>
        <w:pStyle w:val="ListNumber"/>
        <w:spacing w:after="40"/>
      </w:pPr>
      <w:r>
        <w:rPr>
          <w:rFonts w:ascii="Calibri" w:hAnsi="Calibri"/>
          <w:b w:val="0"/>
          <w:color w:val="000000"/>
          <w:sz w:val="21"/>
        </w:rPr>
        <w:t>Demonstration, disabled, and planned functions are labelled as such and never presented as production capability.</w:t>
      </w:r>
    </w:p>
    <w:p>
      <w:pPr>
        <w:pStyle w:val="ListNumber"/>
        <w:spacing w:after="40"/>
      </w:pPr>
      <w:r>
        <w:rPr>
          <w:rFonts w:ascii="Calibri" w:hAnsi="Calibri"/>
          <w:b w:val="0"/>
          <w:color w:val="000000"/>
          <w:sz w:val="21"/>
        </w:rPr>
        <w:t>No credential, secret, key, token, or connection string appears anywhere in this document.</w:t>
      </w:r>
    </w:p>
    <w:p>
      <w:pPr>
        <w:pStyle w:val="ListNumber"/>
        <w:spacing w:after="40"/>
      </w:pPr>
      <w:r>
        <w:rPr>
          <w:rFonts w:ascii="Calibri" w:hAnsi="Calibri"/>
          <w:b w:val="0"/>
          <w:color w:val="000000"/>
          <w:sz w:val="21"/>
        </w:rPr>
        <w:t>Where a claim could not be substantiated from the system itself, the text says so plainly rather than filling the gap.</w:t>
      </w:r>
    </w:p>
    <w:p>
      <w:pPr>
        <w:pStyle w:val="Heading2"/>
        <w:keepNext/>
        <w:spacing w:before="200" w:after="120"/>
        <w:outlineLvl w:val="1"/>
      </w:pPr>
      <w:r>
        <w:rPr>
          <w:rFonts w:ascii="Calibri" w:hAnsi="Calibri"/>
          <w:b/>
          <w:color w:val="003087"/>
          <w:sz w:val="25"/>
        </w:rPr>
        <w:t>1.4 What this guide does not do</w:t>
      </w:r>
    </w:p>
    <w:p>
      <w:pPr>
        <w:spacing w:after="120" w:before="0"/>
      </w:pPr>
      <w:r>
        <w:rPr>
          <w:rFonts w:ascii="Calibri" w:hAnsi="Calibri"/>
          <w:b w:val="0"/>
          <w:color w:val="000000"/>
          <w:sz w:val="22"/>
        </w:rPr>
        <w:t>It is not a compliance attestation, a security assessment, or an authorization document. Statements about security categorization, control implementation, and accessibility appear in Sections 17 and 19 in the precise form the evidence supports, and no stronger.</w:t>
      </w:r>
    </w:p>
    <w:p>
      <w:r>
        <w:br w:type="page"/>
      </w:r>
    </w:p>
    <w:p>
      <w:pPr>
        <w:pStyle w:val="Heading1"/>
        <w:keepNext/>
        <w:spacing w:before="280" w:after="120"/>
        <w:outlineLvl w:val="0"/>
      </w:pPr>
      <w:r>
        <w:rPr>
          <w:rFonts w:ascii="Calibri" w:hAnsi="Calibri"/>
          <w:b/>
          <w:color w:val="003087"/>
          <w:sz w:val="28"/>
        </w:rPr>
        <w:t>2. One-Page Daily Quick Start</w:t>
      </w:r>
    </w:p>
    <w:p>
      <w:pPr>
        <w:spacing w:after="120" w:before="0"/>
      </w:pPr>
      <w:r>
        <w:rPr>
          <w:rFonts w:ascii="Calibri" w:hAnsi="Calibri"/>
          <w:b/>
          <w:color w:val="000000"/>
          <w:sz w:val="22"/>
        </w:rPr>
        <w:t>DOCUACTION TEFCA — DAILY QUICK START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w:t>
            </w:r>
          </w:p>
        </w:tc>
        <w:tc>
          <w:tcPr>
            <w:tcW w:type="dxa" w:w="3120"/>
            <w:shd w:val="clear" w:color="auto" w:fill="003087"/>
          </w:tcPr>
          <w:p>
            <w:pPr>
              <w:spacing w:after="40" w:before="40"/>
            </w:pPr>
            <w:r>
              <w:rPr>
                <w:rFonts w:ascii="Calibri" w:hAnsi="Calibri"/>
                <w:b/>
                <w:color w:val="FFFFFF"/>
                <w:sz w:val="20"/>
              </w:rPr>
              <w:t>Step</w:t>
            </w:r>
          </w:p>
        </w:tc>
        <w:tc>
          <w:tcPr>
            <w:tcW w:type="dxa" w:w="3120"/>
            <w:shd w:val="clear" w:color="auto" w:fill="003087"/>
          </w:tcPr>
          <w:p>
            <w:pPr>
              <w:spacing w:after="40" w:before="40"/>
            </w:pPr>
            <w:r>
              <w:rPr>
                <w:rFonts w:ascii="Calibri" w:hAnsi="Calibri"/>
                <w:b/>
                <w:color w:val="FFFFFF"/>
                <w:sz w:val="20"/>
              </w:rPr>
              <w:t>Where</w:t>
            </w:r>
          </w:p>
        </w:tc>
      </w:tr>
      <w:tr>
        <w:tc>
          <w:tcPr>
            <w:tcW w:type="dxa" w:w="3120"/>
          </w:tcPr>
          <w:p>
            <w:pPr>
              <w:spacing w:after="40" w:before="40"/>
            </w:pPr>
            <w:r>
              <w:rPr>
                <w:rFonts w:ascii="Calibri" w:hAnsi="Calibri"/>
                <w:b w:val="0"/>
                <w:color w:val="000000"/>
                <w:sz w:val="20"/>
              </w:rPr>
              <w:t>1</w:t>
            </w:r>
          </w:p>
        </w:tc>
        <w:tc>
          <w:tcPr>
            <w:tcW w:type="dxa" w:w="3120"/>
          </w:tcPr>
          <w:p>
            <w:pPr>
              <w:spacing w:after="40" w:before="40"/>
            </w:pPr>
            <w:r>
              <w:rPr>
                <w:rFonts w:ascii="Calibri" w:hAnsi="Calibri"/>
                <w:b/>
                <w:color w:val="000000"/>
                <w:sz w:val="20"/>
              </w:rPr>
              <w:t>Log in</w:t>
            </w:r>
            <w:r>
              <w:rPr>
                <w:rFonts w:ascii="Calibri" w:hAnsi="Calibri"/>
                <w:b w:val="0"/>
                <w:color w:val="000000"/>
                <w:sz w:val="20"/>
              </w:rPr>
              <w:t xml:space="preserve"> with your organizational account</w:t>
            </w:r>
          </w:p>
        </w:tc>
        <w:tc>
          <w:tcPr>
            <w:tcW w:type="dxa" w:w="3120"/>
          </w:tcPr>
          <w:p>
            <w:pPr>
              <w:spacing w:after="40" w:before="40"/>
            </w:pPr>
            <w:r>
              <w:rPr>
                <w:rFonts w:ascii="Consolas" w:hAnsi="Consolas"/>
                <w:color w:val="000000"/>
                <w:sz w:val="20"/>
              </w:rPr>
              <w:t>/login</w:t>
            </w:r>
          </w:p>
        </w:tc>
      </w:tr>
      <w:tr>
        <w:tc>
          <w:tcPr>
            <w:tcW w:type="dxa" w:w="3120"/>
            <w:shd w:val="clear" w:color="auto" w:fill="F2F5FA"/>
          </w:tcPr>
          <w:p>
            <w:pPr>
              <w:spacing w:after="40" w:before="40"/>
            </w:pPr>
            <w:r>
              <w:rPr>
                <w:rFonts w:ascii="Calibri" w:hAnsi="Calibri"/>
                <w:b w:val="0"/>
                <w:color w:val="000000"/>
                <w:sz w:val="20"/>
              </w:rPr>
              <w:t>2</w:t>
            </w:r>
          </w:p>
        </w:tc>
        <w:tc>
          <w:tcPr>
            <w:tcW w:type="dxa" w:w="3120"/>
            <w:shd w:val="clear" w:color="auto" w:fill="F2F5FA"/>
          </w:tcPr>
          <w:p>
            <w:pPr>
              <w:spacing w:after="40" w:before="40"/>
            </w:pPr>
            <w:r>
              <w:rPr>
                <w:rFonts w:ascii="Calibri" w:hAnsi="Calibri"/>
                <w:b/>
                <w:color w:val="000000"/>
                <w:sz w:val="20"/>
              </w:rPr>
              <w:t>Check the dashboard</w:t>
            </w:r>
            <w:r>
              <w:rPr>
                <w:rFonts w:ascii="Calibri" w:hAnsi="Calibri"/>
                <w:b w:val="0"/>
                <w:color w:val="000000"/>
                <w:sz w:val="20"/>
              </w:rPr>
              <w:t xml:space="preserve"> — open items, overdue reviews, connector state</w:t>
            </w:r>
          </w:p>
        </w:tc>
        <w:tc>
          <w:tcPr>
            <w:tcW w:type="dxa" w:w="3120"/>
            <w:shd w:val="clear" w:color="auto" w:fill="F2F5FA"/>
          </w:tcPr>
          <w:p>
            <w:pPr>
              <w:spacing w:after="40" w:before="40"/>
            </w:pPr>
            <w:r>
              <w:rPr>
                <w:rFonts w:ascii="Calibri" w:hAnsi="Calibri"/>
                <w:b w:val="0"/>
                <w:color w:val="000000"/>
                <w:sz w:val="20"/>
              </w:rPr>
              <w:t>Mission Control (</w:t>
            </w:r>
            <w:r>
              <w:rPr>
                <w:rFonts w:ascii="Consolas" w:hAnsi="Consolas"/>
                <w:color w:val="000000"/>
                <w:sz w:val="20"/>
              </w:rPr>
              <w:t>/tefca-arc</w:t>
            </w:r>
            <w:r>
              <w:rPr>
                <w:rFonts w:ascii="Calibri" w:hAnsi="Calibri"/>
                <w:b w:val="0"/>
                <w:color w:val="000000"/>
                <w:sz w:val="20"/>
              </w:rPr>
              <w:t>)</w:t>
            </w:r>
          </w:p>
        </w:tc>
      </w:tr>
      <w:tr>
        <w:tc>
          <w:tcPr>
            <w:tcW w:type="dxa" w:w="3120"/>
          </w:tcPr>
          <w:p>
            <w:pPr>
              <w:spacing w:after="40" w:before="40"/>
            </w:pPr>
            <w:r>
              <w:rPr>
                <w:rFonts w:ascii="Calibri" w:hAnsi="Calibri"/>
                <w:b w:val="0"/>
                <w:color w:val="000000"/>
                <w:sz w:val="20"/>
              </w:rPr>
              <w:t>3</w:t>
            </w:r>
          </w:p>
        </w:tc>
        <w:tc>
          <w:tcPr>
            <w:tcW w:type="dxa" w:w="3120"/>
          </w:tcPr>
          <w:p>
            <w:pPr>
              <w:spacing w:after="40" w:before="40"/>
            </w:pPr>
            <w:r>
              <w:rPr>
                <w:rFonts w:ascii="Calibri" w:hAnsi="Calibri"/>
                <w:b/>
                <w:color w:val="000000"/>
                <w:sz w:val="20"/>
              </w:rPr>
              <w:t>Review your assigned workload</w:t>
            </w:r>
          </w:p>
        </w:tc>
        <w:tc>
          <w:tcPr>
            <w:tcW w:type="dxa" w:w="3120"/>
          </w:tcPr>
          <w:p>
            <w:pPr>
              <w:spacing w:after="40" w:before="40"/>
            </w:pPr>
            <w:r>
              <w:rPr>
                <w:rFonts w:ascii="Calibri" w:hAnsi="Calibri"/>
                <w:b w:val="0"/>
                <w:color w:val="000000"/>
                <w:sz w:val="20"/>
              </w:rPr>
              <w:t>Entity Reviews (</w:t>
            </w:r>
            <w:r>
              <w:rPr>
                <w:rFonts w:ascii="Consolas" w:hAnsi="Consolas"/>
                <w:color w:val="000000"/>
                <w:sz w:val="20"/>
              </w:rPr>
              <w:t>/tefca-arc/reviews</w:t>
            </w:r>
            <w:r>
              <w:rPr>
                <w:rFonts w:ascii="Calibri" w:hAnsi="Calibri"/>
                <w:b w:val="0"/>
                <w:color w:val="000000"/>
                <w:sz w:val="20"/>
              </w:rPr>
              <w:t>)</w:t>
            </w:r>
          </w:p>
        </w:tc>
      </w:tr>
      <w:tr>
        <w:tc>
          <w:tcPr>
            <w:tcW w:type="dxa" w:w="3120"/>
            <w:shd w:val="clear" w:color="auto" w:fill="F2F5FA"/>
          </w:tcPr>
          <w:p>
            <w:pPr>
              <w:spacing w:after="40" w:before="40"/>
            </w:pPr>
            <w:r>
              <w:rPr>
                <w:rFonts w:ascii="Calibri" w:hAnsi="Calibri"/>
                <w:b w:val="0"/>
                <w:color w:val="000000"/>
                <w:sz w:val="20"/>
              </w:rPr>
              <w:t>4</w:t>
            </w:r>
          </w:p>
        </w:tc>
        <w:tc>
          <w:tcPr>
            <w:tcW w:type="dxa" w:w="3120"/>
            <w:shd w:val="clear" w:color="auto" w:fill="F2F5FA"/>
          </w:tcPr>
          <w:p>
            <w:pPr>
              <w:spacing w:after="40" w:before="40"/>
            </w:pPr>
            <w:r>
              <w:rPr>
                <w:rFonts w:ascii="Calibri" w:hAnsi="Calibri"/>
                <w:b/>
                <w:color w:val="000000"/>
                <w:sz w:val="20"/>
              </w:rPr>
              <w:t>Process each entity</w:t>
            </w:r>
            <w:r>
              <w:rPr>
                <w:rFonts w:ascii="Calibri" w:hAnsi="Calibri"/>
                <w:b w:val="0"/>
                <w:color w:val="000000"/>
                <w:sz w:val="20"/>
              </w:rPr>
              <w:t xml:space="preserve"> — open it, read the evidence</w:t>
            </w:r>
          </w:p>
        </w:tc>
        <w:tc>
          <w:tcPr>
            <w:tcW w:type="dxa" w:w="3120"/>
            <w:shd w:val="clear" w:color="auto" w:fill="F2F5FA"/>
          </w:tcPr>
          <w:p>
            <w:pPr>
              <w:spacing w:after="40" w:before="40"/>
            </w:pPr>
            <w:r>
              <w:rPr>
                <w:rFonts w:ascii="Calibri" w:hAnsi="Calibri"/>
                <w:b w:val="0"/>
                <w:color w:val="000000"/>
                <w:sz w:val="20"/>
              </w:rPr>
              <w:t>Entity Reviews → open a record</w:t>
            </w:r>
          </w:p>
        </w:tc>
      </w:tr>
      <w:tr>
        <w:tc>
          <w:tcPr>
            <w:tcW w:type="dxa" w:w="3120"/>
          </w:tcPr>
          <w:p>
            <w:pPr>
              <w:spacing w:after="40" w:before="40"/>
            </w:pPr>
            <w:r>
              <w:rPr>
                <w:rFonts w:ascii="Calibri" w:hAnsi="Calibri"/>
                <w:b w:val="0"/>
                <w:color w:val="000000"/>
                <w:sz w:val="20"/>
              </w:rPr>
              <w:t>5</w:t>
            </w:r>
          </w:p>
        </w:tc>
        <w:tc>
          <w:tcPr>
            <w:tcW w:type="dxa" w:w="3120"/>
          </w:tcPr>
          <w:p>
            <w:pPr>
              <w:spacing w:after="40" w:before="40"/>
            </w:pPr>
            <w:r>
              <w:rPr>
                <w:rFonts w:ascii="Calibri" w:hAnsi="Calibri"/>
                <w:b/>
                <w:color w:val="000000"/>
                <w:sz w:val="20"/>
              </w:rPr>
              <w:t>Review authoritative verification results</w:t>
            </w:r>
            <w:r>
              <w:rPr>
                <w:rFonts w:ascii="Calibri" w:hAnsi="Calibri"/>
                <w:b w:val="0"/>
                <w:color w:val="000000"/>
                <w:sz w:val="20"/>
              </w:rPr>
              <w:t xml:space="preserve"> — check every source's state, not just the headline</w:t>
            </w:r>
          </w:p>
        </w:tc>
        <w:tc>
          <w:tcPr>
            <w:tcW w:type="dxa" w:w="3120"/>
          </w:tcPr>
          <w:p>
            <w:pPr>
              <w:spacing w:after="40" w:before="40"/>
            </w:pPr>
            <w:r>
              <w:rPr>
                <w:rFonts w:ascii="Calibri" w:hAnsi="Calibri"/>
                <w:b w:val="0"/>
                <w:color w:val="000000"/>
                <w:sz w:val="20"/>
              </w:rPr>
              <w:t>Entity detail → Verification Results</w:t>
            </w:r>
          </w:p>
        </w:tc>
      </w:tr>
      <w:tr>
        <w:tc>
          <w:tcPr>
            <w:tcW w:type="dxa" w:w="3120"/>
            <w:shd w:val="clear" w:color="auto" w:fill="F2F5FA"/>
          </w:tcPr>
          <w:p>
            <w:pPr>
              <w:spacing w:after="40" w:before="40"/>
            </w:pPr>
            <w:r>
              <w:rPr>
                <w:rFonts w:ascii="Calibri" w:hAnsi="Calibri"/>
                <w:b w:val="0"/>
                <w:color w:val="000000"/>
                <w:sz w:val="20"/>
              </w:rPr>
              <w:t>6</w:t>
            </w:r>
          </w:p>
        </w:tc>
        <w:tc>
          <w:tcPr>
            <w:tcW w:type="dxa" w:w="3120"/>
            <w:shd w:val="clear" w:color="auto" w:fill="F2F5FA"/>
          </w:tcPr>
          <w:p>
            <w:pPr>
              <w:spacing w:after="40" w:before="40"/>
            </w:pPr>
            <w:r>
              <w:rPr>
                <w:rFonts w:ascii="Calibri" w:hAnsi="Calibri"/>
                <w:b/>
                <w:color w:val="000000"/>
                <w:sz w:val="20"/>
              </w:rPr>
              <w:t>Investigate exceptions</w:t>
            </w:r>
            <w:r>
              <w:rPr>
                <w:rFonts w:ascii="Calibri" w:hAnsi="Calibri"/>
                <w:b w:val="0"/>
                <w:color w:val="000000"/>
                <w:sz w:val="20"/>
              </w:rPr>
              <w:t xml:space="preserve"> — anything not cleanly resolved</w:t>
            </w:r>
          </w:p>
        </w:tc>
        <w:tc>
          <w:tcPr>
            <w:tcW w:type="dxa" w:w="3120"/>
            <w:shd w:val="clear" w:color="auto" w:fill="F2F5FA"/>
          </w:tcPr>
          <w:p>
            <w:pPr>
              <w:spacing w:after="40" w:before="40"/>
            </w:pPr>
            <w:r>
              <w:rPr>
                <w:rFonts w:ascii="Calibri" w:hAnsi="Calibri"/>
                <w:b w:val="0"/>
                <w:color w:val="000000"/>
                <w:sz w:val="20"/>
              </w:rPr>
              <w:t>Validation Queue (</w:t>
            </w:r>
            <w:r>
              <w:rPr>
                <w:rFonts w:ascii="Consolas" w:hAnsi="Consolas"/>
                <w:color w:val="000000"/>
                <w:sz w:val="20"/>
              </w:rPr>
              <w:t>/tefca-arc/validation</w:t>
            </w:r>
            <w:r>
              <w:rPr>
                <w:rFonts w:ascii="Calibri" w:hAnsi="Calibri"/>
                <w:b w:val="0"/>
                <w:color w:val="000000"/>
                <w:sz w:val="20"/>
              </w:rPr>
              <w:t>)</w:t>
            </w:r>
          </w:p>
        </w:tc>
      </w:tr>
      <w:tr>
        <w:tc>
          <w:tcPr>
            <w:tcW w:type="dxa" w:w="3120"/>
          </w:tcPr>
          <w:p>
            <w:pPr>
              <w:spacing w:after="40" w:before="40"/>
            </w:pPr>
            <w:r>
              <w:rPr>
                <w:rFonts w:ascii="Calibri" w:hAnsi="Calibri"/>
                <w:b w:val="0"/>
                <w:color w:val="000000"/>
                <w:sz w:val="20"/>
              </w:rPr>
              <w:t>7</w:t>
            </w:r>
          </w:p>
        </w:tc>
        <w:tc>
          <w:tcPr>
            <w:tcW w:type="dxa" w:w="3120"/>
          </w:tcPr>
          <w:p>
            <w:pPr>
              <w:spacing w:after="40" w:before="40"/>
            </w:pPr>
            <w:r>
              <w:rPr>
                <w:rFonts w:ascii="Calibri" w:hAnsi="Calibri"/>
                <w:b/>
                <w:color w:val="000000"/>
                <w:sz w:val="20"/>
              </w:rPr>
              <w:t>Document findings</w:t>
            </w:r>
            <w:r>
              <w:rPr>
                <w:rFonts w:ascii="Calibri" w:hAnsi="Calibri"/>
                <w:b w:val="0"/>
                <w:color w:val="000000"/>
                <w:sz w:val="20"/>
              </w:rPr>
              <w:t xml:space="preserve"> — record the rationale, always</w:t>
            </w:r>
          </w:p>
        </w:tc>
        <w:tc>
          <w:tcPr>
            <w:tcW w:type="dxa" w:w="3120"/>
          </w:tcPr>
          <w:p>
            <w:pPr>
              <w:spacing w:after="40" w:before="40"/>
            </w:pPr>
            <w:r>
              <w:rPr>
                <w:rFonts w:ascii="Calibri" w:hAnsi="Calibri"/>
                <w:b w:val="0"/>
                <w:color w:val="000000"/>
                <w:sz w:val="20"/>
              </w:rPr>
              <w:t>Entity detail → Resolution</w:t>
            </w:r>
          </w:p>
        </w:tc>
      </w:tr>
      <w:tr>
        <w:tc>
          <w:tcPr>
            <w:tcW w:type="dxa" w:w="3120"/>
            <w:shd w:val="clear" w:color="auto" w:fill="F2F5FA"/>
          </w:tcPr>
          <w:p>
            <w:pPr>
              <w:spacing w:after="40" w:before="40"/>
            </w:pPr>
            <w:r>
              <w:rPr>
                <w:rFonts w:ascii="Calibri" w:hAnsi="Calibri"/>
                <w:b w:val="0"/>
                <w:color w:val="000000"/>
                <w:sz w:val="20"/>
              </w:rPr>
              <w:t>8</w:t>
            </w:r>
          </w:p>
        </w:tc>
        <w:tc>
          <w:tcPr>
            <w:tcW w:type="dxa" w:w="3120"/>
            <w:shd w:val="clear" w:color="auto" w:fill="F2F5FA"/>
          </w:tcPr>
          <w:p>
            <w:pPr>
              <w:spacing w:after="40" w:before="40"/>
            </w:pPr>
            <w:r>
              <w:rPr>
                <w:rFonts w:ascii="Calibri" w:hAnsi="Calibri"/>
                <w:b/>
                <w:color w:val="000000"/>
                <w:sz w:val="20"/>
              </w:rPr>
              <w:t>Submit or escalate</w:t>
            </w:r>
          </w:p>
        </w:tc>
        <w:tc>
          <w:tcPr>
            <w:tcW w:type="dxa" w:w="3120"/>
            <w:shd w:val="clear" w:color="auto" w:fill="F2F5FA"/>
          </w:tcPr>
          <w:p>
            <w:pPr>
              <w:spacing w:after="40" w:before="40"/>
            </w:pPr>
            <w:r>
              <w:rPr>
                <w:rFonts w:ascii="Calibri" w:hAnsi="Calibri"/>
                <w:b w:val="0"/>
                <w:color w:val="000000"/>
                <w:sz w:val="20"/>
              </w:rPr>
              <w:t>Entity detail → Resolve / Escalate</w:t>
            </w:r>
          </w:p>
        </w:tc>
      </w:tr>
      <w:tr>
        <w:tc>
          <w:tcPr>
            <w:tcW w:type="dxa" w:w="3120"/>
          </w:tcPr>
          <w:p>
            <w:pPr>
              <w:spacing w:after="40" w:before="40"/>
            </w:pPr>
            <w:r>
              <w:rPr>
                <w:rFonts w:ascii="Calibri" w:hAnsi="Calibri"/>
                <w:b w:val="0"/>
                <w:color w:val="000000"/>
                <w:sz w:val="20"/>
              </w:rPr>
              <w:t>9</w:t>
            </w:r>
          </w:p>
        </w:tc>
        <w:tc>
          <w:tcPr>
            <w:tcW w:type="dxa" w:w="3120"/>
          </w:tcPr>
          <w:p>
            <w:pPr>
              <w:spacing w:after="40" w:before="40"/>
            </w:pPr>
            <w:r>
              <w:rPr>
                <w:rFonts w:ascii="Calibri" w:hAnsi="Calibri"/>
                <w:b/>
                <w:color w:val="000000"/>
                <w:sz w:val="20"/>
              </w:rPr>
              <w:t>QA and approval</w:t>
            </w:r>
            <w:r>
              <w:rPr>
                <w:rFonts w:ascii="Calibri" w:hAnsi="Calibri"/>
                <w:b w:val="0"/>
                <w:color w:val="000000"/>
                <w:sz w:val="20"/>
              </w:rPr>
              <w:t xml:space="preserve"> (QA lead)</w:t>
            </w:r>
          </w:p>
        </w:tc>
        <w:tc>
          <w:tcPr>
            <w:tcW w:type="dxa" w:w="3120"/>
          </w:tcPr>
          <w:p>
            <w:pPr>
              <w:spacing w:after="40" w:before="40"/>
            </w:pPr>
            <w:r>
              <w:rPr>
                <w:rFonts w:ascii="Calibri" w:hAnsi="Calibri"/>
                <w:b w:val="0"/>
                <w:color w:val="000000"/>
                <w:sz w:val="20"/>
              </w:rPr>
              <w:t>QA Operations (</w:t>
            </w:r>
            <w:r>
              <w:rPr>
                <w:rFonts w:ascii="Consolas" w:hAnsi="Consolas"/>
                <w:color w:val="000000"/>
                <w:sz w:val="20"/>
              </w:rPr>
              <w:t>/tefca-arc/qa</w:t>
            </w:r>
            <w:r>
              <w:rPr>
                <w:rFonts w:ascii="Calibri" w:hAnsi="Calibri"/>
                <w:b w:val="0"/>
                <w:color w:val="000000"/>
                <w:sz w:val="20"/>
              </w:rPr>
              <w:t>)</w:t>
            </w:r>
          </w:p>
        </w:tc>
      </w:tr>
      <w:tr>
        <w:tc>
          <w:tcPr>
            <w:tcW w:type="dxa" w:w="3120"/>
            <w:shd w:val="clear" w:color="auto" w:fill="F2F5FA"/>
          </w:tcPr>
          <w:p>
            <w:pPr>
              <w:spacing w:after="40" w:before="40"/>
            </w:pPr>
            <w:r>
              <w:rPr>
                <w:rFonts w:ascii="Calibri" w:hAnsi="Calibri"/>
                <w:b w:val="0"/>
                <w:color w:val="000000"/>
                <w:sz w:val="20"/>
              </w:rPr>
              <w:t>10</w:t>
            </w:r>
          </w:p>
        </w:tc>
        <w:tc>
          <w:tcPr>
            <w:tcW w:type="dxa" w:w="3120"/>
            <w:shd w:val="clear" w:color="auto" w:fill="F2F5FA"/>
          </w:tcPr>
          <w:p>
            <w:pPr>
              <w:spacing w:after="40" w:before="40"/>
            </w:pPr>
            <w:r>
              <w:rPr>
                <w:rFonts w:ascii="Calibri" w:hAnsi="Calibri"/>
                <w:b/>
                <w:color w:val="000000"/>
                <w:sz w:val="20"/>
              </w:rPr>
              <w:t>Confirm completion</w:t>
            </w:r>
            <w:r>
              <w:rPr>
                <w:rFonts w:ascii="Calibri" w:hAnsi="Calibri"/>
                <w:b w:val="0"/>
                <w:color w:val="000000"/>
                <w:sz w:val="20"/>
              </w:rPr>
              <w:t xml:space="preserve"> — verify nothing is left open or overdue</w:t>
            </w:r>
          </w:p>
        </w:tc>
        <w:tc>
          <w:tcPr>
            <w:tcW w:type="dxa" w:w="3120"/>
            <w:shd w:val="clear" w:color="auto" w:fill="F2F5FA"/>
          </w:tcPr>
          <w:p>
            <w:pPr>
              <w:spacing w:after="40" w:before="40"/>
            </w:pPr>
            <w:r>
              <w:rPr>
                <w:rFonts w:ascii="Calibri" w:hAnsi="Calibri"/>
                <w:b w:val="0"/>
                <w:color w:val="000000"/>
                <w:sz w:val="20"/>
              </w:rPr>
              <w:t>Mission Control</w:t>
            </w:r>
          </w:p>
        </w:tc>
      </w:tr>
    </w:tbl>
    <w:p>
      <w:pPr>
        <w:spacing w:after="80"/>
      </w:pPr>
    </w:p>
    <w:p>
      <w:pPr>
        <w:pStyle w:val="Heading2"/>
        <w:keepNext/>
        <w:spacing w:before="200" w:after="120"/>
        <w:outlineLvl w:val="1"/>
      </w:pPr>
      <w:r>
        <w:rPr>
          <w:rFonts w:ascii="Calibri" w:hAnsi="Calibri"/>
          <w:b/>
          <w:color w:val="003087"/>
          <w:sz w:val="25"/>
        </w:rPr>
        <w:t>2.1 Reading the status colours</w:t>
      </w:r>
    </w:p>
    <w:p>
      <w:pPr>
        <w:spacing w:after="120" w:before="0"/>
      </w:pPr>
      <w:r>
        <w:rPr>
          <w:rFonts w:ascii="Calibri" w:hAnsi="Calibri"/>
          <w:b w:val="0"/>
          <w:color w:val="000000"/>
          <w:sz w:val="22"/>
        </w:rPr>
        <w:t>The interface uses colour together with a text label and an icon, never colour alone. Always read the label.</w:t>
      </w:r>
    </w:p>
    <w:p>
      <w:pPr>
        <w:spacing w:after="120" w:before="0"/>
      </w:pPr>
      <w:r>
        <w:rPr>
          <w:rFonts w:ascii="Calibri" w:hAnsi="Calibri"/>
          <w:b/>
          <w:color w:val="000000"/>
          <w:sz w:val="22"/>
        </w:rPr>
        <w:t>GREEN / NORMAL — no intervention needed</w:t>
      </w:r>
    </w:p>
    <w:p>
      <w:pPr>
        <w:pStyle w:val="ListBullet"/>
        <w:spacing w:after="40"/>
      </w:pPr>
      <w:r>
        <w:rPr>
          <w:rFonts w:ascii="Consolas" w:hAnsi="Consolas"/>
          <w:color w:val="000000"/>
          <w:sz w:val="21"/>
        </w:rPr>
        <w:t>Live</w:t>
      </w:r>
      <w:r>
        <w:rPr>
          <w:rFonts w:ascii="Calibri" w:hAnsi="Calibri"/>
          <w:b w:val="0"/>
          <w:color w:val="000000"/>
          <w:sz w:val="21"/>
        </w:rPr>
        <w:t xml:space="preserve"> — a data source responded and is healthy</w:t>
      </w:r>
    </w:p>
    <w:p>
      <w:pPr>
        <w:pStyle w:val="ListBullet"/>
        <w:spacing w:after="40"/>
      </w:pPr>
      <w:r>
        <w:rPr>
          <w:rFonts w:ascii="Consolas" w:hAnsi="Consolas"/>
          <w:color w:val="000000"/>
          <w:sz w:val="21"/>
        </w:rPr>
        <w:t>Verified</w:t>
      </w:r>
      <w:r>
        <w:rPr>
          <w:rFonts w:ascii="Calibri" w:hAnsi="Calibri"/>
          <w:b w:val="0"/>
          <w:color w:val="000000"/>
          <w:sz w:val="21"/>
        </w:rPr>
        <w:t xml:space="preserve"> — the source confirmed the record</w:t>
      </w:r>
    </w:p>
    <w:p>
      <w:pPr>
        <w:pStyle w:val="ListBullet"/>
        <w:spacing w:after="40"/>
      </w:pPr>
      <w:r>
        <w:rPr>
          <w:rFonts w:ascii="Consolas" w:hAnsi="Consolas"/>
          <w:color w:val="000000"/>
          <w:sz w:val="21"/>
        </w:rPr>
        <w:t>Active</w:t>
      </w:r>
      <w:r>
        <w:rPr>
          <w:rFonts w:ascii="Calibri" w:hAnsi="Calibri"/>
          <w:b w:val="0"/>
          <w:color w:val="000000"/>
          <w:sz w:val="21"/>
        </w:rPr>
        <w:t xml:space="preserve"> — the control or capability is operating</w:t>
      </w:r>
    </w:p>
    <w:p>
      <w:pPr>
        <w:pStyle w:val="ListBullet"/>
        <w:spacing w:after="40"/>
      </w:pPr>
      <w:r>
        <w:rPr>
          <w:rFonts w:ascii="Calibri" w:hAnsi="Calibri"/>
          <w:b w:val="0"/>
          <w:color w:val="000000"/>
          <w:sz w:val="21"/>
        </w:rPr>
        <w:t xml:space="preserve">Bucket </w:t>
      </w:r>
      <w:r>
        <w:rPr>
          <w:rFonts w:ascii="Calibri" w:hAnsi="Calibri"/>
          <w:b/>
          <w:color w:val="000000"/>
          <w:sz w:val="21"/>
        </w:rPr>
        <w:t>B1 — No Discrepancy</w:t>
      </w:r>
      <w:r>
        <w:rPr>
          <w:rFonts w:ascii="Calibri" w:hAnsi="Calibri"/>
          <w:b w:val="0"/>
          <w:color w:val="000000"/>
          <w:sz w:val="21"/>
        </w:rPr>
        <w:t xml:space="preserve"> at high confidence</w:t>
      </w:r>
    </w:p>
    <w:p>
      <w:pPr>
        <w:spacing w:after="120" w:before="0"/>
      </w:pPr>
      <w:r>
        <w:rPr>
          <w:rFonts w:ascii="Calibri" w:hAnsi="Calibri"/>
          <w:b/>
          <w:color w:val="000000"/>
          <w:sz w:val="22"/>
        </w:rPr>
        <w:t>YELLOW / REVIEW — needs your attention</w:t>
      </w:r>
    </w:p>
    <w:p>
      <w:pPr>
        <w:pStyle w:val="ListBullet"/>
        <w:spacing w:after="40"/>
      </w:pPr>
      <w:r>
        <w:rPr>
          <w:rFonts w:ascii="Consolas" w:hAnsi="Consolas"/>
          <w:color w:val="000000"/>
          <w:sz w:val="21"/>
        </w:rPr>
        <w:t>Partial</w:t>
      </w:r>
      <w:r>
        <w:rPr>
          <w:rFonts w:ascii="Calibri" w:hAnsi="Calibri"/>
          <w:b w:val="0"/>
          <w:color w:val="000000"/>
          <w:sz w:val="21"/>
        </w:rPr>
        <w:t xml:space="preserve"> — the capability works, but with a stated limitation</w:t>
      </w:r>
    </w:p>
    <w:p>
      <w:pPr>
        <w:pStyle w:val="ListBullet"/>
        <w:spacing w:after="40"/>
      </w:pPr>
      <w:r>
        <w:rPr>
          <w:rFonts w:ascii="Consolas" w:hAnsi="Consolas"/>
          <w:color w:val="000000"/>
          <w:sz w:val="21"/>
        </w:rPr>
        <w:t>Unavailable</w:t>
      </w:r>
      <w:r>
        <w:rPr>
          <w:rFonts w:ascii="Calibri" w:hAnsi="Calibri"/>
          <w:b w:val="0"/>
          <w:color w:val="000000"/>
          <w:sz w:val="21"/>
        </w:rPr>
        <w:t xml:space="preserve"> — a source is not configured or not reachable; this is </w:t>
      </w:r>
      <w:r>
        <w:rPr>
          <w:rFonts w:ascii="Calibri" w:hAnsi="Calibri"/>
          <w:b/>
          <w:color w:val="000000"/>
          <w:sz w:val="21"/>
        </w:rPr>
        <w:t>not</w:t>
      </w:r>
      <w:r>
        <w:rPr>
          <w:rFonts w:ascii="Calibri" w:hAnsi="Calibri"/>
          <w:b w:val="0"/>
          <w:color w:val="000000"/>
          <w:sz w:val="21"/>
        </w:rPr>
        <w:t xml:space="preserve"> a pass</w:t>
      </w:r>
    </w:p>
    <w:p>
      <w:pPr>
        <w:pStyle w:val="ListBullet"/>
        <w:spacing w:after="40"/>
      </w:pPr>
      <w:r>
        <w:rPr>
          <w:rFonts w:ascii="Consolas" w:hAnsi="Consolas"/>
          <w:color w:val="000000"/>
          <w:sz w:val="21"/>
        </w:rPr>
        <w:t>Pending</w:t>
      </w:r>
      <w:r>
        <w:rPr>
          <w:rFonts w:ascii="Calibri" w:hAnsi="Calibri"/>
          <w:b w:val="0"/>
          <w:color w:val="000000"/>
          <w:sz w:val="21"/>
        </w:rPr>
        <w:t xml:space="preserve"> — a framework or item is not yet substantiated</w:t>
      </w:r>
    </w:p>
    <w:p>
      <w:pPr>
        <w:pStyle w:val="ListBullet"/>
        <w:spacing w:after="40"/>
      </w:pPr>
      <w:r>
        <w:rPr>
          <w:rFonts w:ascii="Calibri" w:hAnsi="Calibri"/>
          <w:b w:val="0"/>
          <w:color w:val="000000"/>
          <w:sz w:val="21"/>
        </w:rPr>
        <w:t xml:space="preserve">Buckets </w:t>
      </w:r>
      <w:r>
        <w:rPr>
          <w:rFonts w:ascii="Calibri" w:hAnsi="Calibri"/>
          <w:b/>
          <w:color w:val="000000"/>
          <w:sz w:val="21"/>
        </w:rPr>
        <w:t>B2 — Minor or Administrative</w:t>
      </w:r>
      <w:r>
        <w:rPr>
          <w:rFonts w:ascii="Calibri" w:hAnsi="Calibri"/>
          <w:b w:val="0"/>
          <w:color w:val="000000"/>
          <w:sz w:val="21"/>
        </w:rPr>
        <w:t xml:space="preserve"> and </w:t>
      </w:r>
      <w:r>
        <w:rPr>
          <w:rFonts w:ascii="Calibri" w:hAnsi="Calibri"/>
          <w:b/>
          <w:color w:val="000000"/>
          <w:sz w:val="21"/>
        </w:rPr>
        <w:t>B3 — Inexplicable</w:t>
      </w:r>
    </w:p>
    <w:p>
      <w:pPr>
        <w:pStyle w:val="ListBullet"/>
        <w:spacing w:after="40"/>
      </w:pPr>
      <w:r>
        <w:rPr>
          <w:rFonts w:ascii="Calibri" w:hAnsi="Calibri"/>
          <w:b w:val="0"/>
          <w:color w:val="000000"/>
          <w:sz w:val="21"/>
        </w:rPr>
        <w:t xml:space="preserve">SLA band </w:t>
      </w:r>
      <w:r>
        <w:rPr>
          <w:rFonts w:ascii="Consolas" w:hAnsi="Consolas"/>
          <w:color w:val="000000"/>
          <w:sz w:val="21"/>
        </w:rPr>
        <w:t>at_risk</w:t>
      </w:r>
      <w:r>
        <w:rPr>
          <w:rFonts w:ascii="Calibri" w:hAnsi="Calibri"/>
          <w:b w:val="0"/>
          <w:color w:val="000000"/>
          <w:sz w:val="21"/>
        </w:rPr>
        <w:t xml:space="preserve"> (2 days or fewer remaining)</w:t>
      </w:r>
    </w:p>
    <w:p>
      <w:pPr>
        <w:spacing w:after="120" w:before="0"/>
      </w:pPr>
      <w:r>
        <w:rPr>
          <w:rFonts w:ascii="Calibri" w:hAnsi="Calibri"/>
          <w:b/>
          <w:color w:val="000000"/>
          <w:sz w:val="22"/>
        </w:rPr>
        <w:t>RED / EXCEPTION — escalate</w:t>
      </w:r>
    </w:p>
    <w:p>
      <w:pPr>
        <w:pStyle w:val="ListBullet"/>
        <w:spacing w:after="40"/>
      </w:pPr>
      <w:r>
        <w:rPr>
          <w:rFonts w:ascii="Consolas" w:hAnsi="Consolas"/>
          <w:color w:val="000000"/>
          <w:sz w:val="21"/>
        </w:rPr>
        <w:t>Error</w:t>
      </w:r>
      <w:r>
        <w:rPr>
          <w:rFonts w:ascii="Calibri" w:hAnsi="Calibri"/>
          <w:b w:val="0"/>
          <w:color w:val="000000"/>
          <w:sz w:val="21"/>
        </w:rPr>
        <w:t xml:space="preserve"> — a source that normally answers has failed</w:t>
      </w:r>
    </w:p>
    <w:p>
      <w:pPr>
        <w:pStyle w:val="ListBullet"/>
        <w:spacing w:after="40"/>
      </w:pPr>
      <w:r>
        <w:rPr>
          <w:rFonts w:ascii="Calibri" w:hAnsi="Calibri"/>
          <w:b w:val="0"/>
          <w:color w:val="000000"/>
          <w:sz w:val="21"/>
        </w:rPr>
        <w:t xml:space="preserve">Bucket </w:t>
      </w:r>
      <w:r>
        <w:rPr>
          <w:rFonts w:ascii="Calibri" w:hAnsi="Calibri"/>
          <w:b/>
          <w:color w:val="000000"/>
          <w:sz w:val="21"/>
        </w:rPr>
        <w:t>B4 — Non-Compliant</w:t>
      </w:r>
    </w:p>
    <w:p>
      <w:pPr>
        <w:pStyle w:val="ListBullet"/>
        <w:spacing w:after="40"/>
      </w:pPr>
      <w:r>
        <w:rPr>
          <w:rFonts w:ascii="Calibri" w:hAnsi="Calibri"/>
          <w:b w:val="0"/>
          <w:color w:val="000000"/>
          <w:sz w:val="21"/>
        </w:rPr>
        <w:t>Any active exclusion or debarment finding</w:t>
      </w:r>
    </w:p>
    <w:p>
      <w:pPr>
        <w:pStyle w:val="ListBullet"/>
        <w:spacing w:after="40"/>
      </w:pPr>
      <w:r>
        <w:rPr>
          <w:rFonts w:ascii="Calibri" w:hAnsi="Calibri"/>
          <w:b w:val="0"/>
          <w:color w:val="000000"/>
          <w:sz w:val="21"/>
        </w:rPr>
        <w:t xml:space="preserve">SLA band </w:t>
      </w:r>
      <w:r>
        <w:rPr>
          <w:rFonts w:ascii="Consolas" w:hAnsi="Consolas"/>
          <w:color w:val="000000"/>
          <w:sz w:val="21"/>
        </w:rPr>
        <w:t>overdue</w:t>
      </w:r>
    </w:p>
    <w:p>
      <w:pPr>
        <w:spacing w:after="120" w:before="0"/>
      </w:pPr>
      <w:r>
        <w:rPr>
          <w:rFonts w:ascii="Calibri" w:hAnsi="Calibri"/>
          <w:b/>
          <w:color w:val="000000"/>
          <w:sz w:val="22"/>
        </w:rPr>
        <w:t>GREY / INDETERMINATE — cannot be judged</w:t>
      </w:r>
    </w:p>
    <w:p>
      <w:pPr>
        <w:pStyle w:val="ListBullet"/>
        <w:spacing w:after="40"/>
      </w:pPr>
      <w:r>
        <w:rPr>
          <w:rFonts w:ascii="Consolas" w:hAnsi="Consolas"/>
          <w:color w:val="000000"/>
          <w:sz w:val="21"/>
        </w:rPr>
        <w:t>Unable to Verify</w:t>
      </w:r>
      <w:r>
        <w:rPr>
          <w:rFonts w:ascii="Calibri" w:hAnsi="Calibri"/>
          <w:b w:val="0"/>
          <w:color w:val="000000"/>
          <w:sz w:val="21"/>
        </w:rPr>
        <w:t xml:space="preserve"> — health could not be established</w:t>
      </w:r>
    </w:p>
    <w:p>
      <w:pPr>
        <w:pStyle w:val="ListBullet"/>
        <w:spacing w:after="40"/>
      </w:pPr>
      <w:r>
        <w:rPr>
          <w:rFonts w:ascii="Consolas" w:hAnsi="Consolas"/>
          <w:color w:val="000000"/>
          <w:sz w:val="21"/>
        </w:rPr>
        <w:t>Indeterminate — Source Unavailable</w:t>
      </w:r>
      <w:r>
        <w:rPr>
          <w:rFonts w:ascii="Calibri" w:hAnsi="Calibri"/>
          <w:b w:val="0"/>
          <w:color w:val="000000"/>
          <w:sz w:val="21"/>
        </w:rPr>
        <w:t xml:space="preserve"> — a required source did not answer, so the result cannot be trusted in either direction</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onsolas" w:hAnsi="Consolas"/>
                <w:color w:val="000000"/>
                <w:sz w:val="21"/>
              </w:rPr>
              <w:t>Unavailable</w:t>
            </w:r>
            <w:r>
              <w:rPr>
                <w:rFonts w:ascii="Calibri" w:hAnsi="Calibri"/>
                <w:b w:val="0"/>
                <w:color w:val="000000"/>
                <w:sz w:val="21"/>
              </w:rPr>
              <w:t xml:space="preserve"> and </w:t>
            </w:r>
            <w:r>
              <w:rPr>
                <w:rFonts w:ascii="Consolas" w:hAnsi="Consolas"/>
                <w:color w:val="000000"/>
                <w:sz w:val="21"/>
              </w:rPr>
              <w:t>Indeterminate</w:t>
            </w:r>
            <w:r>
              <w:rPr>
                <w:rFonts w:ascii="Calibri" w:hAnsi="Calibri"/>
                <w:b w:val="0"/>
                <w:color w:val="000000"/>
                <w:sz w:val="21"/>
              </w:rPr>
              <w:t xml:space="preserve"> are never a pass. A record whose sources did not answer has not been verified and must not be closed as clean.</w:t>
            </w:r>
          </w:p>
        </w:tc>
      </w:tr>
    </w:tbl>
    <w:p>
      <w:pPr>
        <w:spacing w:after="80"/>
      </w:pPr>
    </w:p>
    <w:p>
      <w:r>
        <w:br w:type="page"/>
      </w:r>
    </w:p>
    <w:p>
      <w:pPr>
        <w:pStyle w:val="Heading1"/>
        <w:keepNext/>
        <w:spacing w:before="280" w:after="120"/>
        <w:outlineLvl w:val="0"/>
      </w:pPr>
      <w:r>
        <w:rPr>
          <w:rFonts w:ascii="Calibri" w:hAnsi="Calibri"/>
          <w:b/>
          <w:color w:val="003087"/>
          <w:sz w:val="28"/>
        </w:rPr>
        <w:t>3. What DocuAction TEFCA Does</w:t>
      </w:r>
    </w:p>
    <w:p>
      <w:pPr>
        <w:pStyle w:val="Heading2"/>
        <w:keepNext/>
        <w:spacing w:before="200" w:after="120"/>
        <w:outlineLvl w:val="1"/>
      </w:pPr>
      <w:r>
        <w:rPr>
          <w:rFonts w:ascii="Calibri" w:hAnsi="Calibri"/>
          <w:b/>
          <w:color w:val="003087"/>
          <w:sz w:val="25"/>
        </w:rPr>
        <w:t>3.1 In one paragraph</w:t>
      </w:r>
    </w:p>
    <w:p>
      <w:pPr>
        <w:spacing w:after="120" w:before="0"/>
      </w:pPr>
      <w:r>
        <w:rPr>
          <w:rFonts w:ascii="Calibri" w:hAnsi="Calibri"/>
          <w:b w:val="0"/>
          <w:color w:val="000000"/>
          <w:sz w:val="22"/>
        </w:rPr>
        <w:t>DocuAction TEFCA takes a list of healthcare organizations that participate in national health-data exchange, checks each one against authoritative federal registries, and produces a documented, defensible determination about whether the organization's registered details are accurate and whether it is eligible to participate. Where the automated checks cannot settle a question, the record is routed to a trained human reviewer, whose decision — with a written rationale — becomes the record of account.</w:t>
      </w:r>
    </w:p>
    <w:p>
      <w:pPr>
        <w:pStyle w:val="Heading2"/>
        <w:keepNext/>
        <w:spacing w:before="200" w:after="120"/>
        <w:outlineLvl w:val="1"/>
      </w:pPr>
      <w:r>
        <w:rPr>
          <w:rFonts w:ascii="Calibri" w:hAnsi="Calibri"/>
          <w:b/>
          <w:color w:val="003087"/>
          <w:sz w:val="25"/>
        </w:rPr>
        <w:t>3.2 Why the system exists</w:t>
      </w:r>
    </w:p>
    <w:p>
      <w:pPr>
        <w:spacing w:after="120" w:before="0"/>
      </w:pPr>
      <w:r>
        <w:rPr>
          <w:rFonts w:ascii="Calibri" w:hAnsi="Calibri"/>
          <w:b w:val="0"/>
          <w:color w:val="000000"/>
          <w:sz w:val="22"/>
        </w:rPr>
        <w:t xml:space="preserve">TEFCA — the Trusted Exchange Framework and Common Agreement — is the national framework under which health information networks exchange patient data. Participation is organized in a hierarchy: </w:t>
      </w:r>
      <w:r>
        <w:rPr>
          <w:rFonts w:ascii="Calibri" w:hAnsi="Calibri"/>
          <w:b/>
          <w:color w:val="000000"/>
          <w:sz w:val="22"/>
        </w:rPr>
        <w:t>QHINs</w:t>
      </w:r>
      <w:r>
        <w:rPr>
          <w:rFonts w:ascii="Calibri" w:hAnsi="Calibri"/>
          <w:b w:val="0"/>
          <w:color w:val="000000"/>
          <w:sz w:val="22"/>
        </w:rPr>
        <w:t xml:space="preserve"> at the top, then </w:t>
      </w:r>
      <w:r>
        <w:rPr>
          <w:rFonts w:ascii="Calibri" w:hAnsi="Calibri"/>
          <w:b/>
          <w:color w:val="000000"/>
          <w:sz w:val="22"/>
        </w:rPr>
        <w:t>Participants</w:t>
      </w:r>
      <w:r>
        <w:rPr>
          <w:rFonts w:ascii="Calibri" w:hAnsi="Calibri"/>
          <w:b w:val="0"/>
          <w:color w:val="000000"/>
          <w:sz w:val="22"/>
        </w:rPr>
        <w:t xml:space="preserve">, then </w:t>
      </w:r>
      <w:r>
        <w:rPr>
          <w:rFonts w:ascii="Calibri" w:hAnsi="Calibri"/>
          <w:b/>
          <w:color w:val="000000"/>
          <w:sz w:val="22"/>
        </w:rPr>
        <w:t>Subparticipants</w:t>
      </w:r>
      <w:r>
        <w:rPr>
          <w:rFonts w:ascii="Calibri" w:hAnsi="Calibri"/>
          <w:b w:val="0"/>
          <w:color w:val="000000"/>
          <w:sz w:val="22"/>
        </w:rPr>
        <w:t>. Each entity is registered with identifying details: legal name, address, National Provider Identifier, and TEFCA identifiers.</w:t>
      </w:r>
    </w:p>
    <w:p>
      <w:pPr>
        <w:spacing w:after="120" w:before="0"/>
      </w:pPr>
      <w:r>
        <w:rPr>
          <w:rFonts w:ascii="Calibri" w:hAnsi="Calibri"/>
          <w:b w:val="0"/>
          <w:color w:val="000000"/>
          <w:sz w:val="22"/>
        </w:rPr>
        <w:t>That registry is only as trustworthy as its contents. An organization may have closed, changed name, moved, let its federal registration lapse, or been excluded from federal health programs — and the registry may not reflect any of it. Under contract 7571MN26F80064, Alliance Global Tech performs independent audit and review of those registered entities on behalf of the government.</w:t>
      </w:r>
    </w:p>
    <w:p>
      <w:pPr>
        <w:spacing w:after="120" w:before="0"/>
      </w:pPr>
      <w:r>
        <w:rPr>
          <w:rFonts w:ascii="Calibri" w:hAnsi="Calibri"/>
          <w:b w:val="0"/>
          <w:color w:val="000000"/>
          <w:sz w:val="22"/>
        </w:rPr>
        <w:t>Doing that at scale by hand is not feasible. DocuAction automates the mechanical parts — querying federal sources, comparing fields, applying classification rules, retaining evidence — so that trained reviewers spend their time on the cases that actually require judgement, and so that every determination carries an audit trail a federal auditor can follow.</w:t>
      </w:r>
    </w:p>
    <w:p>
      <w:pPr>
        <w:pStyle w:val="Heading2"/>
        <w:keepNext/>
        <w:spacing w:before="200" w:after="120"/>
        <w:outlineLvl w:val="1"/>
      </w:pPr>
      <w:r>
        <w:rPr>
          <w:rFonts w:ascii="Calibri" w:hAnsi="Calibri"/>
          <w:b/>
          <w:color w:val="003087"/>
          <w:sz w:val="25"/>
        </w:rPr>
        <w:t>3.3 What the system does *not* do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It does not</w:t>
            </w:r>
          </w:p>
        </w:tc>
        <w:tc>
          <w:tcPr>
            <w:tcW w:type="dxa" w:w="4680"/>
            <w:shd w:val="clear" w:color="auto" w:fill="003087"/>
          </w:tcPr>
          <w:p>
            <w:pPr>
              <w:spacing w:after="40" w:before="40"/>
            </w:pPr>
            <w:r>
              <w:rPr>
                <w:rFonts w:ascii="Calibri" w:hAnsi="Calibri"/>
                <w:b/>
                <w:color w:val="FFFFFF"/>
                <w:sz w:val="20"/>
              </w:rPr>
              <w:t>Why this matters</w:t>
            </w:r>
          </w:p>
        </w:tc>
      </w:tr>
      <w:tr>
        <w:tc>
          <w:tcPr>
            <w:tcW w:type="dxa" w:w="4680"/>
          </w:tcPr>
          <w:p>
            <w:pPr>
              <w:spacing w:after="40" w:before="40"/>
            </w:pPr>
            <w:r>
              <w:rPr>
                <w:rFonts w:ascii="Calibri" w:hAnsi="Calibri"/>
                <w:b w:val="0"/>
                <w:color w:val="000000"/>
                <w:sz w:val="20"/>
              </w:rPr>
              <w:t>Make final compliance determinations automatically for anything other than a clean, fully corroborated record</w:t>
            </w:r>
          </w:p>
        </w:tc>
        <w:tc>
          <w:tcPr>
            <w:tcW w:type="dxa" w:w="4680"/>
          </w:tcPr>
          <w:p>
            <w:pPr>
              <w:spacing w:after="40" w:before="40"/>
            </w:pPr>
            <w:r>
              <w:rPr>
                <w:rFonts w:ascii="Calibri" w:hAnsi="Calibri"/>
                <w:b w:val="0"/>
                <w:color w:val="000000"/>
                <w:sz w:val="20"/>
              </w:rPr>
              <w:t>Human accountability is preserved for every case that is not unambiguous</w:t>
            </w:r>
          </w:p>
        </w:tc>
      </w:tr>
      <w:tr>
        <w:tc>
          <w:tcPr>
            <w:tcW w:type="dxa" w:w="4680"/>
            <w:shd w:val="clear" w:color="auto" w:fill="F2F5FA"/>
          </w:tcPr>
          <w:p>
            <w:pPr>
              <w:spacing w:after="40" w:before="40"/>
            </w:pPr>
            <w:r>
              <w:rPr>
                <w:rFonts w:ascii="Calibri" w:hAnsi="Calibri"/>
                <w:b w:val="0"/>
                <w:color w:val="000000"/>
                <w:sz w:val="20"/>
              </w:rPr>
              <w:t>Replace an authoritative source lookup with an estimate, an inference, or an AI-generated answer</w:t>
            </w:r>
          </w:p>
        </w:tc>
        <w:tc>
          <w:tcPr>
            <w:tcW w:type="dxa" w:w="4680"/>
            <w:shd w:val="clear" w:color="auto" w:fill="F2F5FA"/>
          </w:tcPr>
          <w:p>
            <w:pPr>
              <w:spacing w:after="40" w:before="40"/>
            </w:pPr>
            <w:r>
              <w:rPr>
                <w:rFonts w:ascii="Calibri" w:hAnsi="Calibri"/>
                <w:b w:val="0"/>
                <w:color w:val="000000"/>
                <w:sz w:val="20"/>
              </w:rPr>
              <w:t>The evidence in the record must be what a federal source actually returned</w:t>
            </w:r>
          </w:p>
        </w:tc>
      </w:tr>
      <w:tr>
        <w:tc>
          <w:tcPr>
            <w:tcW w:type="dxa" w:w="4680"/>
          </w:tcPr>
          <w:p>
            <w:pPr>
              <w:spacing w:after="40" w:before="40"/>
            </w:pPr>
            <w:r>
              <w:rPr>
                <w:rFonts w:ascii="Calibri" w:hAnsi="Calibri"/>
                <w:b w:val="0"/>
                <w:color w:val="000000"/>
                <w:sz w:val="20"/>
              </w:rPr>
              <w:t>Treat an unavailable source as a passing result</w:t>
            </w:r>
          </w:p>
        </w:tc>
        <w:tc>
          <w:tcPr>
            <w:tcW w:type="dxa" w:w="4680"/>
          </w:tcPr>
          <w:p>
            <w:pPr>
              <w:spacing w:after="40" w:before="40"/>
            </w:pPr>
            <w:r>
              <w:rPr>
                <w:rFonts w:ascii="Calibri" w:hAnsi="Calibri"/>
                <w:b w:val="0"/>
                <w:color w:val="000000"/>
                <w:sz w:val="20"/>
              </w:rPr>
              <w:t>A source outage is a gap in evidence, never a clean result</w:t>
            </w:r>
          </w:p>
        </w:tc>
      </w:tr>
      <w:tr>
        <w:tc>
          <w:tcPr>
            <w:tcW w:type="dxa" w:w="4680"/>
            <w:shd w:val="clear" w:color="auto" w:fill="F2F5FA"/>
          </w:tcPr>
          <w:p>
            <w:pPr>
              <w:spacing w:after="40" w:before="40"/>
            </w:pPr>
            <w:r>
              <w:rPr>
                <w:rFonts w:ascii="Calibri" w:hAnsi="Calibri"/>
                <w:b w:val="0"/>
                <w:color w:val="000000"/>
                <w:sz w:val="20"/>
              </w:rPr>
              <w:t>Modify or delete an entity's history</w:t>
            </w:r>
          </w:p>
        </w:tc>
        <w:tc>
          <w:tcPr>
            <w:tcW w:type="dxa" w:w="4680"/>
            <w:shd w:val="clear" w:color="auto" w:fill="F2F5FA"/>
          </w:tcPr>
          <w:p>
            <w:pPr>
              <w:spacing w:after="40" w:before="40"/>
            </w:pPr>
            <w:r>
              <w:rPr>
                <w:rFonts w:ascii="Calibri" w:hAnsi="Calibri"/>
                <w:b w:val="0"/>
                <w:color w:val="000000"/>
                <w:sz w:val="20"/>
              </w:rPr>
              <w:t>Records are added to; they are not rewritten</w:t>
            </w:r>
          </w:p>
        </w:tc>
      </w:tr>
    </w:tbl>
    <w:p>
      <w:pPr>
        <w:spacing w:after="80"/>
      </w:pPr>
    </w:p>
    <w:p>
      <w:pPr>
        <w:pStyle w:val="Heading2"/>
        <w:keepNext/>
        <w:spacing w:before="200" w:after="120"/>
        <w:outlineLvl w:val="1"/>
      </w:pPr>
      <w:r>
        <w:rPr>
          <w:rFonts w:ascii="Calibri" w:hAnsi="Calibri"/>
          <w:b/>
          <w:color w:val="003087"/>
          <w:sz w:val="25"/>
        </w:rPr>
        <w:t>3.4 The two areas of the application</w:t>
      </w:r>
    </w:p>
    <w:p>
      <w:pPr>
        <w:spacing w:after="120" w:before="0"/>
      </w:pPr>
      <w:r>
        <w:rPr>
          <w:rFonts w:ascii="Calibri" w:hAnsi="Calibri"/>
          <w:b w:val="0"/>
          <w:color w:val="000000"/>
          <w:sz w:val="22"/>
        </w:rPr>
        <w:t xml:space="preserve">The platform presents two TEFCA areas in the left navigation. </w:t>
      </w:r>
      <w:r>
        <w:rPr>
          <w:rFonts w:ascii="Calibri" w:hAnsi="Calibri"/>
          <w:b/>
          <w:color w:val="000000"/>
          <w:sz w:val="22"/>
        </w:rPr>
        <w:t>They do different things, and confusing them is the most common new-user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p>
        </w:tc>
        <w:tc>
          <w:tcPr>
            <w:tcW w:type="dxa" w:w="3120"/>
            <w:shd w:val="clear" w:color="auto" w:fill="003087"/>
          </w:tcPr>
          <w:p>
            <w:pPr>
              <w:spacing w:after="40" w:before="40"/>
            </w:pPr>
            <w:r>
              <w:rPr>
                <w:rFonts w:ascii="Calibri" w:hAnsi="Calibri"/>
                <w:b/>
                <w:color w:val="FFFFFF"/>
                <w:sz w:val="20"/>
              </w:rPr>
              <w:t>TEFCA ARC</w:t>
            </w:r>
          </w:p>
        </w:tc>
        <w:tc>
          <w:tcPr>
            <w:tcW w:type="dxa" w:w="3120"/>
            <w:shd w:val="clear" w:color="auto" w:fill="003087"/>
          </w:tcPr>
          <w:p>
            <w:pPr>
              <w:spacing w:after="40" w:before="40"/>
            </w:pPr>
            <w:r>
              <w:rPr>
                <w:rFonts w:ascii="Calibri" w:hAnsi="Calibri"/>
                <w:b/>
                <w:color w:val="FFFFFF"/>
                <w:sz w:val="20"/>
              </w:rPr>
              <w:t>TEFCA Registry</w:t>
            </w:r>
          </w:p>
        </w:tc>
      </w:tr>
      <w:tr>
        <w:tc>
          <w:tcPr>
            <w:tcW w:type="dxa" w:w="3120"/>
          </w:tcPr>
          <w:p>
            <w:pPr>
              <w:spacing w:after="40" w:before="40"/>
            </w:pPr>
            <w:r>
              <w:rPr>
                <w:rFonts w:ascii="Calibri" w:hAnsi="Calibri"/>
                <w:b w:val="0"/>
                <w:color w:val="000000"/>
                <w:sz w:val="20"/>
              </w:rPr>
              <w:t>Navigation section</w:t>
            </w:r>
          </w:p>
        </w:tc>
        <w:tc>
          <w:tcPr>
            <w:tcW w:type="dxa" w:w="3120"/>
          </w:tcPr>
          <w:p>
            <w:pPr>
              <w:spacing w:after="40" w:before="40"/>
            </w:pPr>
            <w:r>
              <w:rPr>
                <w:rFonts w:ascii="Consolas" w:hAnsi="Consolas"/>
                <w:color w:val="000000"/>
                <w:sz w:val="20"/>
              </w:rPr>
              <w:t>TEFCA ARC</w:t>
            </w:r>
          </w:p>
        </w:tc>
        <w:tc>
          <w:tcPr>
            <w:tcW w:type="dxa" w:w="3120"/>
          </w:tcPr>
          <w:p>
            <w:pPr>
              <w:spacing w:after="40" w:before="40"/>
            </w:pPr>
            <w:r>
              <w:rPr>
                <w:rFonts w:ascii="Consolas" w:hAnsi="Consolas"/>
                <w:color w:val="000000"/>
                <w:sz w:val="20"/>
              </w:rPr>
              <w:t>TEFCA REGISTRY</w:t>
            </w:r>
          </w:p>
        </w:tc>
      </w:tr>
      <w:tr>
        <w:tc>
          <w:tcPr>
            <w:tcW w:type="dxa" w:w="3120"/>
            <w:shd w:val="clear" w:color="auto" w:fill="F2F5FA"/>
          </w:tcPr>
          <w:p>
            <w:pPr>
              <w:spacing w:after="40" w:before="40"/>
            </w:pPr>
            <w:r>
              <w:rPr>
                <w:rFonts w:ascii="Calibri" w:hAnsi="Calibri"/>
                <w:b w:val="0"/>
                <w:color w:val="000000"/>
                <w:sz w:val="20"/>
              </w:rPr>
              <w:t>Purpose</w:t>
            </w:r>
          </w:p>
        </w:tc>
        <w:tc>
          <w:tcPr>
            <w:tcW w:type="dxa" w:w="3120"/>
            <w:shd w:val="clear" w:color="auto" w:fill="F2F5FA"/>
          </w:tcPr>
          <w:p>
            <w:pPr>
              <w:spacing w:after="40" w:before="40"/>
            </w:pPr>
            <w:r>
              <w:rPr>
                <w:rFonts w:ascii="Calibri" w:hAnsi="Calibri"/>
                <w:b w:val="0"/>
                <w:color w:val="000000"/>
                <w:sz w:val="20"/>
              </w:rPr>
              <w:t>Audit, Review &amp; Compliance — the contract work</w:t>
            </w:r>
          </w:p>
        </w:tc>
        <w:tc>
          <w:tcPr>
            <w:tcW w:type="dxa" w:w="3120"/>
            <w:shd w:val="clear" w:color="auto" w:fill="F2F5FA"/>
          </w:tcPr>
          <w:p>
            <w:pPr>
              <w:spacing w:after="40" w:before="40"/>
            </w:pPr>
            <w:r>
              <w:rPr>
                <w:rFonts w:ascii="Calibri" w:hAnsi="Calibri"/>
                <w:b w:val="0"/>
                <w:color w:val="000000"/>
                <w:sz w:val="20"/>
              </w:rPr>
              <w:t>Entity registry browsing and structural data quality</w:t>
            </w:r>
          </w:p>
        </w:tc>
      </w:tr>
      <w:tr>
        <w:tc>
          <w:tcPr>
            <w:tcW w:type="dxa" w:w="3120"/>
          </w:tcPr>
          <w:p>
            <w:pPr>
              <w:spacing w:after="40" w:before="40"/>
            </w:pPr>
            <w:r>
              <w:rPr>
                <w:rFonts w:ascii="Calibri" w:hAnsi="Calibri"/>
                <w:b w:val="0"/>
                <w:color w:val="000000"/>
                <w:sz w:val="20"/>
              </w:rPr>
              <w:t>Queries federal sources?</w:t>
            </w:r>
          </w:p>
        </w:tc>
        <w:tc>
          <w:tcPr>
            <w:tcW w:type="dxa" w:w="3120"/>
          </w:tcPr>
          <w:p>
            <w:pPr>
              <w:spacing w:after="40" w:before="40"/>
            </w:pPr>
            <w:r>
              <w:rPr>
                <w:rFonts w:ascii="Calibri" w:hAnsi="Calibri"/>
                <w:b/>
                <w:color w:val="000000"/>
                <w:sz w:val="20"/>
              </w:rPr>
              <w:t>Yes</w:t>
            </w:r>
          </w:p>
        </w:tc>
        <w:tc>
          <w:tcPr>
            <w:tcW w:type="dxa" w:w="3120"/>
          </w:tcPr>
          <w:p>
            <w:pPr>
              <w:spacing w:after="40" w:before="40"/>
            </w:pPr>
            <w:r>
              <w:rPr>
                <w:rFonts w:ascii="Calibri" w:hAnsi="Calibri"/>
                <w:b/>
                <w:color w:val="000000"/>
                <w:sz w:val="20"/>
              </w:rPr>
              <w:t>No</w:t>
            </w:r>
          </w:p>
        </w:tc>
      </w:tr>
      <w:tr>
        <w:tc>
          <w:tcPr>
            <w:tcW w:type="dxa" w:w="3120"/>
            <w:shd w:val="clear" w:color="auto" w:fill="F2F5FA"/>
          </w:tcPr>
          <w:p>
            <w:pPr>
              <w:spacing w:after="40" w:before="40"/>
            </w:pPr>
            <w:r>
              <w:rPr>
                <w:rFonts w:ascii="Calibri" w:hAnsi="Calibri"/>
                <w:b w:val="0"/>
                <w:color w:val="000000"/>
                <w:sz w:val="20"/>
              </w:rPr>
              <w:t>Produces contract determinations?</w:t>
            </w:r>
          </w:p>
        </w:tc>
        <w:tc>
          <w:tcPr>
            <w:tcW w:type="dxa" w:w="3120"/>
            <w:shd w:val="clear" w:color="auto" w:fill="F2F5FA"/>
          </w:tcPr>
          <w:p>
            <w:pPr>
              <w:spacing w:after="40" w:before="40"/>
            </w:pPr>
            <w:r>
              <w:rPr>
                <w:rFonts w:ascii="Calibri" w:hAnsi="Calibri"/>
                <w:b/>
                <w:color w:val="000000"/>
                <w:sz w:val="20"/>
              </w:rPr>
              <w:t>Yes</w:t>
            </w:r>
          </w:p>
        </w:tc>
        <w:tc>
          <w:tcPr>
            <w:tcW w:type="dxa" w:w="3120"/>
            <w:shd w:val="clear" w:color="auto" w:fill="F2F5FA"/>
          </w:tcPr>
          <w:p>
            <w:pPr>
              <w:spacing w:after="40" w:before="40"/>
            </w:pPr>
            <w:r>
              <w:rPr>
                <w:rFonts w:ascii="Calibri" w:hAnsi="Calibri"/>
                <w:b w:val="0"/>
                <w:color w:val="000000"/>
                <w:sz w:val="20"/>
              </w:rPr>
              <w:t>No</w:t>
            </w:r>
          </w:p>
        </w:tc>
      </w:tr>
      <w:tr>
        <w:tc>
          <w:tcPr>
            <w:tcW w:type="dxa" w:w="3120"/>
          </w:tcPr>
          <w:p>
            <w:pPr>
              <w:spacing w:after="40" w:before="40"/>
            </w:pPr>
            <w:r>
              <w:rPr>
                <w:rFonts w:ascii="Calibri" w:hAnsi="Calibri"/>
                <w:b w:val="0"/>
                <w:color w:val="000000"/>
                <w:sz w:val="20"/>
              </w:rPr>
              <w:t>Produces deliverable reports?</w:t>
            </w:r>
          </w:p>
        </w:tc>
        <w:tc>
          <w:tcPr>
            <w:tcW w:type="dxa" w:w="3120"/>
          </w:tcPr>
          <w:p>
            <w:pPr>
              <w:spacing w:after="40" w:before="40"/>
            </w:pPr>
            <w:r>
              <w:rPr>
                <w:rFonts w:ascii="Calibri" w:hAnsi="Calibri"/>
                <w:b/>
                <w:color w:val="000000"/>
                <w:sz w:val="20"/>
              </w:rPr>
              <w:t>Yes</w:t>
            </w:r>
          </w:p>
        </w:tc>
        <w:tc>
          <w:tcPr>
            <w:tcW w:type="dxa" w:w="3120"/>
          </w:tcPr>
          <w:p>
            <w:pPr>
              <w:spacing w:after="40" w:before="40"/>
            </w:pPr>
            <w:r>
              <w:rPr>
                <w:rFonts w:ascii="Calibri" w:hAnsi="Calibri"/>
                <w:b w:val="0"/>
                <w:color w:val="000000"/>
                <w:sz w:val="20"/>
              </w:rPr>
              <w:t>No</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REGISTRY "VERIFY" IS NOT AUTHORITATIVE VERIFICATION</w:t>
            </w:r>
          </w:p>
          <w:p>
            <w:pPr>
              <w:spacing w:after="60" w:before="0"/>
            </w:pPr>
            <w:r>
              <w:rPr>
                <w:rFonts w:ascii="Calibri" w:hAnsi="Calibri"/>
                <w:b w:val="0"/>
                <w:color w:val="000000"/>
                <w:sz w:val="21"/>
              </w:rPr>
              <w:t>The Registry Verify function performs internal structural data-quality checks only. It does NOT query external authoritative sources. External verification is performed through the ARC module.</w:t>
            </w:r>
          </w:p>
          <w:p>
            <w:pPr>
              <w:spacing w:after="0" w:before="0"/>
            </w:pPr>
            <w:r>
              <w:rPr>
                <w:rFonts w:ascii="Calibri" w:hAnsi="Calibri"/>
                <w:b w:val="0"/>
                <w:color w:val="000000"/>
                <w:sz w:val="21"/>
              </w:rPr>
              <w:t>A Registry verification result tells you whether an entity's record is internally well-formed — identifiers present and valid, hierarchy intact, no duplicates. It tells you nothing about whether the organization exists, is active, or is excluded. Never present a Registry result as a verification determination.</w:t>
            </w:r>
          </w:p>
        </w:tc>
      </w:tr>
    </w:tbl>
    <w:p>
      <w:pPr>
        <w:spacing w:after="80"/>
      </w:pPr>
    </w:p>
    <w:p>
      <w:pPr>
        <w:spacing w:after="120" w:before="0"/>
      </w:pPr>
      <w:r>
        <w:rPr>
          <w:rFonts w:ascii="Calibri" w:hAnsi="Calibri"/>
          <w:b/>
          <w:color w:val="000000"/>
          <w:sz w:val="22"/>
        </w:rPr>
        <w:t>Technical / Administrator Note.</w:t>
      </w:r>
      <w:r>
        <w:rPr>
          <w:rFonts w:ascii="Calibri" w:hAnsi="Calibri"/>
          <w:b w:val="0"/>
          <w:color w:val="000000"/>
          <w:sz w:val="22"/>
        </w:rPr>
        <w:t xml:space="preserve"> The two areas are separate backend modules with separate routers: ARC at </w:t>
      </w:r>
      <w:r>
        <w:rPr>
          <w:rFonts w:ascii="Consolas" w:hAnsi="Consolas"/>
          <w:color w:val="000000"/>
          <w:sz w:val="22"/>
        </w:rPr>
        <w:t>/api/v1/tefca/*</w:t>
      </w:r>
      <w:r>
        <w:rPr>
          <w:rFonts w:ascii="Calibri" w:hAnsi="Calibri"/>
          <w:b w:val="0"/>
          <w:color w:val="000000"/>
          <w:sz w:val="22"/>
        </w:rPr>
        <w:t xml:space="preserve"> and </w:t>
      </w:r>
      <w:r>
        <w:rPr>
          <w:rFonts w:ascii="Consolas" w:hAnsi="Consolas"/>
          <w:color w:val="000000"/>
          <w:sz w:val="22"/>
        </w:rPr>
        <w:t>/api/tefca/*</w:t>
      </w:r>
      <w:r>
        <w:rPr>
          <w:rFonts w:ascii="Calibri" w:hAnsi="Calibri"/>
          <w:b w:val="0"/>
          <w:color w:val="000000"/>
          <w:sz w:val="22"/>
        </w:rPr>
        <w:t xml:space="preserve">; Registry at </w:t>
      </w:r>
      <w:r>
        <w:rPr>
          <w:rFonts w:ascii="Consolas" w:hAnsi="Consolas"/>
          <w:color w:val="000000"/>
          <w:sz w:val="22"/>
        </w:rPr>
        <w:t>/api/tefca/registry/*</w:t>
      </w:r>
      <w:r>
        <w:rPr>
          <w:rFonts w:ascii="Calibri" w:hAnsi="Calibri"/>
          <w:b w:val="0"/>
          <w:color w:val="000000"/>
          <w:sz w:val="22"/>
        </w:rPr>
        <w:t xml:space="preserve"> and </w:t>
      </w:r>
      <w:r>
        <w:rPr>
          <w:rFonts w:ascii="Consolas" w:hAnsi="Consolas"/>
          <w:color w:val="000000"/>
          <w:sz w:val="22"/>
        </w:rPr>
        <w:t>/api/tefca/arc/*</w:t>
      </w:r>
      <w:r>
        <w:rPr>
          <w:rFonts w:ascii="Calibri" w:hAnsi="Calibri"/>
          <w:b w:val="0"/>
          <w:color w:val="000000"/>
          <w:sz w:val="22"/>
        </w:rPr>
        <w:t xml:space="preserve">. The Registry verification engine implements identity and hierarchy rules only; its external-source path is present as plumbing and records a </w:t>
      </w:r>
      <w:r>
        <w:rPr>
          <w:rFonts w:ascii="Consolas" w:hAnsi="Consolas"/>
          <w:color w:val="000000"/>
          <w:sz w:val="22"/>
        </w:rPr>
        <w:t>skipped</w:t>
      </w:r>
      <w:r>
        <w:rPr>
          <w:rFonts w:ascii="Calibri" w:hAnsi="Calibri"/>
          <w:b w:val="0"/>
          <w:color w:val="000000"/>
          <w:sz w:val="22"/>
        </w:rPr>
        <w:t xml:space="preserve"> result with an explanatory note rather than calling any source.</w:t>
      </w:r>
    </w:p>
    <w:p>
      <w:r>
        <w:br w:type="page"/>
      </w:r>
    </w:p>
    <w:p>
      <w:pPr>
        <w:pStyle w:val="Heading1"/>
        <w:keepNext/>
        <w:spacing w:before="280" w:after="120"/>
        <w:outlineLvl w:val="0"/>
      </w:pPr>
      <w:r>
        <w:rPr>
          <w:rFonts w:ascii="Calibri" w:hAnsi="Calibri"/>
          <w:b/>
          <w:color w:val="003087"/>
          <w:sz w:val="28"/>
        </w:rPr>
        <w:t>4. Understanding the End-to-End Workflow</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PRE-PRODUCTION DEMONSTRATION MODE</w:t>
            </w:r>
          </w:p>
          <w:p>
            <w:pPr>
              <w:spacing w:after="0" w:before="0"/>
            </w:pPr>
            <w:r>
              <w:rPr>
                <w:rFonts w:ascii="Calibri" w:hAnsi="Calibri"/>
                <w:b w:val="0"/>
                <w:color w:val="000000"/>
                <w:sz w:val="21"/>
              </w:rPr>
              <w:t>The workflow below is fully implemented and operating, but it is currently running against synthetic demonstration data on both environments. No ONC entity population data has been received. Results produced today demonstrate operational readiness; they are not official production verification determinations. Every report is stamped "MOCK — demonstration data only. Do not use for operational decisions."</w:t>
            </w:r>
          </w:p>
        </w:tc>
      </w:tr>
    </w:tbl>
    <w:p>
      <w:pPr>
        <w:spacing w:after="80"/>
      </w:pPr>
    </w:p>
    <w:p>
      <w:pPr>
        <w:pStyle w:val="Heading2"/>
        <w:keepNext/>
        <w:spacing w:before="200" w:after="120"/>
        <w:outlineLvl w:val="1"/>
      </w:pPr>
      <w:r>
        <w:rPr>
          <w:rFonts w:ascii="Calibri" w:hAnsi="Calibri"/>
          <w:b/>
          <w:color w:val="003087"/>
          <w:sz w:val="25"/>
        </w:rPr>
        <w:t>4.1 The workflow as implemented</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ENTITY POPULATION</w:t>
            </w:r>
          </w:p>
          <w:p>
            <w:pPr>
              <w:spacing w:after="0" w:before="0"/>
            </w:pPr>
            <w:r>
              <w:rPr>
                <w:rFonts w:ascii="Consolas" w:hAnsi="Consolas"/>
                <w:color w:val="444444"/>
                <w:sz w:val="16"/>
              </w:rPr>
              <w:t xml:space="preserve">  Entity data provided by ONC</w:t>
            </w:r>
          </w:p>
          <w:p>
            <w:pPr>
              <w:spacing w:after="0" w:before="0"/>
            </w:pPr>
            <w:r>
              <w:rPr>
                <w:rFonts w:ascii="Consolas" w:hAnsi="Consolas"/>
                <w:color w:val="444444"/>
                <w:sz w:val="16"/>
              </w:rPr>
              <w:t xml:space="preserve">  (currently: bundled demonstration dataset)</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IMPORT</w:t>
            </w:r>
          </w:p>
          <w:p>
            <w:pPr>
              <w:spacing w:after="0" w:before="0"/>
            </w:pPr>
            <w:r>
              <w:rPr>
                <w:rFonts w:ascii="Consolas" w:hAnsi="Consolas"/>
                <w:color w:val="444444"/>
                <w:sz w:val="16"/>
              </w:rPr>
              <w:t xml:space="preserve">  CSV, Excel, JSON, or FHIR R4 bundle upload</w:t>
            </w:r>
          </w:p>
          <w:p>
            <w:pPr>
              <w:spacing w:after="0" w:before="0"/>
            </w:pPr>
            <w:r>
              <w:rPr>
                <w:rFonts w:ascii="Consolas" w:hAnsi="Consolas"/>
                <w:color w:val="444444"/>
                <w:sz w:val="16"/>
              </w:rPr>
              <w:t xml:space="preserve">  Schema validation - duplicate detection - batch recorded</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SAMPLE SELECTION</w:t>
            </w:r>
          </w:p>
          <w:p>
            <w:pPr>
              <w:spacing w:after="0" w:before="0"/>
            </w:pPr>
            <w:r>
              <w:rPr>
                <w:rFonts w:ascii="Consolas" w:hAnsi="Consolas"/>
                <w:color w:val="444444"/>
                <w:sz w:val="16"/>
              </w:rPr>
              <w:t xml:space="preserve">  Cochran sample size with finite population correction</w:t>
            </w:r>
          </w:p>
          <w:p>
            <w:pPr>
              <w:spacing w:after="0" w:before="0"/>
            </w:pPr>
            <w:r>
              <w:rPr>
                <w:rFonts w:ascii="Consolas" w:hAnsi="Consolas"/>
                <w:color w:val="444444"/>
                <w:sz w:val="16"/>
              </w:rPr>
              <w:t xml:space="preserve">  Seeded and reproducible; seed stored with the sample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SOURCE VERIFICATION (concurrent)</w:t>
            </w:r>
          </w:p>
          <w:p>
            <w:pPr>
              <w:spacing w:after="0" w:before="0"/>
            </w:pPr>
            <w:r>
              <w:rPr>
                <w:rFonts w:ascii="Consolas" w:hAnsi="Consolas"/>
                <w:color w:val="444444"/>
                <w:sz w:val="16"/>
              </w:rPr>
              <w:t xml:space="preserve">  NPPES  --  OIG LEIE  --  Medicare enrollment indicator  --  SAM.gov</w:t>
            </w:r>
          </w:p>
          <w:p>
            <w:pPr>
              <w:spacing w:after="0" w:before="0"/>
            </w:pPr>
            <w:r>
              <w:rPr>
                <w:rFonts w:ascii="Consolas" w:hAnsi="Consolas"/>
                <w:color w:val="444444"/>
                <w:sz w:val="16"/>
              </w:rPr>
              <w:t xml:space="preserve">  Each source returns one of five states:</w:t>
            </w:r>
          </w:p>
          <w:p>
            <w:pPr>
              <w:spacing w:after="0" w:before="0"/>
            </w:pPr>
            <w:r>
              <w:rPr>
                <w:rFonts w:ascii="Consolas" w:hAnsi="Consolas"/>
                <w:color w:val="444444"/>
                <w:sz w:val="16"/>
              </w:rPr>
              <w:t xml:space="preserve">  verified | not_found | not_checked | unavailable | failed</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COMPARISON</w:t>
            </w:r>
          </w:p>
          <w:p>
            <w:pPr>
              <w:spacing w:after="0" w:before="0"/>
            </w:pPr>
            <w:r>
              <w:rPr>
                <w:rFonts w:ascii="Consolas" w:hAnsi="Consolas"/>
                <w:color w:val="444444"/>
                <w:sz w:val="16"/>
              </w:rPr>
              <w:t xml:space="preserve">  Name matching - address cross-reference - NPI validity</w:t>
            </w:r>
          </w:p>
          <w:p>
            <w:pPr>
              <w:spacing w:after="0" w:before="0"/>
            </w:pPr>
            <w:r>
              <w:rPr>
                <w:rFonts w:ascii="Consolas" w:hAnsi="Consolas"/>
                <w:color w:val="444444"/>
                <w:sz w:val="16"/>
              </w:rPr>
              <w:t xml:space="preserve">  identifier duplication - entity type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CLASSIFICATION</w:t>
            </w:r>
          </w:p>
          <w:p>
            <w:pPr>
              <w:spacing w:after="0" w:before="0"/>
            </w:pPr>
            <w:r>
              <w:rPr>
                <w:rFonts w:ascii="Consolas" w:hAnsi="Consolas"/>
                <w:color w:val="444444"/>
                <w:sz w:val="16"/>
              </w:rPr>
              <w:t xml:space="preserve">  Findings -&gt; Bucket (B1..B4, worst finding wins) -&gt; Confidence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COVERAGE TEST                     +--&gt; any required source unavailable?</w:t>
            </w:r>
          </w:p>
          <w:p>
            <w:pPr>
              <w:spacing w:after="0" w:before="0"/>
            </w:pPr>
            <w:r>
              <w:rPr>
                <w:rFonts w:ascii="Consolas" w:hAnsi="Consolas"/>
                <w:color w:val="444444"/>
                <w:sz w:val="16"/>
              </w:rPr>
              <w:t xml:space="preserve">  Were all required sources          |    YES -&gt; INDETERMINATE</w:t>
            </w:r>
          </w:p>
          <w:p>
            <w:pPr>
              <w:spacing w:after="0" w:before="0"/>
            </w:pPr>
            <w:r>
              <w:rPr>
                <w:rFonts w:ascii="Consolas" w:hAnsi="Consolas"/>
                <w:color w:val="444444"/>
                <w:sz w:val="16"/>
              </w:rPr>
              <w:t xml:space="preserve">  actually answered?                 |    Never auto-classified</w:t>
            </w:r>
          </w:p>
          <w:p>
            <w:pPr>
              <w:spacing w:after="0" w:before="0"/>
            </w:pPr>
            <w:r>
              <w:rPr>
                <w:rFonts w:ascii="Consolas" w:hAnsi="Consolas"/>
                <w:color w:val="444444"/>
                <w:sz w:val="16"/>
              </w:rPr>
              <w:t xml:space="preserve">            |                        |    Always routed to a human</w:t>
            </w:r>
          </w:p>
          <w:p>
            <w:pPr>
              <w:spacing w:after="0" w:before="0"/>
            </w:pPr>
            <w:r>
              <w:rPr>
                <w:rFonts w:ascii="Consolas" w:hAnsi="Consolas"/>
                <w:color w:val="444444"/>
                <w:sz w:val="16"/>
              </w:rPr>
              <w:t xml:space="preserve">            v                        |</w:t>
            </w:r>
          </w:p>
          <w:p>
            <w:pPr>
              <w:spacing w:after="0" w:before="0"/>
            </w:pPr>
            <w:r>
              <w:rPr>
                <w:rFonts w:ascii="Consolas" w:hAnsi="Consolas"/>
                <w:color w:val="444444"/>
                <w:sz w:val="16"/>
              </w:rPr>
              <w:t xml:space="preserve">  TIER ROUTING &lt;---------------------+</w:t>
            </w:r>
          </w:p>
          <w:p>
            <w:pPr>
              <w:spacing w:after="0" w:before="0"/>
            </w:pPr>
            <w:r>
              <w:rPr>
                <w:rFonts w:ascii="Consolas" w:hAnsi="Consolas"/>
                <w:color w:val="444444"/>
                <w:sz w:val="16"/>
              </w:rPr>
              <w:t xml:space="preserve">  Tier 1  B1 + confidence &gt;= 0.95 + full coverage -&gt; auto-complete</w:t>
            </w:r>
          </w:p>
          <w:p>
            <w:pPr>
              <w:spacing w:after="0" w:before="0"/>
            </w:pPr>
            <w:r>
              <w:rPr>
                <w:rFonts w:ascii="Consolas" w:hAnsi="Consolas"/>
                <w:color w:val="444444"/>
                <w:sz w:val="16"/>
              </w:rPr>
              <w:t xml:space="preserve">  Tier 2  B2, B3, indeterminate, or low confidence -&gt; analyst review</w:t>
            </w:r>
          </w:p>
          <w:p>
            <w:pPr>
              <w:spacing w:after="0" w:before="0"/>
            </w:pPr>
            <w:r>
              <w:rPr>
                <w:rFonts w:ascii="Consolas" w:hAnsi="Consolas"/>
                <w:color w:val="444444"/>
                <w:sz w:val="16"/>
              </w:rPr>
              <w:t xml:space="preserve">  Tier 3  B4 -&gt; escalation</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HUMAN REVIEW</w:t>
            </w:r>
          </w:p>
          <w:p>
            <w:pPr>
              <w:spacing w:after="0" w:before="0"/>
            </w:pPr>
            <w:r>
              <w:rPr>
                <w:rFonts w:ascii="Consolas" w:hAnsi="Consolas"/>
                <w:color w:val="444444"/>
                <w:sz w:val="16"/>
              </w:rPr>
              <w:t xml:space="preserve">  Analyst confirms the classification or reclassifies it</w:t>
            </w:r>
          </w:p>
          <w:p>
            <w:pPr>
              <w:spacing w:after="0" w:before="0"/>
            </w:pPr>
            <w:r>
              <w:rPr>
                <w:rFonts w:ascii="Consolas" w:hAnsi="Consolas"/>
                <w:color w:val="444444"/>
                <w:sz w:val="16"/>
              </w:rPr>
              <w:t xml:space="preserve">  Written rationale is mandatory</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QA GATES</w:t>
            </w:r>
          </w:p>
          <w:p>
            <w:pPr>
              <w:spacing w:after="0" w:before="0"/>
            </w:pPr>
            <w:r>
              <w:rPr>
                <w:rFonts w:ascii="Consolas" w:hAnsi="Consolas"/>
                <w:color w:val="444444"/>
                <w:sz w:val="16"/>
              </w:rPr>
              <w:t xml:space="preserve">  Evidence completeness - internal consistency - sampling validity</w:t>
            </w:r>
          </w:p>
          <w:p>
            <w:pPr>
              <w:spacing w:after="0" w:before="0"/>
            </w:pPr>
            <w:r>
              <w:rPr>
                <w:rFonts w:ascii="Consolas" w:hAnsi="Consolas"/>
                <w:color w:val="444444"/>
                <w:sz w:val="16"/>
              </w:rPr>
              <w:t xml:space="preserve">  inter-rater agreement - SLA - regression - report gate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REPORTING</w:t>
            </w:r>
          </w:p>
          <w:p>
            <w:pPr>
              <w:spacing w:after="0" w:before="0"/>
            </w:pPr>
            <w:r>
              <w:rPr>
                <w:rFonts w:ascii="Consolas" w:hAnsi="Consolas"/>
                <w:color w:val="444444"/>
                <w:sz w:val="16"/>
              </w:rPr>
              <w:t xml:space="preserve">  Weekly - Biweekly - Quarterly - Final</w:t>
            </w:r>
          </w:p>
          <w:p>
            <w:pPr>
              <w:spacing w:after="0" w:before="0"/>
            </w:pPr>
            <w:r>
              <w:rPr>
                <w:rFonts w:ascii="Consolas" w:hAnsi="Consolas"/>
                <w:color w:val="444444"/>
                <w:sz w:val="16"/>
              </w:rPr>
              <w:t xml:space="preserve">  CSV, PDF, DOCX, Excel, HTML</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AUDIT RECORD</w:t>
            </w:r>
          </w:p>
          <w:p>
            <w:pPr>
              <w:spacing w:after="0" w:before="0"/>
            </w:pPr>
            <w:r>
              <w:rPr>
                <w:rFonts w:ascii="Consolas" w:hAnsi="Consolas"/>
                <w:color w:val="444444"/>
                <w:sz w:val="16"/>
              </w:rPr>
              <w:t xml:space="preserve">  Every step written append-only with actor, timestamp, and detail</w:t>
            </w:r>
          </w:p>
        </w:tc>
      </w:tr>
    </w:tbl>
    <w:p>
      <w:pPr>
        <w:spacing w:after="80"/>
      </w:pPr>
    </w:p>
    <w:p>
      <w:pPr>
        <w:pStyle w:val="Heading2"/>
        <w:keepNext/>
        <w:spacing w:before="200" w:after="120"/>
        <w:outlineLvl w:val="1"/>
      </w:pPr>
      <w:r>
        <w:rPr>
          <w:rFonts w:ascii="Calibri" w:hAnsi="Calibri"/>
          <w:b/>
          <w:color w:val="003087"/>
          <w:sz w:val="25"/>
        </w:rPr>
        <w:t>4.2 Why each step exists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Step</w:t>
            </w:r>
          </w:p>
        </w:tc>
        <w:tc>
          <w:tcPr>
            <w:tcW w:type="dxa" w:w="4680"/>
            <w:shd w:val="clear" w:color="auto" w:fill="003087"/>
          </w:tcPr>
          <w:p>
            <w:pPr>
              <w:spacing w:after="40" w:before="40"/>
            </w:pPr>
            <w:r>
              <w:rPr>
                <w:rFonts w:ascii="Calibri" w:hAnsi="Calibri"/>
                <w:b/>
                <w:color w:val="FFFFFF"/>
                <w:sz w:val="20"/>
              </w:rPr>
              <w:t>Why it is there</w:t>
            </w:r>
          </w:p>
        </w:tc>
      </w:tr>
      <w:tr>
        <w:tc>
          <w:tcPr>
            <w:tcW w:type="dxa" w:w="4680"/>
          </w:tcPr>
          <w:p>
            <w:pPr>
              <w:spacing w:after="40" w:before="40"/>
            </w:pPr>
            <w:r>
              <w:rPr>
                <w:rFonts w:ascii="Calibri" w:hAnsi="Calibri"/>
                <w:b/>
                <w:color w:val="000000"/>
                <w:sz w:val="20"/>
              </w:rPr>
              <w:t>Import with validation</w:t>
            </w:r>
          </w:p>
        </w:tc>
        <w:tc>
          <w:tcPr>
            <w:tcW w:type="dxa" w:w="4680"/>
          </w:tcPr>
          <w:p>
            <w:pPr>
              <w:spacing w:after="40" w:before="40"/>
            </w:pPr>
            <w:r>
              <w:rPr>
                <w:rFonts w:ascii="Calibri" w:hAnsi="Calibri"/>
                <w:b w:val="0"/>
                <w:color w:val="000000"/>
                <w:sz w:val="20"/>
              </w:rPr>
              <w:t>Bad input silently becomes bad findings. Schema validation and duplicate detection catch the problem at the door, and the import batch is recorded so any later finding can be traced to the file it came from.</w:t>
            </w:r>
          </w:p>
        </w:tc>
      </w:tr>
      <w:tr>
        <w:tc>
          <w:tcPr>
            <w:tcW w:type="dxa" w:w="4680"/>
            <w:shd w:val="clear" w:color="auto" w:fill="F2F5FA"/>
          </w:tcPr>
          <w:p>
            <w:pPr>
              <w:spacing w:after="40" w:before="40"/>
            </w:pPr>
            <w:r>
              <w:rPr>
                <w:rFonts w:ascii="Calibri" w:hAnsi="Calibri"/>
                <w:b/>
                <w:color w:val="000000"/>
                <w:sz w:val="20"/>
              </w:rPr>
              <w:t>Statistical sampling</w:t>
            </w:r>
          </w:p>
        </w:tc>
        <w:tc>
          <w:tcPr>
            <w:tcW w:type="dxa" w:w="4680"/>
            <w:shd w:val="clear" w:color="auto" w:fill="F2F5FA"/>
          </w:tcPr>
          <w:p>
            <w:pPr>
              <w:spacing w:after="40" w:before="40"/>
            </w:pPr>
            <w:r>
              <w:rPr>
                <w:rFonts w:ascii="Calibri" w:hAnsi="Calibri"/>
                <w:b w:val="0"/>
                <w:color w:val="000000"/>
                <w:sz w:val="20"/>
              </w:rPr>
              <w:t>The registry population is far too large to review entity by entity. A Cochran sample with finite population correction gives a defensible, quantified confidence level. Seeding the draw means a reviewer can reproduce it — "trust me, it was random" is not evidence.</w:t>
            </w:r>
          </w:p>
        </w:tc>
      </w:tr>
      <w:tr>
        <w:tc>
          <w:tcPr>
            <w:tcW w:type="dxa" w:w="4680"/>
          </w:tcPr>
          <w:p>
            <w:pPr>
              <w:spacing w:after="40" w:before="40"/>
            </w:pPr>
            <w:r>
              <w:rPr>
                <w:rFonts w:ascii="Calibri" w:hAnsi="Calibri"/>
                <w:b/>
                <w:color w:val="000000"/>
                <w:sz w:val="20"/>
              </w:rPr>
              <w:t>Concurrent source queries</w:t>
            </w:r>
          </w:p>
        </w:tc>
        <w:tc>
          <w:tcPr>
            <w:tcW w:type="dxa" w:w="4680"/>
          </w:tcPr>
          <w:p>
            <w:pPr>
              <w:spacing w:after="40" w:before="40"/>
            </w:pPr>
            <w:r>
              <w:rPr>
                <w:rFonts w:ascii="Calibri" w:hAnsi="Calibri"/>
                <w:b w:val="0"/>
                <w:color w:val="000000"/>
                <w:sz w:val="20"/>
              </w:rPr>
              <w:t>Sources are queried in parallel because a sequential run over thousands of entities would not finish inside a review cycle. Each source's result is recorded separately so a later reader can see exactly who said what.</w:t>
            </w:r>
          </w:p>
        </w:tc>
      </w:tr>
      <w:tr>
        <w:tc>
          <w:tcPr>
            <w:tcW w:type="dxa" w:w="4680"/>
            <w:shd w:val="clear" w:color="auto" w:fill="F2F5FA"/>
          </w:tcPr>
          <w:p>
            <w:pPr>
              <w:spacing w:after="40" w:before="40"/>
            </w:pPr>
            <w:r>
              <w:rPr>
                <w:rFonts w:ascii="Calibri" w:hAnsi="Calibri"/>
                <w:b/>
                <w:color w:val="000000"/>
                <w:sz w:val="20"/>
              </w:rPr>
              <w:t>Five source states, not two</w:t>
            </w:r>
          </w:p>
        </w:tc>
        <w:tc>
          <w:tcPr>
            <w:tcW w:type="dxa" w:w="4680"/>
            <w:shd w:val="clear" w:color="auto" w:fill="F2F5FA"/>
          </w:tcPr>
          <w:p>
            <w:pPr>
              <w:spacing w:after="40" w:before="40"/>
            </w:pPr>
            <w:r>
              <w:rPr>
                <w:rFonts w:ascii="Calibri" w:hAnsi="Calibri"/>
                <w:b w:val="0"/>
                <w:color w:val="000000"/>
                <w:sz w:val="20"/>
              </w:rPr>
              <w:t>The critical distinction is between *the source says no* and *the source did not answer*. Collapsing those into a single "fail" would count a federal outage against an entity. The system keeps them apart end to end.</w:t>
            </w:r>
          </w:p>
        </w:tc>
      </w:tr>
      <w:tr>
        <w:tc>
          <w:tcPr>
            <w:tcW w:type="dxa" w:w="4680"/>
          </w:tcPr>
          <w:p>
            <w:pPr>
              <w:spacing w:after="40" w:before="40"/>
            </w:pPr>
            <w:r>
              <w:rPr>
                <w:rFonts w:ascii="Calibri" w:hAnsi="Calibri"/>
                <w:b/>
                <w:color w:val="000000"/>
                <w:sz w:val="20"/>
              </w:rPr>
              <w:t>Worst-finding-wins bucketing</w:t>
            </w:r>
          </w:p>
        </w:tc>
        <w:tc>
          <w:tcPr>
            <w:tcW w:type="dxa" w:w="4680"/>
          </w:tcPr>
          <w:p>
            <w:pPr>
              <w:spacing w:after="40" w:before="40"/>
            </w:pPr>
            <w:r>
              <w:rPr>
                <w:rFonts w:ascii="Calibri" w:hAnsi="Calibri"/>
                <w:b w:val="0"/>
                <w:color w:val="000000"/>
                <w:sz w:val="20"/>
              </w:rPr>
              <w:t>One serious problem is not offset by several clean checks. An active exclusion makes the entity B4 regardless of how well everything else matched.</w:t>
            </w:r>
          </w:p>
        </w:tc>
      </w:tr>
      <w:tr>
        <w:tc>
          <w:tcPr>
            <w:tcW w:type="dxa" w:w="4680"/>
            <w:shd w:val="clear" w:color="auto" w:fill="F2F5FA"/>
          </w:tcPr>
          <w:p>
            <w:pPr>
              <w:spacing w:after="40" w:before="40"/>
            </w:pPr>
            <w:r>
              <w:rPr>
                <w:rFonts w:ascii="Calibri" w:hAnsi="Calibri"/>
                <w:b/>
                <w:color w:val="000000"/>
                <w:sz w:val="20"/>
              </w:rPr>
              <w:t>The coverage test</w:t>
            </w:r>
          </w:p>
        </w:tc>
        <w:tc>
          <w:tcPr>
            <w:tcW w:type="dxa" w:w="4680"/>
            <w:shd w:val="clear" w:color="auto" w:fill="F2F5FA"/>
          </w:tcPr>
          <w:p>
            <w:pPr>
              <w:spacing w:after="40" w:before="40"/>
            </w:pPr>
            <w:r>
              <w:rPr>
                <w:rFonts w:ascii="Calibri" w:hAnsi="Calibri"/>
                <w:b w:val="0"/>
                <w:color w:val="000000"/>
                <w:sz w:val="20"/>
              </w:rPr>
              <w:t>This is the control that prevents the most dangerous failure mode: a record looking clean because the source that would have flagged it was down. If a required source did not answer, the result is marked Indeterminate and can never be auto-completed.</w:t>
            </w:r>
          </w:p>
        </w:tc>
      </w:tr>
      <w:tr>
        <w:tc>
          <w:tcPr>
            <w:tcW w:type="dxa" w:w="4680"/>
          </w:tcPr>
          <w:p>
            <w:pPr>
              <w:spacing w:after="40" w:before="40"/>
            </w:pPr>
            <w:r>
              <w:rPr>
                <w:rFonts w:ascii="Calibri" w:hAnsi="Calibri"/>
                <w:b/>
                <w:color w:val="000000"/>
                <w:sz w:val="20"/>
              </w:rPr>
              <w:t>Tier routing</w:t>
            </w:r>
          </w:p>
        </w:tc>
        <w:tc>
          <w:tcPr>
            <w:tcW w:type="dxa" w:w="4680"/>
          </w:tcPr>
          <w:p>
            <w:pPr>
              <w:spacing w:after="40" w:before="40"/>
            </w:pPr>
            <w:r>
              <w:rPr>
                <w:rFonts w:ascii="Calibri" w:hAnsi="Calibri"/>
                <w:b w:val="0"/>
                <w:color w:val="000000"/>
                <w:sz w:val="20"/>
              </w:rPr>
              <w:t>Only an unambiguous, fully corroborated, high-confidence clean record completes without a human. Everything else reaches a person.</w:t>
            </w:r>
          </w:p>
        </w:tc>
      </w:tr>
      <w:tr>
        <w:tc>
          <w:tcPr>
            <w:tcW w:type="dxa" w:w="4680"/>
            <w:shd w:val="clear" w:color="auto" w:fill="F2F5FA"/>
          </w:tcPr>
          <w:p>
            <w:pPr>
              <w:spacing w:after="40" w:before="40"/>
            </w:pPr>
            <w:r>
              <w:rPr>
                <w:rFonts w:ascii="Calibri" w:hAnsi="Calibri"/>
                <w:b/>
                <w:color w:val="000000"/>
                <w:sz w:val="20"/>
              </w:rPr>
              <w:t>Mandatory rationale</w:t>
            </w:r>
          </w:p>
        </w:tc>
        <w:tc>
          <w:tcPr>
            <w:tcW w:type="dxa" w:w="4680"/>
            <w:shd w:val="clear" w:color="auto" w:fill="F2F5FA"/>
          </w:tcPr>
          <w:p>
            <w:pPr>
              <w:spacing w:after="40" w:before="40"/>
            </w:pPr>
            <w:r>
              <w:rPr>
                <w:rFonts w:ascii="Calibri" w:hAnsi="Calibri"/>
                <w:b w:val="0"/>
                <w:color w:val="000000"/>
                <w:sz w:val="20"/>
              </w:rPr>
              <w:t>A determination without a recorded reason cannot be defended a year later, and cannot be reviewed by QA.</w:t>
            </w:r>
          </w:p>
        </w:tc>
      </w:tr>
      <w:tr>
        <w:tc>
          <w:tcPr>
            <w:tcW w:type="dxa" w:w="4680"/>
          </w:tcPr>
          <w:p>
            <w:pPr>
              <w:spacing w:after="40" w:before="40"/>
            </w:pPr>
            <w:r>
              <w:rPr>
                <w:rFonts w:ascii="Calibri" w:hAnsi="Calibri"/>
                <w:b/>
                <w:color w:val="000000"/>
                <w:sz w:val="20"/>
              </w:rPr>
              <w:t>QA gates</w:t>
            </w:r>
          </w:p>
        </w:tc>
        <w:tc>
          <w:tcPr>
            <w:tcW w:type="dxa" w:w="4680"/>
          </w:tcPr>
          <w:p>
            <w:pPr>
              <w:spacing w:after="40" w:before="40"/>
            </w:pPr>
            <w:r>
              <w:rPr>
                <w:rFonts w:ascii="Calibri" w:hAnsi="Calibri"/>
                <w:b w:val="0"/>
                <w:color w:val="000000"/>
                <w:sz w:val="20"/>
              </w:rPr>
              <w:t>Independent checks on the review process itself — not the entities — so systematic reviewer error is caught before it reaches a deliverable.</w:t>
            </w:r>
          </w:p>
        </w:tc>
      </w:tr>
      <w:tr>
        <w:tc>
          <w:tcPr>
            <w:tcW w:type="dxa" w:w="4680"/>
            <w:shd w:val="clear" w:color="auto" w:fill="F2F5FA"/>
          </w:tcPr>
          <w:p>
            <w:pPr>
              <w:spacing w:after="40" w:before="40"/>
            </w:pPr>
            <w:r>
              <w:rPr>
                <w:rFonts w:ascii="Calibri" w:hAnsi="Calibri"/>
                <w:b/>
                <w:color w:val="000000"/>
                <w:sz w:val="20"/>
              </w:rPr>
              <w:t>Append-only audit</w:t>
            </w:r>
          </w:p>
        </w:tc>
        <w:tc>
          <w:tcPr>
            <w:tcW w:type="dxa" w:w="4680"/>
            <w:shd w:val="clear" w:color="auto" w:fill="F2F5FA"/>
          </w:tcPr>
          <w:p>
            <w:pPr>
              <w:spacing w:after="40" w:before="40"/>
            </w:pPr>
            <w:r>
              <w:rPr>
                <w:rFonts w:ascii="Calibri" w:hAnsi="Calibri"/>
                <w:b w:val="0"/>
                <w:color w:val="000000"/>
                <w:sz w:val="20"/>
              </w:rPr>
              <w:t>Every actor, action, and timestamp is retained so the government can reconstruct how any determination was reached.</w:t>
            </w:r>
          </w:p>
        </w:tc>
      </w:tr>
    </w:tbl>
    <w:p>
      <w:pPr>
        <w:spacing w:after="80"/>
      </w:pPr>
    </w:p>
    <w:p>
      <w:r>
        <w:br w:type="page"/>
      </w:r>
    </w:p>
    <w:p>
      <w:pPr>
        <w:pStyle w:val="Heading1"/>
        <w:keepNext/>
        <w:spacing w:before="280" w:after="120"/>
        <w:outlineLvl w:val="0"/>
      </w:pPr>
      <w:r>
        <w:rPr>
          <w:rFonts w:ascii="Calibri" w:hAnsi="Calibri"/>
          <w:b/>
          <w:color w:val="003087"/>
          <w:sz w:val="28"/>
        </w:rPr>
        <w:t>5. Where the Data Comes From (Data Lineage)</w:t>
      </w:r>
    </w:p>
    <w:p>
      <w:pPr>
        <w:spacing w:after="120" w:before="0"/>
      </w:pPr>
      <w:r>
        <w:rPr>
          <w:rFonts w:ascii="Calibri" w:hAnsi="Calibri"/>
          <w:b w:val="0"/>
          <w:color w:val="000000"/>
          <w:sz w:val="22"/>
        </w:rPr>
        <w:t>This section is the one most often requested by oversight reviewers. It states precisely which external systems the platform contacts, what each provides, and what happens when one is not available.</w:t>
      </w:r>
    </w:p>
    <w:p>
      <w:pPr>
        <w:pStyle w:val="Heading2"/>
        <w:keepNext/>
        <w:spacing w:before="200" w:after="120"/>
        <w:outlineLvl w:val="1"/>
      </w:pPr>
      <w:r>
        <w:rPr>
          <w:rFonts w:ascii="Calibri" w:hAnsi="Calibri"/>
          <w:b/>
          <w:color w:val="003087"/>
          <w:sz w:val="25"/>
        </w:rPr>
        <w:t>5.1 Summary of authoritative coverage</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 — EFFECTIVE INDEPENDENT AUTHORITATIVE SOURCES: 2</w:t>
            </w:r>
          </w:p>
          <w:p>
            <w:pPr>
              <w:spacing w:after="60" w:before="0"/>
            </w:pPr>
            <w:r>
              <w:rPr>
                <w:rFonts w:ascii="Calibri" w:hAnsi="Calibri"/>
                <w:b/>
                <w:color w:val="000000"/>
                <w:sz w:val="21"/>
              </w:rPr>
              <w:t>NPPES</w:t>
            </w:r>
            <w:r>
              <w:rPr>
                <w:rFonts w:ascii="Calibri" w:hAnsi="Calibri"/>
                <w:b w:val="0"/>
                <w:color w:val="000000"/>
                <w:sz w:val="21"/>
              </w:rPr>
              <w:t xml:space="preserve"> (CMS NPI Registry) — provider identity</w:t>
            </w:r>
          </w:p>
          <w:p>
            <w:pPr>
              <w:spacing w:after="60" w:before="0"/>
            </w:pPr>
            <w:r>
              <w:rPr>
                <w:rFonts w:ascii="Calibri" w:hAnsi="Calibri"/>
                <w:b/>
                <w:color w:val="000000"/>
                <w:sz w:val="21"/>
              </w:rPr>
              <w:t>OIG LEIE</w:t>
            </w:r>
            <w:r>
              <w:rPr>
                <w:rFonts w:ascii="Calibri" w:hAnsi="Calibri"/>
                <w:b w:val="0"/>
                <w:color w:val="000000"/>
                <w:sz w:val="21"/>
              </w:rPr>
              <w:t xml:space="preserve"> (HHS Exclusion List) — exclusion status</w:t>
            </w:r>
          </w:p>
          <w:p>
            <w:pPr>
              <w:spacing w:after="60" w:before="0"/>
            </w:pPr>
            <w:r>
              <w:rPr>
                <w:rFonts w:ascii="Calibri" w:hAnsi="Calibri"/>
                <w:b/>
                <w:color w:val="000000"/>
                <w:sz w:val="21"/>
              </w:rPr>
              <w:t>Configured but non-functional: 1</w:t>
            </w:r>
            <w:r>
              <w:rPr>
                <w:rFonts w:ascii="Calibri" w:hAnsi="Calibri"/>
                <w:b w:val="0"/>
                <w:color w:val="000000"/>
                <w:sz w:val="21"/>
              </w:rPr>
              <w:t xml:space="preserve"> — SAM.gov, upstream issue</w:t>
            </w:r>
          </w:p>
          <w:p>
            <w:pPr>
              <w:spacing w:after="0" w:before="0"/>
            </w:pPr>
            <w:r>
              <w:rPr>
                <w:rFonts w:ascii="Calibri" w:hAnsi="Calibri"/>
                <w:b w:val="0"/>
                <w:color w:val="000000"/>
                <w:sz w:val="21"/>
              </w:rPr>
              <w:t>The Medicare enrollment indicator is derived from the same NPPES endpoint and is not an independent third source.</w:t>
            </w:r>
          </w:p>
        </w:tc>
      </w:tr>
    </w:tbl>
    <w:p>
      <w:pPr>
        <w:spacing w:after="8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Source</w:t>
            </w:r>
          </w:p>
        </w:tc>
        <w:tc>
          <w:tcPr>
            <w:tcW w:type="dxa" w:w="3120"/>
            <w:shd w:val="clear" w:color="auto" w:fill="003087"/>
          </w:tcPr>
          <w:p>
            <w:pPr>
              <w:spacing w:after="40" w:before="40"/>
            </w:pPr>
            <w:r>
              <w:rPr>
                <w:rFonts w:ascii="Calibri" w:hAnsi="Calibri"/>
                <w:b/>
                <w:color w:val="FFFFFF"/>
                <w:sz w:val="20"/>
              </w:rPr>
              <w:t>Status</w:t>
            </w:r>
          </w:p>
        </w:tc>
        <w:tc>
          <w:tcPr>
            <w:tcW w:type="dxa" w:w="3120"/>
            <w:shd w:val="clear" w:color="auto" w:fill="003087"/>
          </w:tcPr>
          <w:p>
            <w:pPr>
              <w:spacing w:after="40" w:before="40"/>
            </w:pPr>
            <w:r>
              <w:rPr>
                <w:rFonts w:ascii="Calibri" w:hAnsi="Calibri"/>
                <w:b/>
                <w:color w:val="FFFFFF"/>
                <w:sz w:val="20"/>
              </w:rPr>
              <w:t>Independent?</w:t>
            </w:r>
          </w:p>
        </w:tc>
      </w:tr>
      <w:tr>
        <w:tc>
          <w:tcPr>
            <w:tcW w:type="dxa" w:w="3120"/>
          </w:tcPr>
          <w:p>
            <w:pPr>
              <w:spacing w:after="40" w:before="40"/>
            </w:pPr>
            <w:r>
              <w:rPr>
                <w:rFonts w:ascii="Calibri" w:hAnsi="Calibri"/>
                <w:b w:val="0"/>
                <w:color w:val="000000"/>
                <w:sz w:val="20"/>
              </w:rPr>
              <w:t>NPPES — CMS NPI Registry</w:t>
            </w:r>
          </w:p>
        </w:tc>
        <w:tc>
          <w:tcPr>
            <w:tcW w:type="dxa" w:w="3120"/>
          </w:tcPr>
          <w:p>
            <w:pPr>
              <w:spacing w:after="40" w:before="40"/>
            </w:pPr>
            <w:r>
              <w:rPr>
                <w:rFonts w:ascii="Calibri" w:hAnsi="Calibri"/>
                <w:b/>
                <w:color w:val="000000"/>
                <w:sz w:val="20"/>
              </w:rPr>
              <w:t>PRODUCTION</w:t>
            </w:r>
          </w:p>
        </w:tc>
        <w:tc>
          <w:tcPr>
            <w:tcW w:type="dxa" w:w="3120"/>
          </w:tcPr>
          <w:p>
            <w:pPr>
              <w:spacing w:after="40" w:before="40"/>
            </w:pPr>
            <w:r>
              <w:rPr>
                <w:rFonts w:ascii="Calibri" w:hAnsi="Calibri"/>
                <w:b w:val="0"/>
                <w:color w:val="000000"/>
                <w:sz w:val="20"/>
              </w:rPr>
              <w:t>Yes</w:t>
            </w:r>
          </w:p>
        </w:tc>
      </w:tr>
      <w:tr>
        <w:tc>
          <w:tcPr>
            <w:tcW w:type="dxa" w:w="3120"/>
            <w:shd w:val="clear" w:color="auto" w:fill="F2F5FA"/>
          </w:tcPr>
          <w:p>
            <w:pPr>
              <w:spacing w:after="40" w:before="40"/>
            </w:pPr>
            <w:r>
              <w:rPr>
                <w:rFonts w:ascii="Calibri" w:hAnsi="Calibri"/>
                <w:b w:val="0"/>
                <w:color w:val="000000"/>
                <w:sz w:val="20"/>
              </w:rPr>
              <w:t>OIG LEIE — HHS Exclusion List</w:t>
            </w:r>
          </w:p>
        </w:tc>
        <w:tc>
          <w:tcPr>
            <w:tcW w:type="dxa" w:w="3120"/>
            <w:shd w:val="clear" w:color="auto" w:fill="F2F5FA"/>
          </w:tcPr>
          <w:p>
            <w:pPr>
              <w:spacing w:after="40" w:before="40"/>
            </w:pPr>
            <w:r>
              <w:rPr>
                <w:rFonts w:ascii="Calibri" w:hAnsi="Calibri"/>
                <w:b/>
                <w:color w:val="000000"/>
                <w:sz w:val="20"/>
              </w:rPr>
              <w:t>PRODUCTION</w:t>
            </w:r>
          </w:p>
        </w:tc>
        <w:tc>
          <w:tcPr>
            <w:tcW w:type="dxa" w:w="3120"/>
            <w:shd w:val="clear" w:color="auto" w:fill="F2F5FA"/>
          </w:tcPr>
          <w:p>
            <w:pPr>
              <w:spacing w:after="40" w:before="40"/>
            </w:pPr>
            <w:r>
              <w:rPr>
                <w:rFonts w:ascii="Calibri" w:hAnsi="Calibri"/>
                <w:b w:val="0"/>
                <w:color w:val="000000"/>
                <w:sz w:val="20"/>
              </w:rPr>
              <w:t>Yes</w:t>
            </w:r>
          </w:p>
        </w:tc>
      </w:tr>
      <w:tr>
        <w:tc>
          <w:tcPr>
            <w:tcW w:type="dxa" w:w="3120"/>
          </w:tcPr>
          <w:p>
            <w:pPr>
              <w:spacing w:after="40" w:before="40"/>
            </w:pPr>
            <w:r>
              <w:rPr>
                <w:rFonts w:ascii="Calibri" w:hAnsi="Calibri"/>
                <w:b w:val="0"/>
                <w:color w:val="000000"/>
                <w:sz w:val="20"/>
              </w:rPr>
              <w:t>Medicare enrollment indicator</w:t>
            </w:r>
          </w:p>
        </w:tc>
        <w:tc>
          <w:tcPr>
            <w:tcW w:type="dxa" w:w="3120"/>
          </w:tcPr>
          <w:p>
            <w:pPr>
              <w:spacing w:after="40" w:before="40"/>
            </w:pPr>
            <w:r>
              <w:rPr>
                <w:rFonts w:ascii="Calibri" w:hAnsi="Calibri"/>
                <w:b/>
                <w:color w:val="000000"/>
                <w:sz w:val="20"/>
              </w:rPr>
              <w:t>PRODUCTION</w:t>
            </w:r>
          </w:p>
        </w:tc>
        <w:tc>
          <w:tcPr>
            <w:tcW w:type="dxa" w:w="3120"/>
          </w:tcPr>
          <w:p>
            <w:pPr>
              <w:spacing w:after="40" w:before="40"/>
            </w:pPr>
            <w:r>
              <w:rPr>
                <w:rFonts w:ascii="Calibri" w:hAnsi="Calibri"/>
                <w:b w:val="0"/>
                <w:color w:val="000000"/>
                <w:sz w:val="20"/>
              </w:rPr>
              <w:t>No — same NPPES endpoint</w:t>
            </w:r>
          </w:p>
        </w:tc>
      </w:tr>
      <w:tr>
        <w:tc>
          <w:tcPr>
            <w:tcW w:type="dxa" w:w="3120"/>
            <w:shd w:val="clear" w:color="auto" w:fill="F2F5FA"/>
          </w:tcPr>
          <w:p>
            <w:pPr>
              <w:spacing w:after="40" w:before="40"/>
            </w:pPr>
            <w:r>
              <w:rPr>
                <w:rFonts w:ascii="Calibri" w:hAnsi="Calibri"/>
                <w:b w:val="0"/>
                <w:color w:val="000000"/>
                <w:sz w:val="20"/>
              </w:rPr>
              <w:t>SAM.gov — GSA federal registration</w:t>
            </w:r>
          </w:p>
        </w:tc>
        <w:tc>
          <w:tcPr>
            <w:tcW w:type="dxa" w:w="3120"/>
            <w:shd w:val="clear" w:color="auto" w:fill="F2F5FA"/>
          </w:tcPr>
          <w:p>
            <w:pPr>
              <w:spacing w:after="40" w:before="40"/>
            </w:pPr>
            <w:r>
              <w:rPr>
                <w:rFonts w:ascii="Calibri" w:hAnsi="Calibri"/>
                <w:b/>
                <w:color w:val="000000"/>
                <w:sz w:val="20"/>
              </w:rPr>
              <w:t>CONFIGURED, NON-FUNCTIONAL</w:t>
            </w:r>
          </w:p>
        </w:tc>
        <w:tc>
          <w:tcPr>
            <w:tcW w:type="dxa" w:w="3120"/>
            <w:shd w:val="clear" w:color="auto" w:fill="F2F5FA"/>
          </w:tcPr>
          <w:p>
            <w:pPr>
              <w:spacing w:after="40" w:before="40"/>
            </w:pPr>
            <w:r>
              <w:rPr>
                <w:rFonts w:ascii="Calibri" w:hAnsi="Calibri"/>
                <w:b w:val="0"/>
                <w:color w:val="000000"/>
                <w:sz w:val="20"/>
              </w:rPr>
              <w:t>Would be</w:t>
            </w:r>
          </w:p>
        </w:tc>
      </w:tr>
      <w:tr>
        <w:tc>
          <w:tcPr>
            <w:tcW w:type="dxa" w:w="3120"/>
          </w:tcPr>
          <w:p>
            <w:pPr>
              <w:spacing w:after="40" w:before="40"/>
            </w:pPr>
            <w:r>
              <w:rPr>
                <w:rFonts w:ascii="Calibri" w:hAnsi="Calibri"/>
                <w:b w:val="0"/>
                <w:color w:val="000000"/>
                <w:sz w:val="20"/>
              </w:rPr>
              <w:t>USPS Address APIs v3</w:t>
            </w:r>
          </w:p>
        </w:tc>
        <w:tc>
          <w:tcPr>
            <w:tcW w:type="dxa" w:w="3120"/>
          </w:tcPr>
          <w:p>
            <w:pPr>
              <w:spacing w:after="40" w:before="40"/>
            </w:pPr>
            <w:r>
              <w:rPr>
                <w:rFonts w:ascii="Calibri" w:hAnsi="Calibri"/>
                <w:b/>
                <w:color w:val="000000"/>
                <w:sz w:val="20"/>
              </w:rPr>
              <w:t>PRODUCTION (configured)</w:t>
            </w:r>
          </w:p>
        </w:tc>
        <w:tc>
          <w:tcPr>
            <w:tcW w:type="dxa" w:w="3120"/>
          </w:tcPr>
          <w:p>
            <w:pPr>
              <w:spacing w:after="40" w:before="40"/>
            </w:pPr>
            <w:r>
              <w:rPr>
                <w:rFonts w:ascii="Calibri" w:hAnsi="Calibri"/>
                <w:b w:val="0"/>
                <w:color w:val="000000"/>
                <w:sz w:val="20"/>
              </w:rPr>
              <w:t>Supporting</w:t>
            </w:r>
          </w:p>
        </w:tc>
      </w:tr>
      <w:tr>
        <w:tc>
          <w:tcPr>
            <w:tcW w:type="dxa" w:w="3120"/>
            <w:shd w:val="clear" w:color="auto" w:fill="F2F5FA"/>
          </w:tcPr>
          <w:p>
            <w:pPr>
              <w:spacing w:after="40" w:before="40"/>
            </w:pPr>
            <w:r>
              <w:rPr>
                <w:rFonts w:ascii="Calibri" w:hAnsi="Calibri"/>
                <w:b w:val="0"/>
                <w:color w:val="000000"/>
                <w:sz w:val="20"/>
              </w:rPr>
              <w:t>Address normalizer (code-only)</w:t>
            </w:r>
          </w:p>
        </w:tc>
        <w:tc>
          <w:tcPr>
            <w:tcW w:type="dxa" w:w="3120"/>
            <w:shd w:val="clear" w:color="auto" w:fill="F2F5FA"/>
          </w:tcPr>
          <w:p>
            <w:pPr>
              <w:spacing w:after="40" w:before="40"/>
            </w:pPr>
            <w:r>
              <w:rPr>
                <w:rFonts w:ascii="Calibri" w:hAnsi="Calibri"/>
                <w:b/>
                <w:color w:val="000000"/>
                <w:sz w:val="20"/>
              </w:rPr>
              <w:t>PRODUCTION</w:t>
            </w:r>
          </w:p>
        </w:tc>
        <w:tc>
          <w:tcPr>
            <w:tcW w:type="dxa" w:w="3120"/>
            <w:shd w:val="clear" w:color="auto" w:fill="F2F5FA"/>
          </w:tcPr>
          <w:p>
            <w:pPr>
              <w:spacing w:after="40" w:before="40"/>
            </w:pPr>
            <w:r>
              <w:rPr>
                <w:rFonts w:ascii="Calibri" w:hAnsi="Calibri"/>
                <w:b w:val="0"/>
                <w:color w:val="000000"/>
                <w:sz w:val="20"/>
              </w:rPr>
              <w:t>Supporting</w:t>
            </w:r>
          </w:p>
        </w:tc>
      </w:tr>
      <w:tr>
        <w:tc>
          <w:tcPr>
            <w:tcW w:type="dxa" w:w="3120"/>
          </w:tcPr>
          <w:p>
            <w:pPr>
              <w:spacing w:after="40" w:before="40"/>
            </w:pPr>
            <w:r>
              <w:rPr>
                <w:rFonts w:ascii="Calibri" w:hAnsi="Calibri"/>
                <w:b w:val="0"/>
                <w:color w:val="000000"/>
                <w:sz w:val="20"/>
              </w:rPr>
              <w:t>Name matching</w:t>
            </w:r>
          </w:p>
        </w:tc>
        <w:tc>
          <w:tcPr>
            <w:tcW w:type="dxa" w:w="3120"/>
          </w:tcPr>
          <w:p>
            <w:pPr>
              <w:spacing w:after="40" w:before="40"/>
            </w:pPr>
            <w:r>
              <w:rPr>
                <w:rFonts w:ascii="Calibri" w:hAnsi="Calibri"/>
                <w:b/>
                <w:color w:val="000000"/>
                <w:sz w:val="20"/>
              </w:rPr>
              <w:t>PRODUCTION</w:t>
            </w:r>
          </w:p>
        </w:tc>
        <w:tc>
          <w:tcPr>
            <w:tcW w:type="dxa" w:w="3120"/>
          </w:tcPr>
          <w:p>
            <w:pPr>
              <w:spacing w:after="40" w:before="40"/>
            </w:pPr>
            <w:r>
              <w:rPr>
                <w:rFonts w:ascii="Calibri" w:hAnsi="Calibri"/>
                <w:b w:val="0"/>
                <w:color w:val="000000"/>
                <w:sz w:val="20"/>
              </w:rPr>
              <w:t>Supporting</w:t>
            </w:r>
          </w:p>
        </w:tc>
      </w:tr>
      <w:tr>
        <w:tc>
          <w:tcPr>
            <w:tcW w:type="dxa" w:w="3120"/>
            <w:shd w:val="clear" w:color="auto" w:fill="F2F5FA"/>
          </w:tcPr>
          <w:p>
            <w:pPr>
              <w:spacing w:after="40" w:before="40"/>
            </w:pPr>
            <w:r>
              <w:rPr>
                <w:rFonts w:ascii="Calibri" w:hAnsi="Calibri"/>
                <w:b w:val="0"/>
                <w:color w:val="000000"/>
                <w:sz w:val="20"/>
              </w:rPr>
              <w:t>AI entity resolution</w:t>
            </w:r>
          </w:p>
        </w:tc>
        <w:tc>
          <w:tcPr>
            <w:tcW w:type="dxa" w:w="3120"/>
            <w:shd w:val="clear" w:color="auto" w:fill="F2F5FA"/>
          </w:tcPr>
          <w:p>
            <w:pPr>
              <w:spacing w:after="40" w:before="40"/>
            </w:pPr>
            <w:r>
              <w:rPr>
                <w:rFonts w:ascii="Calibri" w:hAnsi="Calibri"/>
                <w:b/>
                <w:color w:val="000000"/>
                <w:sz w:val="20"/>
              </w:rPr>
              <w:t>DISABLED</w:t>
            </w:r>
          </w:p>
        </w:tc>
        <w:tc>
          <w:tcPr>
            <w:tcW w:type="dxa" w:w="3120"/>
            <w:shd w:val="clear" w:color="auto" w:fill="F2F5FA"/>
          </w:tcPr>
          <w:p>
            <w:pPr>
              <w:spacing w:after="40" w:before="40"/>
            </w:pPr>
            <w:r>
              <w:rPr>
                <w:rFonts w:ascii="Calibri" w:hAnsi="Calibri"/>
                <w:b w:val="0"/>
                <w:color w:val="000000"/>
                <w:sz w:val="20"/>
              </w:rPr>
              <w:t>Advisory only when enabled</w:t>
            </w:r>
          </w:p>
        </w:tc>
      </w:tr>
      <w:tr>
        <w:tc>
          <w:tcPr>
            <w:tcW w:type="dxa" w:w="3120"/>
          </w:tcPr>
          <w:p>
            <w:pPr>
              <w:spacing w:after="40" w:before="40"/>
            </w:pPr>
            <w:r>
              <w:rPr>
                <w:rFonts w:ascii="Calibri" w:hAnsi="Calibri"/>
                <w:b w:val="0"/>
                <w:color w:val="000000"/>
                <w:sz w:val="20"/>
              </w:rPr>
              <w:t>RCE Directory (Sequoia)</w:t>
            </w:r>
          </w:p>
        </w:tc>
        <w:tc>
          <w:tcPr>
            <w:tcW w:type="dxa" w:w="3120"/>
          </w:tcPr>
          <w:p>
            <w:pPr>
              <w:spacing w:after="40" w:before="40"/>
            </w:pPr>
            <w:r>
              <w:rPr>
                <w:rFonts w:ascii="Calibri" w:hAnsi="Calibri"/>
                <w:b/>
                <w:color w:val="000000"/>
                <w:sz w:val="20"/>
              </w:rPr>
              <w:t>NOT CONFIGURED</w:t>
            </w:r>
          </w:p>
        </w:tc>
        <w:tc>
          <w:tcPr>
            <w:tcW w:type="dxa" w:w="3120"/>
          </w:tcPr>
          <w:p>
            <w:pPr>
              <w:spacing w:after="40" w:before="40"/>
            </w:pPr>
            <w:r>
              <w:rPr>
                <w:rFonts w:ascii="Calibri" w:hAnsi="Calibri"/>
                <w:b w:val="0"/>
                <w:color w:val="000000"/>
                <w:sz w:val="20"/>
              </w:rPr>
              <w:t>Pending</w:t>
            </w:r>
          </w:p>
        </w:tc>
      </w:tr>
      <w:tr>
        <w:tc>
          <w:tcPr>
            <w:tcW w:type="dxa" w:w="3120"/>
            <w:shd w:val="clear" w:color="auto" w:fill="F2F5FA"/>
          </w:tcPr>
          <w:p>
            <w:pPr>
              <w:spacing w:after="40" w:before="40"/>
            </w:pPr>
            <w:r>
              <w:rPr>
                <w:rFonts w:ascii="Calibri" w:hAnsi="Calibri"/>
                <w:b w:val="0"/>
                <w:color w:val="000000"/>
                <w:sz w:val="20"/>
              </w:rPr>
              <w:t>IQVIA OneKey</w:t>
            </w:r>
          </w:p>
        </w:tc>
        <w:tc>
          <w:tcPr>
            <w:tcW w:type="dxa" w:w="3120"/>
            <w:shd w:val="clear" w:color="auto" w:fill="F2F5FA"/>
          </w:tcPr>
          <w:p>
            <w:pPr>
              <w:spacing w:after="40" w:before="40"/>
            </w:pPr>
            <w:r>
              <w:rPr>
                <w:rFonts w:ascii="Calibri" w:hAnsi="Calibri"/>
                <w:b/>
                <w:color w:val="000000"/>
                <w:sz w:val="20"/>
              </w:rPr>
              <w:t>NOT CONFIGURED</w:t>
            </w:r>
          </w:p>
        </w:tc>
        <w:tc>
          <w:tcPr>
            <w:tcW w:type="dxa" w:w="3120"/>
            <w:shd w:val="clear" w:color="auto" w:fill="F2F5FA"/>
          </w:tcPr>
          <w:p>
            <w:pPr>
              <w:spacing w:after="40" w:before="40"/>
            </w:pPr>
            <w:r>
              <w:rPr>
                <w:rFonts w:ascii="Calibri" w:hAnsi="Calibri"/>
                <w:b w:val="0"/>
                <w:color w:val="000000"/>
                <w:sz w:val="20"/>
              </w:rPr>
              <w:t>Pending procurement</w:t>
            </w:r>
          </w:p>
        </w:tc>
      </w:tr>
      <w:tr>
        <w:tc>
          <w:tcPr>
            <w:tcW w:type="dxa" w:w="3120"/>
          </w:tcPr>
          <w:p>
            <w:pPr>
              <w:spacing w:after="40" w:before="40"/>
            </w:pPr>
            <w:r>
              <w:rPr>
                <w:rFonts w:ascii="Calibri" w:hAnsi="Calibri"/>
                <w:b w:val="0"/>
                <w:color w:val="000000"/>
                <w:sz w:val="20"/>
              </w:rPr>
              <w:t>State licensure registries</w:t>
            </w:r>
          </w:p>
        </w:tc>
        <w:tc>
          <w:tcPr>
            <w:tcW w:type="dxa" w:w="3120"/>
          </w:tcPr>
          <w:p>
            <w:pPr>
              <w:spacing w:after="40" w:before="40"/>
            </w:pPr>
            <w:r>
              <w:rPr>
                <w:rFonts w:ascii="Calibri" w:hAnsi="Calibri"/>
                <w:b/>
                <w:color w:val="000000"/>
                <w:sz w:val="20"/>
              </w:rPr>
              <w:t>NOT IMPLEMENTED</w:t>
            </w:r>
          </w:p>
        </w:tc>
        <w:tc>
          <w:tcPr>
            <w:tcW w:type="dxa" w:w="3120"/>
          </w:tcPr>
          <w:p>
            <w:pPr>
              <w:spacing w:after="40" w:before="40"/>
            </w:pPr>
            <w:r>
              <w:rPr>
                <w:rFonts w:ascii="Calibri" w:hAnsi="Calibri"/>
                <w:b w:val="0"/>
                <w:color w:val="000000"/>
                <w:sz w:val="20"/>
              </w:rPr>
              <w:t>Roadmap</w:t>
            </w:r>
          </w:p>
        </w:tc>
      </w:tr>
      <w:tr>
        <w:tc>
          <w:tcPr>
            <w:tcW w:type="dxa" w:w="3120"/>
            <w:shd w:val="clear" w:color="auto" w:fill="F2F5FA"/>
          </w:tcPr>
          <w:p>
            <w:pPr>
              <w:spacing w:after="40" w:before="40"/>
            </w:pPr>
            <w:r>
              <w:rPr>
                <w:rFonts w:ascii="Calibri" w:hAnsi="Calibri"/>
                <w:b w:val="0"/>
                <w:color w:val="000000"/>
                <w:sz w:val="20"/>
              </w:rPr>
              <w:t>IRS</w:t>
            </w:r>
          </w:p>
        </w:tc>
        <w:tc>
          <w:tcPr>
            <w:tcW w:type="dxa" w:w="3120"/>
            <w:shd w:val="clear" w:color="auto" w:fill="F2F5FA"/>
          </w:tcPr>
          <w:p>
            <w:pPr>
              <w:spacing w:after="40" w:before="40"/>
            </w:pPr>
            <w:r>
              <w:rPr>
                <w:rFonts w:ascii="Calibri" w:hAnsi="Calibri"/>
                <w:b/>
                <w:color w:val="000000"/>
                <w:sz w:val="20"/>
              </w:rPr>
              <w:t>NOT APPLICABLE</w:t>
            </w:r>
          </w:p>
        </w:tc>
        <w:tc>
          <w:tcPr>
            <w:tcW w:type="dxa" w:w="3120"/>
            <w:shd w:val="clear" w:color="auto" w:fill="F2F5FA"/>
          </w:tcPr>
          <w:p>
            <w:pPr>
              <w:spacing w:after="40" w:before="40"/>
            </w:pPr>
            <w:r>
              <w:rPr>
                <w:rFonts w:ascii="Calibri" w:hAnsi="Calibri"/>
                <w:b w:val="0"/>
                <w:color w:val="000000"/>
                <w:sz w:val="20"/>
              </w:rPr>
              <w:t>No public API exists for this purpose</w:t>
            </w:r>
          </w:p>
        </w:tc>
      </w:tr>
    </w:tbl>
    <w:p>
      <w:pPr>
        <w:spacing w:after="80"/>
      </w:pPr>
    </w:p>
    <w:p>
      <w:pPr>
        <w:pStyle w:val="Heading2"/>
        <w:keepNext/>
        <w:spacing w:before="200" w:after="120"/>
        <w:outlineLvl w:val="1"/>
      </w:pPr>
      <w:r>
        <w:rPr>
          <w:rFonts w:ascii="Calibri" w:hAnsi="Calibri"/>
          <w:b/>
          <w:color w:val="003087"/>
          <w:sz w:val="25"/>
        </w:rPr>
        <w:t>5.2 Data flow</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EXTERNAL AUTHORITATIVE SOURCES</w:t>
            </w:r>
          </w:p>
          <w:p>
            <w:pPr>
              <w:spacing w:after="0" w:before="0"/>
            </w:pPr>
            <w:r>
              <w:rPr>
                <w:rFonts w:ascii="Consolas" w:hAnsi="Consolas"/>
                <w:color w:val="444444"/>
                <w:sz w:val="16"/>
              </w:rPr>
              <w:t xml:space="preserve">  +---------------+  +---------------+  +---------------+</w:t>
            </w:r>
          </w:p>
          <w:p>
            <w:pPr>
              <w:spacing w:after="0" w:before="0"/>
            </w:pPr>
            <w:r>
              <w:rPr>
                <w:rFonts w:ascii="Consolas" w:hAnsi="Consolas"/>
                <w:color w:val="444444"/>
                <w:sz w:val="16"/>
              </w:rPr>
              <w:t xml:space="preserve">  | NPPES         |  | OIG LEIE      |  | SAM.gov       |</w:t>
            </w:r>
          </w:p>
          <w:p>
            <w:pPr>
              <w:spacing w:after="0" w:before="0"/>
            </w:pPr>
            <w:r>
              <w:rPr>
                <w:rFonts w:ascii="Consolas" w:hAnsi="Consolas"/>
                <w:color w:val="444444"/>
                <w:sz w:val="16"/>
              </w:rPr>
              <w:t xml:space="preserve">  | CMS/HHS       |  | HHS OIG       |  | GSA (down)    |</w:t>
            </w:r>
          </w:p>
          <w:p>
            <w:pPr>
              <w:spacing w:after="0" w:before="0"/>
            </w:pPr>
            <w:r>
              <w:rPr>
                <w:rFonts w:ascii="Consolas" w:hAnsi="Consolas"/>
                <w:color w:val="444444"/>
                <w:sz w:val="16"/>
              </w:rPr>
              <w:t xml:space="preserve">  | live API      |  | live          |  | 404 upstream  |</w:t>
            </w:r>
          </w:p>
          <w:p>
            <w:pPr>
              <w:spacing w:after="0" w:before="0"/>
            </w:pPr>
            <w:r>
              <w:rPr>
                <w:rFonts w:ascii="Consolas" w:hAnsi="Consolas"/>
                <w:color w:val="444444"/>
                <w:sz w:val="16"/>
              </w:rPr>
              <w:t xml:space="preserve">  +-------+-------+  +-------+-------+  +-------+-------+</w:t>
            </w:r>
          </w:p>
          <w:p>
            <w:pPr>
              <w:spacing w:after="0" w:before="0"/>
            </w:pPr>
            <w:r>
              <w:rPr>
                <w:rFonts w:ascii="Consolas" w:hAnsi="Consolas"/>
                <w:color w:val="444444"/>
                <w:sz w:val="16"/>
              </w:rPr>
              <w:t xml:space="preserve">          |                  |                  |</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CONNECTOR LAYER</w:t>
            </w:r>
          </w:p>
          <w:p>
            <w:pPr>
              <w:spacing w:after="0" w:before="0"/>
            </w:pPr>
            <w:r>
              <w:rPr>
                <w:rFonts w:ascii="Consolas" w:hAnsi="Consolas"/>
                <w:color w:val="444444"/>
                <w:sz w:val="16"/>
              </w:rPr>
              <w:t xml:space="preserve">          Timeouts - bounded retries - per-call logging</w:t>
            </w:r>
          </w:p>
          <w:p>
            <w:pPr>
              <w:spacing w:after="0" w:before="0"/>
            </w:pPr>
            <w:r>
              <w:rPr>
                <w:rFonts w:ascii="Consolas" w:hAnsi="Consolas"/>
                <w:color w:val="444444"/>
                <w:sz w:val="16"/>
              </w:rPr>
              <w:t xml:space="preserve">          Five-state result - never raises into the pipeline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NORMALIZATION</w:t>
            </w:r>
          </w:p>
          <w:p>
            <w:pPr>
              <w:spacing w:after="0" w:before="0"/>
            </w:pPr>
            <w:r>
              <w:rPr>
                <w:rFonts w:ascii="Consolas" w:hAnsi="Consolas"/>
                <w:color w:val="444444"/>
                <w:sz w:val="16"/>
              </w:rPr>
              <w:t xml:space="preserve">          Address: USPS Publication 28 code normalizer</w:t>
            </w:r>
          </w:p>
          <w:p>
            <w:pPr>
              <w:spacing w:after="0" w:before="0"/>
            </w:pPr>
            <w:r>
              <w:rPr>
                <w:rFonts w:ascii="Consolas" w:hAnsi="Consolas"/>
                <w:color w:val="444444"/>
                <w:sz w:val="16"/>
              </w:rPr>
              <w:t xml:space="preserve">                   (+ USPS APIs v3 when called)</w:t>
            </w:r>
          </w:p>
          <w:p>
            <w:pPr>
              <w:spacing w:after="0" w:before="0"/>
            </w:pPr>
            <w:r>
              <w:rPr>
                <w:rFonts w:ascii="Consolas" w:hAnsi="Consolas"/>
                <w:color w:val="444444"/>
                <w:sz w:val="16"/>
              </w:rPr>
              <w:t xml:space="preserve">          Name:    abbreviation expansion, punctuation and</w:t>
            </w:r>
          </w:p>
          <w:p>
            <w:pPr>
              <w:spacing w:after="0" w:before="0"/>
            </w:pPr>
            <w:r>
              <w:rPr>
                <w:rFonts w:ascii="Consolas" w:hAnsi="Consolas"/>
                <w:color w:val="444444"/>
                <w:sz w:val="16"/>
              </w:rPr>
              <w:t xml:space="preserve">                   filler-word removal, similarity scoring</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DOCUACTION DATABASE</w:t>
            </w:r>
          </w:p>
          <w:p>
            <w:pPr>
              <w:spacing w:after="0" w:before="0"/>
            </w:pPr>
            <w:r>
              <w:rPr>
                <w:rFonts w:ascii="Consolas" w:hAnsi="Consolas"/>
                <w:color w:val="444444"/>
                <w:sz w:val="16"/>
              </w:rPr>
              <w:t xml:space="preserve">          Entities - identifiers - relationships - reviews</w:t>
            </w:r>
          </w:p>
          <w:p>
            <w:pPr>
              <w:spacing w:after="0" w:before="0"/>
            </w:pPr>
            <w:r>
              <w:rPr>
                <w:rFonts w:ascii="Consolas" w:hAnsi="Consolas"/>
                <w:color w:val="444444"/>
                <w:sz w:val="16"/>
              </w:rPr>
              <w:t xml:space="preserve">          findings - evidence - audit</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VERIFICATION ENGINE</w:t>
            </w:r>
          </w:p>
          <w:p>
            <w:pPr>
              <w:spacing w:after="0" w:before="0"/>
            </w:pPr>
            <w:r>
              <w:rPr>
                <w:rFonts w:ascii="Consolas" w:hAnsi="Consolas"/>
                <w:color w:val="444444"/>
                <w:sz w:val="16"/>
              </w:rPr>
              <w:t xml:space="preserve">          Field-by-field comparison, finding codes, confidence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RULES AND DECISION LOGIC</w:t>
            </w:r>
          </w:p>
          <w:p>
            <w:pPr>
              <w:spacing w:after="0" w:before="0"/>
            </w:pPr>
            <w:r>
              <w:rPr>
                <w:rFonts w:ascii="Consolas" w:hAnsi="Consolas"/>
                <w:color w:val="444444"/>
                <w:sz w:val="16"/>
              </w:rPr>
              <w:t xml:space="preserve">          Versioned classification rules -&gt; B1..B4 -&gt; Tier</w:t>
            </w:r>
          </w:p>
          <w:p>
            <w:pPr>
              <w:spacing w:after="0" w:before="0"/>
            </w:pPr>
            <w:r>
              <w:rPr>
                <w:rFonts w:ascii="Consolas" w:hAnsi="Consolas"/>
                <w:color w:val="444444"/>
                <w:sz w:val="16"/>
              </w:rPr>
              <w:t xml:space="preserve">          Coverage test -&gt; Indeterminate where required</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USER REVIEW</w:t>
            </w:r>
          </w:p>
          <w:p>
            <w:pPr>
              <w:spacing w:after="0" w:before="0"/>
            </w:pPr>
            <w:r>
              <w:rPr>
                <w:rFonts w:ascii="Consolas" w:hAnsi="Consolas"/>
                <w:color w:val="444444"/>
                <w:sz w:val="16"/>
              </w:rPr>
              <w:t xml:space="preserve">          Confirm or reclassify, with mandatory rationale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FINAL RESULT</w:t>
            </w:r>
          </w:p>
          <w:p>
            <w:pPr>
              <w:spacing w:after="0" w:before="0"/>
            </w:pPr>
            <w:r>
              <w:rPr>
                <w:rFonts w:ascii="Consolas" w:hAnsi="Consolas"/>
                <w:color w:val="444444"/>
                <w:sz w:val="16"/>
              </w:rPr>
              <w:t xml:space="preserve">          Effective bucket = reviewer's decision where one was made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AUDIT RECORD</w:t>
            </w:r>
          </w:p>
          <w:p>
            <w:pPr>
              <w:spacing w:after="0" w:before="0"/>
            </w:pPr>
            <w:r>
              <w:rPr>
                <w:rFonts w:ascii="Consolas" w:hAnsi="Consolas"/>
                <w:color w:val="444444"/>
                <w:sz w:val="16"/>
              </w:rPr>
              <w:t xml:space="preserve">          Append-only, with actor, timestamp, and detail</w:t>
            </w:r>
          </w:p>
        </w:tc>
      </w:tr>
    </w:tbl>
    <w:p>
      <w:pPr>
        <w:spacing w:after="80"/>
      </w:pPr>
    </w:p>
    <w:p>
      <w:pPr>
        <w:pStyle w:val="Heading2"/>
        <w:keepNext/>
        <w:spacing w:before="200" w:after="120"/>
        <w:outlineLvl w:val="1"/>
      </w:pPr>
      <w:r>
        <w:rPr>
          <w:rFonts w:ascii="Calibri" w:hAnsi="Calibri"/>
          <w:b/>
          <w:color w:val="003087"/>
          <w:sz w:val="25"/>
        </w:rPr>
        <w:t>5.3 Source detail</w:t>
      </w:r>
    </w:p>
    <w:p>
      <w:pPr>
        <w:pStyle w:val="Heading3"/>
        <w:keepNext/>
        <w:spacing w:before="200" w:after="120"/>
        <w:outlineLvl w:val="2"/>
      </w:pPr>
      <w:r>
        <w:rPr>
          <w:rFonts w:ascii="Calibri" w:hAnsi="Calibri"/>
          <w:b/>
          <w:color w:val="003087"/>
          <w:sz w:val="23"/>
        </w:rPr>
        <w:t>NPPES — National Plan and Provider Enumeration System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Source</w:t>
            </w:r>
          </w:p>
        </w:tc>
        <w:tc>
          <w:tcPr>
            <w:tcW w:type="dxa" w:w="4680"/>
            <w:shd w:val="clear" w:color="auto" w:fill="003087"/>
          </w:tcPr>
          <w:p>
            <w:pPr>
              <w:spacing w:after="40" w:before="40"/>
            </w:pPr>
            <w:r>
              <w:rPr>
                <w:rFonts w:ascii="Calibri" w:hAnsi="Calibri"/>
                <w:b/>
                <w:color w:val="FFFFFF"/>
                <w:sz w:val="20"/>
              </w:rPr>
              <w:t>CMS / HHS public NPI Registry API</w:t>
            </w:r>
          </w:p>
        </w:tc>
      </w:tr>
      <w:tr>
        <w:tc>
          <w:tcPr>
            <w:tcW w:type="dxa" w:w="4680"/>
          </w:tcPr>
          <w:p>
            <w:pPr>
              <w:spacing w:after="40" w:before="40"/>
            </w:pPr>
            <w:r>
              <w:rPr>
                <w:rFonts w:ascii="Calibri" w:hAnsi="Calibri"/>
                <w:b/>
                <w:color w:val="000000"/>
                <w:sz w:val="20"/>
              </w:rPr>
              <w:t>Status</w:t>
            </w:r>
          </w:p>
        </w:tc>
        <w:tc>
          <w:tcPr>
            <w:tcW w:type="dxa" w:w="4680"/>
          </w:tcPr>
          <w:p>
            <w:pPr>
              <w:spacing w:after="40" w:before="40"/>
            </w:pPr>
            <w:r>
              <w:rPr>
                <w:rFonts w:ascii="Calibri" w:hAnsi="Calibri"/>
                <w:b/>
                <w:color w:val="000000"/>
                <w:sz w:val="20"/>
              </w:rPr>
              <w:t>PRODUCTION</w:t>
            </w:r>
            <w:r>
              <w:rPr>
                <w:rFonts w:ascii="Calibri" w:hAnsi="Calibri"/>
                <w:b w:val="0"/>
                <w:color w:val="000000"/>
                <w:sz w:val="20"/>
              </w:rPr>
              <w:t xml:space="preserve"> — live on both environments</w:t>
            </w:r>
          </w:p>
        </w:tc>
      </w:tr>
      <w:tr>
        <w:tc>
          <w:tcPr>
            <w:tcW w:type="dxa" w:w="4680"/>
            <w:shd w:val="clear" w:color="auto" w:fill="F2F5FA"/>
          </w:tcPr>
          <w:p>
            <w:pPr>
              <w:spacing w:after="40" w:before="40"/>
            </w:pPr>
            <w:r>
              <w:rPr>
                <w:rFonts w:ascii="Calibri" w:hAnsi="Calibri"/>
                <w:b/>
                <w:color w:val="000000"/>
                <w:sz w:val="20"/>
              </w:rPr>
              <w:t>Purpose</w:t>
            </w:r>
          </w:p>
        </w:tc>
        <w:tc>
          <w:tcPr>
            <w:tcW w:type="dxa" w:w="4680"/>
            <w:shd w:val="clear" w:color="auto" w:fill="F2F5FA"/>
          </w:tcPr>
          <w:p>
            <w:pPr>
              <w:spacing w:after="40" w:before="40"/>
            </w:pPr>
            <w:r>
              <w:rPr>
                <w:rFonts w:ascii="Calibri" w:hAnsi="Calibri"/>
                <w:b w:val="0"/>
                <w:color w:val="000000"/>
                <w:sz w:val="20"/>
              </w:rPr>
              <w:t>Confirm that a National Provider Identifier exists, is active, and belongs to the organization named in the submission</w:t>
            </w:r>
          </w:p>
        </w:tc>
      </w:tr>
      <w:tr>
        <w:tc>
          <w:tcPr>
            <w:tcW w:type="dxa" w:w="4680"/>
          </w:tcPr>
          <w:p>
            <w:pPr>
              <w:spacing w:after="40" w:before="40"/>
            </w:pPr>
            <w:r>
              <w:rPr>
                <w:rFonts w:ascii="Calibri" w:hAnsi="Calibri"/>
                <w:b/>
                <w:color w:val="000000"/>
                <w:sz w:val="20"/>
              </w:rPr>
              <w:t>Data received</w:t>
            </w:r>
          </w:p>
        </w:tc>
        <w:tc>
          <w:tcPr>
            <w:tcW w:type="dxa" w:w="4680"/>
          </w:tcPr>
          <w:p>
            <w:pPr>
              <w:spacing w:after="40" w:before="40"/>
            </w:pPr>
            <w:r>
              <w:rPr>
                <w:rFonts w:ascii="Calibri" w:hAnsi="Calibri"/>
                <w:b w:val="0"/>
                <w:color w:val="000000"/>
                <w:sz w:val="20"/>
              </w:rPr>
              <w:t>NPI number, enumeration type (Type 1 individual / Type 2 organization), legal organization name, status, enumeration date, primary taxonomy and code, practice location address</w:t>
            </w:r>
          </w:p>
        </w:tc>
      </w:tr>
      <w:tr>
        <w:tc>
          <w:tcPr>
            <w:tcW w:type="dxa" w:w="4680"/>
            <w:shd w:val="clear" w:color="auto" w:fill="F2F5FA"/>
          </w:tcPr>
          <w:p>
            <w:pPr>
              <w:spacing w:after="40" w:before="40"/>
            </w:pPr>
            <w:r>
              <w:rPr>
                <w:rFonts w:ascii="Calibri" w:hAnsi="Calibri"/>
                <w:b/>
                <w:color w:val="000000"/>
                <w:sz w:val="20"/>
              </w:rPr>
              <w:t>How it enters</w:t>
            </w:r>
          </w:p>
        </w:tc>
        <w:tc>
          <w:tcPr>
            <w:tcW w:type="dxa" w:w="4680"/>
            <w:shd w:val="clear" w:color="auto" w:fill="F2F5FA"/>
          </w:tcPr>
          <w:p>
            <w:pPr>
              <w:spacing w:after="40" w:before="40"/>
            </w:pPr>
            <w:r>
              <w:rPr>
                <w:rFonts w:ascii="Calibri" w:hAnsi="Calibri"/>
                <w:b w:val="0"/>
                <w:color w:val="000000"/>
                <w:sz w:val="20"/>
              </w:rPr>
              <w:t>Real-time API query per entity at review time</w:t>
            </w:r>
          </w:p>
        </w:tc>
      </w:tr>
      <w:tr>
        <w:tc>
          <w:tcPr>
            <w:tcW w:type="dxa" w:w="4680"/>
          </w:tcPr>
          <w:p>
            <w:pPr>
              <w:spacing w:after="40" w:before="40"/>
            </w:pPr>
            <w:r>
              <w:rPr>
                <w:rFonts w:ascii="Calibri" w:hAnsi="Calibri"/>
                <w:b/>
                <w:color w:val="000000"/>
                <w:sz w:val="20"/>
              </w:rPr>
              <w:t>Mode</w:t>
            </w:r>
          </w:p>
        </w:tc>
        <w:tc>
          <w:tcPr>
            <w:tcW w:type="dxa" w:w="4680"/>
          </w:tcPr>
          <w:p>
            <w:pPr>
              <w:spacing w:after="40" w:before="40"/>
            </w:pPr>
            <w:r>
              <w:rPr>
                <w:rFonts w:ascii="Calibri" w:hAnsi="Calibri"/>
                <w:b w:val="0"/>
                <w:color w:val="000000"/>
                <w:sz w:val="20"/>
              </w:rPr>
              <w:t>Real-time. No batch, no local snapshot</w:t>
            </w:r>
          </w:p>
        </w:tc>
      </w:tr>
      <w:tr>
        <w:tc>
          <w:tcPr>
            <w:tcW w:type="dxa" w:w="4680"/>
            <w:shd w:val="clear" w:color="auto" w:fill="F2F5FA"/>
          </w:tcPr>
          <w:p>
            <w:pPr>
              <w:spacing w:after="40" w:before="40"/>
            </w:pPr>
            <w:r>
              <w:rPr>
                <w:rFonts w:ascii="Calibri" w:hAnsi="Calibri"/>
                <w:b/>
                <w:color w:val="000000"/>
                <w:sz w:val="20"/>
              </w:rPr>
              <w:t>Update frequency</w:t>
            </w:r>
          </w:p>
        </w:tc>
        <w:tc>
          <w:tcPr>
            <w:tcW w:type="dxa" w:w="4680"/>
            <w:shd w:val="clear" w:color="auto" w:fill="F2F5FA"/>
          </w:tcPr>
          <w:p>
            <w:pPr>
              <w:spacing w:after="40" w:before="40"/>
            </w:pPr>
            <w:r>
              <w:rPr>
                <w:rFonts w:ascii="Calibri" w:hAnsi="Calibri"/>
                <w:b w:val="0"/>
                <w:color w:val="000000"/>
                <w:sz w:val="20"/>
              </w:rPr>
              <w:t>Every query is current as of that moment</w:t>
            </w:r>
          </w:p>
        </w:tc>
      </w:tr>
      <w:tr>
        <w:tc>
          <w:tcPr>
            <w:tcW w:type="dxa" w:w="4680"/>
          </w:tcPr>
          <w:p>
            <w:pPr>
              <w:spacing w:after="40" w:before="40"/>
            </w:pPr>
            <w:r>
              <w:rPr>
                <w:rFonts w:ascii="Calibri" w:hAnsi="Calibri"/>
                <w:b/>
                <w:color w:val="000000"/>
                <w:sz w:val="20"/>
              </w:rPr>
              <w:t>Authentication</w:t>
            </w:r>
          </w:p>
        </w:tc>
        <w:tc>
          <w:tcPr>
            <w:tcW w:type="dxa" w:w="4680"/>
          </w:tcPr>
          <w:p>
            <w:pPr>
              <w:spacing w:after="40" w:before="40"/>
            </w:pPr>
            <w:r>
              <w:rPr>
                <w:rFonts w:ascii="Calibri" w:hAnsi="Calibri"/>
                <w:b w:val="0"/>
                <w:color w:val="000000"/>
                <w:sz w:val="20"/>
              </w:rPr>
              <w:t>None required — public federal API</w:t>
            </w:r>
          </w:p>
        </w:tc>
      </w:tr>
      <w:tr>
        <w:tc>
          <w:tcPr>
            <w:tcW w:type="dxa" w:w="4680"/>
            <w:shd w:val="clear" w:color="auto" w:fill="F2F5FA"/>
          </w:tcPr>
          <w:p>
            <w:pPr>
              <w:spacing w:after="40" w:before="40"/>
            </w:pPr>
            <w:r>
              <w:rPr>
                <w:rFonts w:ascii="Calibri" w:hAnsi="Calibri"/>
                <w:b/>
                <w:color w:val="000000"/>
                <w:sz w:val="20"/>
              </w:rPr>
              <w:t>What it verifies</w:t>
            </w:r>
          </w:p>
        </w:tc>
        <w:tc>
          <w:tcPr>
            <w:tcW w:type="dxa" w:w="4680"/>
            <w:shd w:val="clear" w:color="auto" w:fill="F2F5FA"/>
          </w:tcPr>
          <w:p>
            <w:pPr>
              <w:spacing w:after="40" w:before="40"/>
            </w:pPr>
            <w:r>
              <w:rPr>
                <w:rFonts w:ascii="Calibri" w:hAnsi="Calibri"/>
                <w:b w:val="0"/>
                <w:color w:val="000000"/>
                <w:sz w:val="20"/>
              </w:rPr>
              <w:t>NPI existence and validity, NPI active status, organization name match, address cross-reference, entity type consistency</w:t>
            </w:r>
          </w:p>
        </w:tc>
      </w:tr>
      <w:tr>
        <w:tc>
          <w:tcPr>
            <w:tcW w:type="dxa" w:w="4680"/>
          </w:tcPr>
          <w:p>
            <w:pPr>
              <w:spacing w:after="40" w:before="40"/>
            </w:pPr>
            <w:r>
              <w:rPr>
                <w:rFonts w:ascii="Calibri" w:hAnsi="Calibri"/>
                <w:b/>
                <w:color w:val="000000"/>
                <w:sz w:val="20"/>
              </w:rPr>
              <w:t>If unavailable</w:t>
            </w:r>
          </w:p>
        </w:tc>
        <w:tc>
          <w:tcPr>
            <w:tcW w:type="dxa" w:w="4680"/>
          </w:tcPr>
          <w:p>
            <w:pPr>
              <w:spacing w:after="40" w:before="40"/>
            </w:pPr>
            <w:r>
              <w:rPr>
                <w:rFonts w:ascii="Calibri" w:hAnsi="Calibri"/>
                <w:b w:val="0"/>
                <w:color w:val="000000"/>
                <w:sz w:val="20"/>
              </w:rPr>
              <w:t>The record is marked Indeterminate. It is never auto-classified and always routed to a human analyst. The outage is recorded against the source, not against the entity</w:t>
            </w:r>
          </w:p>
        </w:tc>
      </w:tr>
    </w:tbl>
    <w:p>
      <w:pPr>
        <w:spacing w:after="80"/>
      </w:pPr>
    </w:p>
    <w:p>
      <w:pPr>
        <w:pStyle w:val="Heading3"/>
        <w:keepNext/>
        <w:spacing w:before="200" w:after="120"/>
        <w:outlineLvl w:val="2"/>
      </w:pPr>
      <w:r>
        <w:rPr>
          <w:rFonts w:ascii="Calibri" w:hAnsi="Calibri"/>
          <w:b/>
          <w:color w:val="003087"/>
          <w:sz w:val="23"/>
        </w:rPr>
        <w:t>OIG LEIE — List of Excluded Individuals and Entities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Source</w:t>
            </w:r>
          </w:p>
        </w:tc>
        <w:tc>
          <w:tcPr>
            <w:tcW w:type="dxa" w:w="4680"/>
            <w:shd w:val="clear" w:color="auto" w:fill="003087"/>
          </w:tcPr>
          <w:p>
            <w:pPr>
              <w:spacing w:after="40" w:before="40"/>
            </w:pPr>
            <w:r>
              <w:rPr>
                <w:rFonts w:ascii="Calibri" w:hAnsi="Calibri"/>
                <w:b/>
                <w:color w:val="FFFFFF"/>
                <w:sz w:val="20"/>
              </w:rPr>
              <w:t>HHS Office of Inspector General exclusion list</w:t>
            </w:r>
          </w:p>
        </w:tc>
      </w:tr>
      <w:tr>
        <w:tc>
          <w:tcPr>
            <w:tcW w:type="dxa" w:w="4680"/>
          </w:tcPr>
          <w:p>
            <w:pPr>
              <w:spacing w:after="40" w:before="40"/>
            </w:pPr>
            <w:r>
              <w:rPr>
                <w:rFonts w:ascii="Calibri" w:hAnsi="Calibri"/>
                <w:b/>
                <w:color w:val="000000"/>
                <w:sz w:val="20"/>
              </w:rPr>
              <w:t>Status</w:t>
            </w:r>
          </w:p>
        </w:tc>
        <w:tc>
          <w:tcPr>
            <w:tcW w:type="dxa" w:w="4680"/>
          </w:tcPr>
          <w:p>
            <w:pPr>
              <w:spacing w:after="40" w:before="40"/>
            </w:pPr>
            <w:r>
              <w:rPr>
                <w:rFonts w:ascii="Calibri" w:hAnsi="Calibri"/>
                <w:b/>
                <w:color w:val="000000"/>
                <w:sz w:val="20"/>
              </w:rPr>
              <w:t>PRODUCTION</w:t>
            </w:r>
            <w:r>
              <w:rPr>
                <w:rFonts w:ascii="Calibri" w:hAnsi="Calibri"/>
                <w:b w:val="0"/>
                <w:color w:val="000000"/>
                <w:sz w:val="20"/>
              </w:rPr>
              <w:t xml:space="preserve"> — live on both environments</w:t>
            </w:r>
          </w:p>
        </w:tc>
      </w:tr>
      <w:tr>
        <w:tc>
          <w:tcPr>
            <w:tcW w:type="dxa" w:w="4680"/>
            <w:shd w:val="clear" w:color="auto" w:fill="F2F5FA"/>
          </w:tcPr>
          <w:p>
            <w:pPr>
              <w:spacing w:after="40" w:before="40"/>
            </w:pPr>
            <w:r>
              <w:rPr>
                <w:rFonts w:ascii="Calibri" w:hAnsi="Calibri"/>
                <w:b/>
                <w:color w:val="000000"/>
                <w:sz w:val="20"/>
              </w:rPr>
              <w:t>Purpose</w:t>
            </w:r>
          </w:p>
        </w:tc>
        <w:tc>
          <w:tcPr>
            <w:tcW w:type="dxa" w:w="4680"/>
            <w:shd w:val="clear" w:color="auto" w:fill="F2F5FA"/>
          </w:tcPr>
          <w:p>
            <w:pPr>
              <w:spacing w:after="40" w:before="40"/>
            </w:pPr>
            <w:r>
              <w:rPr>
                <w:rFonts w:ascii="Calibri" w:hAnsi="Calibri"/>
                <w:b w:val="0"/>
                <w:color w:val="000000"/>
                <w:sz w:val="20"/>
              </w:rPr>
              <w:t>Determine whether an organization or individual is excluded from participation in federal health care programs</w:t>
            </w:r>
          </w:p>
        </w:tc>
      </w:tr>
      <w:tr>
        <w:tc>
          <w:tcPr>
            <w:tcW w:type="dxa" w:w="4680"/>
          </w:tcPr>
          <w:p>
            <w:pPr>
              <w:spacing w:after="40" w:before="40"/>
            </w:pPr>
            <w:r>
              <w:rPr>
                <w:rFonts w:ascii="Calibri" w:hAnsi="Calibri"/>
                <w:b/>
                <w:color w:val="000000"/>
                <w:sz w:val="20"/>
              </w:rPr>
              <w:t>Data received</w:t>
            </w:r>
          </w:p>
        </w:tc>
        <w:tc>
          <w:tcPr>
            <w:tcW w:type="dxa" w:w="4680"/>
          </w:tcPr>
          <w:p>
            <w:pPr>
              <w:spacing w:after="40" w:before="40"/>
            </w:pPr>
            <w:r>
              <w:rPr>
                <w:rFonts w:ascii="Calibri" w:hAnsi="Calibri"/>
                <w:b w:val="0"/>
                <w:color w:val="000000"/>
                <w:sz w:val="20"/>
              </w:rPr>
              <w:t>Exclusion presence, exclusion type, exclusion date, reinstatement date where applicable, historical exclusion records</w:t>
            </w:r>
          </w:p>
        </w:tc>
      </w:tr>
      <w:tr>
        <w:tc>
          <w:tcPr>
            <w:tcW w:type="dxa" w:w="4680"/>
            <w:shd w:val="clear" w:color="auto" w:fill="F2F5FA"/>
          </w:tcPr>
          <w:p>
            <w:pPr>
              <w:spacing w:after="40" w:before="40"/>
            </w:pPr>
            <w:r>
              <w:rPr>
                <w:rFonts w:ascii="Calibri" w:hAnsi="Calibri"/>
                <w:b/>
                <w:color w:val="000000"/>
                <w:sz w:val="20"/>
              </w:rPr>
              <w:t>How it enters</w:t>
            </w:r>
          </w:p>
        </w:tc>
        <w:tc>
          <w:tcPr>
            <w:tcW w:type="dxa" w:w="4680"/>
            <w:shd w:val="clear" w:color="auto" w:fill="F2F5FA"/>
          </w:tcPr>
          <w:p>
            <w:pPr>
              <w:spacing w:after="40" w:before="40"/>
            </w:pPr>
            <w:r>
              <w:rPr>
                <w:rFonts w:ascii="Calibri" w:hAnsi="Calibri"/>
                <w:b w:val="0"/>
                <w:color w:val="000000"/>
                <w:sz w:val="20"/>
              </w:rPr>
              <w:t>Connector query per entity, with a 24-hour cache refresh</w:t>
            </w:r>
          </w:p>
        </w:tc>
      </w:tr>
      <w:tr>
        <w:tc>
          <w:tcPr>
            <w:tcW w:type="dxa" w:w="4680"/>
          </w:tcPr>
          <w:p>
            <w:pPr>
              <w:spacing w:after="40" w:before="40"/>
            </w:pPr>
            <w:r>
              <w:rPr>
                <w:rFonts w:ascii="Calibri" w:hAnsi="Calibri"/>
                <w:b/>
                <w:color w:val="000000"/>
                <w:sz w:val="20"/>
              </w:rPr>
              <w:t>Mode</w:t>
            </w:r>
          </w:p>
        </w:tc>
        <w:tc>
          <w:tcPr>
            <w:tcW w:type="dxa" w:w="4680"/>
          </w:tcPr>
          <w:p>
            <w:pPr>
              <w:spacing w:after="40" w:before="40"/>
            </w:pPr>
            <w:r>
              <w:rPr>
                <w:rFonts w:ascii="Calibri" w:hAnsi="Calibri"/>
                <w:b w:val="0"/>
                <w:color w:val="000000"/>
                <w:sz w:val="20"/>
              </w:rPr>
              <w:t>Live query with caching</w:t>
            </w:r>
          </w:p>
        </w:tc>
      </w:tr>
      <w:tr>
        <w:tc>
          <w:tcPr>
            <w:tcW w:type="dxa" w:w="4680"/>
            <w:shd w:val="clear" w:color="auto" w:fill="F2F5FA"/>
          </w:tcPr>
          <w:p>
            <w:pPr>
              <w:spacing w:after="40" w:before="40"/>
            </w:pPr>
            <w:r>
              <w:rPr>
                <w:rFonts w:ascii="Calibri" w:hAnsi="Calibri"/>
                <w:b/>
                <w:color w:val="000000"/>
                <w:sz w:val="20"/>
              </w:rPr>
              <w:t>Authentication</w:t>
            </w:r>
          </w:p>
        </w:tc>
        <w:tc>
          <w:tcPr>
            <w:tcW w:type="dxa" w:w="4680"/>
            <w:shd w:val="clear" w:color="auto" w:fill="F2F5FA"/>
          </w:tcPr>
          <w:p>
            <w:pPr>
              <w:spacing w:after="40" w:before="40"/>
            </w:pPr>
            <w:r>
              <w:rPr>
                <w:rFonts w:ascii="Calibri" w:hAnsi="Calibri"/>
                <w:b w:val="0"/>
                <w:color w:val="000000"/>
                <w:sz w:val="20"/>
              </w:rPr>
              <w:t>None required</w:t>
            </w:r>
          </w:p>
        </w:tc>
      </w:tr>
      <w:tr>
        <w:tc>
          <w:tcPr>
            <w:tcW w:type="dxa" w:w="4680"/>
          </w:tcPr>
          <w:p>
            <w:pPr>
              <w:spacing w:after="40" w:before="40"/>
            </w:pPr>
            <w:r>
              <w:rPr>
                <w:rFonts w:ascii="Calibri" w:hAnsi="Calibri"/>
                <w:b/>
                <w:color w:val="000000"/>
                <w:sz w:val="20"/>
              </w:rPr>
              <w:t>What it verifies</w:t>
            </w:r>
          </w:p>
        </w:tc>
        <w:tc>
          <w:tcPr>
            <w:tcW w:type="dxa" w:w="4680"/>
          </w:tcPr>
          <w:p>
            <w:pPr>
              <w:spacing w:after="40" w:before="40"/>
            </w:pPr>
            <w:r>
              <w:rPr>
                <w:rFonts w:ascii="Calibri" w:hAnsi="Calibri"/>
                <w:b w:val="0"/>
                <w:color w:val="000000"/>
                <w:sz w:val="20"/>
              </w:rPr>
              <w:t>Active exclusion status and historical exclusions that were subsequently resolved</w:t>
            </w:r>
          </w:p>
        </w:tc>
      </w:tr>
      <w:tr>
        <w:tc>
          <w:tcPr>
            <w:tcW w:type="dxa" w:w="4680"/>
            <w:shd w:val="clear" w:color="auto" w:fill="F2F5FA"/>
          </w:tcPr>
          <w:p>
            <w:pPr>
              <w:spacing w:after="40" w:before="40"/>
            </w:pPr>
            <w:r>
              <w:rPr>
                <w:rFonts w:ascii="Calibri" w:hAnsi="Calibri"/>
                <w:b/>
                <w:color w:val="000000"/>
                <w:sz w:val="20"/>
              </w:rPr>
              <w:t>If unavailable</w:t>
            </w:r>
          </w:p>
        </w:tc>
        <w:tc>
          <w:tcPr>
            <w:tcW w:type="dxa" w:w="4680"/>
            <w:shd w:val="clear" w:color="auto" w:fill="F2F5FA"/>
          </w:tcPr>
          <w:p>
            <w:pPr>
              <w:spacing w:after="40" w:before="40"/>
            </w:pPr>
            <w:r>
              <w:rPr>
                <w:rFonts w:ascii="Calibri" w:hAnsi="Calibri"/>
                <w:b w:val="0"/>
                <w:color w:val="000000"/>
                <w:sz w:val="20"/>
              </w:rPr>
              <w:t>Marked Indeterminate. This is the highest-consequence source: a clean-looking record cannot be trusted while LEIE is down, because an active exclusion is exactly what would be hidden</w:t>
            </w:r>
          </w:p>
        </w:tc>
      </w:tr>
    </w:tbl>
    <w:p>
      <w:pPr>
        <w:spacing w:after="80"/>
      </w:pPr>
    </w:p>
    <w:p>
      <w:pPr>
        <w:spacing w:after="120" w:before="0"/>
      </w:pPr>
      <w:r>
        <w:rPr>
          <w:rFonts w:ascii="Calibri" w:hAnsi="Calibri"/>
          <w:b/>
          <w:color w:val="000000"/>
          <w:sz w:val="22"/>
        </w:rPr>
        <w:t>How exclusion screening is performed.</w:t>
      </w:r>
      <w:r>
        <w:rPr>
          <w:rFonts w:ascii="Calibri" w:hAnsi="Calibri"/>
          <w:b w:val="0"/>
          <w:color w:val="000000"/>
          <w:sz w:val="22"/>
        </w:rPr>
        <w:t xml:space="preserve"> The entity's name and NPI are submitted to the exclusion connector. An active exclusion with no recorded reinstatement produces finding </w:t>
      </w:r>
      <w:r>
        <w:rPr>
          <w:rFonts w:ascii="Consolas" w:hAnsi="Consolas"/>
          <w:color w:val="000000"/>
          <w:sz w:val="22"/>
        </w:rPr>
        <w:t>LEIE_ACTIVE_EXCLUSION</w:t>
      </w:r>
      <w:r>
        <w:rPr>
          <w:rFonts w:ascii="Calibri" w:hAnsi="Calibri"/>
          <w:b w:val="0"/>
          <w:color w:val="000000"/>
          <w:sz w:val="22"/>
        </w:rPr>
        <w:t xml:space="preserve">, which forces bucket </w:t>
      </w:r>
      <w:r>
        <w:rPr>
          <w:rFonts w:ascii="Calibri" w:hAnsi="Calibri"/>
          <w:b/>
          <w:color w:val="000000"/>
          <w:sz w:val="22"/>
        </w:rPr>
        <w:t>B4 — Non-Compliant</w:t>
      </w:r>
      <w:r>
        <w:rPr>
          <w:rFonts w:ascii="Calibri" w:hAnsi="Calibri"/>
          <w:b w:val="0"/>
          <w:color w:val="000000"/>
          <w:sz w:val="22"/>
        </w:rPr>
        <w:t xml:space="preserve"> and Tier 3 escalation. A historical exclusion with a confirmed reinstatement produces </w:t>
      </w:r>
      <w:r>
        <w:rPr>
          <w:rFonts w:ascii="Consolas" w:hAnsi="Consolas"/>
          <w:color w:val="000000"/>
          <w:sz w:val="22"/>
        </w:rPr>
        <w:t>LEIE_HISTORICAL_RESOLVED</w:t>
      </w:r>
      <w:r>
        <w:rPr>
          <w:rFonts w:ascii="Calibri" w:hAnsi="Calibri"/>
          <w:b w:val="0"/>
          <w:color w:val="000000"/>
          <w:sz w:val="22"/>
        </w:rPr>
        <w:t xml:space="preserve">, a </w:t>
      </w:r>
      <w:r>
        <w:rPr>
          <w:rFonts w:ascii="Calibri" w:hAnsi="Calibri"/>
          <w:b/>
          <w:color w:val="000000"/>
          <w:sz w:val="22"/>
        </w:rPr>
        <w:t>B2</w:t>
      </w:r>
      <w:r>
        <w:rPr>
          <w:rFonts w:ascii="Calibri" w:hAnsi="Calibri"/>
          <w:b w:val="0"/>
          <w:color w:val="000000"/>
          <w:sz w:val="22"/>
        </w:rPr>
        <w:t xml:space="preserve"> administrative finding — it is disclosed but does not condemn the entity.</w:t>
      </w:r>
    </w:p>
    <w:p>
      <w:pPr>
        <w:pStyle w:val="Heading3"/>
        <w:keepNext/>
        <w:spacing w:before="200" w:after="120"/>
        <w:outlineLvl w:val="2"/>
      </w:pPr>
      <w:r>
        <w:rPr>
          <w:rFonts w:ascii="Calibri" w:hAnsi="Calibri"/>
          <w:b/>
          <w:color w:val="003087"/>
          <w:sz w:val="23"/>
        </w:rPr>
        <w:t>Medicare enrollment indicator</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THIS IS NOT A PECOS INTEGRATION</w:t>
            </w:r>
          </w:p>
          <w:p>
            <w:pPr>
              <w:spacing w:after="0" w:before="0"/>
            </w:pPr>
            <w:r>
              <w:rPr>
                <w:rFonts w:ascii="Calibri" w:hAnsi="Calibri"/>
                <w:b w:val="0"/>
                <w:color w:val="000000"/>
                <w:sz w:val="21"/>
              </w:rPr>
              <w:t>Medicare enrollment status is derived from CMS public data obtained through the NPPES registry endpoint. This provides enrollment indicators but is not a direct integration with the CMS PECOS system. A direct PECOS data feed requires COR-provisioned access.</w:t>
            </w:r>
          </w:p>
        </w:tc>
      </w:tr>
    </w:tbl>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Source</w:t>
            </w:r>
          </w:p>
        </w:tc>
        <w:tc>
          <w:tcPr>
            <w:tcW w:type="dxa" w:w="4680"/>
            <w:shd w:val="clear" w:color="auto" w:fill="003087"/>
          </w:tcPr>
          <w:p>
            <w:pPr>
              <w:spacing w:after="40" w:before="40"/>
            </w:pPr>
            <w:r>
              <w:rPr>
                <w:rFonts w:ascii="Calibri" w:hAnsi="Calibri"/>
                <w:b/>
                <w:color w:val="FFFFFF"/>
                <w:sz w:val="20"/>
              </w:rPr>
              <w:t>CMS public data via the NPPES registry endpoint</w:t>
            </w:r>
          </w:p>
        </w:tc>
      </w:tr>
      <w:tr>
        <w:tc>
          <w:tcPr>
            <w:tcW w:type="dxa" w:w="4680"/>
          </w:tcPr>
          <w:p>
            <w:pPr>
              <w:spacing w:after="40" w:before="40"/>
            </w:pPr>
            <w:r>
              <w:rPr>
                <w:rFonts w:ascii="Calibri" w:hAnsi="Calibri"/>
                <w:b/>
                <w:color w:val="000000"/>
                <w:sz w:val="20"/>
              </w:rPr>
              <w:t>Status</w:t>
            </w:r>
          </w:p>
        </w:tc>
        <w:tc>
          <w:tcPr>
            <w:tcW w:type="dxa" w:w="4680"/>
          </w:tcPr>
          <w:p>
            <w:pPr>
              <w:spacing w:after="40" w:before="40"/>
            </w:pPr>
            <w:r>
              <w:rPr>
                <w:rFonts w:ascii="Calibri" w:hAnsi="Calibri"/>
                <w:b/>
                <w:color w:val="000000"/>
                <w:sz w:val="20"/>
              </w:rPr>
              <w:t>PRODUCTION</w:t>
            </w:r>
            <w:r>
              <w:rPr>
                <w:rFonts w:ascii="Calibri" w:hAnsi="Calibri"/>
                <w:b w:val="0"/>
                <w:color w:val="000000"/>
                <w:sz w:val="20"/>
              </w:rPr>
              <w:t xml:space="preserve"> — reports available</w:t>
            </w:r>
          </w:p>
        </w:tc>
      </w:tr>
      <w:tr>
        <w:tc>
          <w:tcPr>
            <w:tcW w:type="dxa" w:w="4680"/>
            <w:shd w:val="clear" w:color="auto" w:fill="F2F5FA"/>
          </w:tcPr>
          <w:p>
            <w:pPr>
              <w:spacing w:after="40" w:before="40"/>
            </w:pPr>
            <w:r>
              <w:rPr>
                <w:rFonts w:ascii="Calibri" w:hAnsi="Calibri"/>
                <w:b/>
                <w:color w:val="000000"/>
                <w:sz w:val="20"/>
              </w:rPr>
              <w:t>Purpose</w:t>
            </w:r>
          </w:p>
        </w:tc>
        <w:tc>
          <w:tcPr>
            <w:tcW w:type="dxa" w:w="4680"/>
            <w:shd w:val="clear" w:color="auto" w:fill="F2F5FA"/>
          </w:tcPr>
          <w:p>
            <w:pPr>
              <w:spacing w:after="40" w:before="40"/>
            </w:pPr>
            <w:r>
              <w:rPr>
                <w:rFonts w:ascii="Calibri" w:hAnsi="Calibri"/>
                <w:b w:val="0"/>
                <w:color w:val="000000"/>
                <w:sz w:val="20"/>
              </w:rPr>
              <w:t>Provide an enrollment indicator: provider name, provider type and taxonomy, address, enumeration date, and status</w:t>
            </w:r>
          </w:p>
        </w:tc>
      </w:tr>
      <w:tr>
        <w:tc>
          <w:tcPr>
            <w:tcW w:type="dxa" w:w="4680"/>
          </w:tcPr>
          <w:p>
            <w:pPr>
              <w:spacing w:after="40" w:before="40"/>
            </w:pPr>
            <w:r>
              <w:rPr>
                <w:rFonts w:ascii="Calibri" w:hAnsi="Calibri"/>
                <w:b/>
                <w:color w:val="000000"/>
                <w:sz w:val="20"/>
              </w:rPr>
              <w:t>Data received</w:t>
            </w:r>
          </w:p>
        </w:tc>
        <w:tc>
          <w:tcPr>
            <w:tcW w:type="dxa" w:w="4680"/>
          </w:tcPr>
          <w:p>
            <w:pPr>
              <w:spacing w:after="40" w:before="40"/>
            </w:pPr>
            <w:r>
              <w:rPr>
                <w:rFonts w:ascii="Calibri" w:hAnsi="Calibri"/>
                <w:b w:val="0"/>
                <w:color w:val="000000"/>
                <w:sz w:val="20"/>
              </w:rPr>
              <w:t>The same record NPPES returns, interpreted for enrollment purposes</w:t>
            </w:r>
          </w:p>
        </w:tc>
      </w:tr>
      <w:tr>
        <w:tc>
          <w:tcPr>
            <w:tcW w:type="dxa" w:w="4680"/>
            <w:shd w:val="clear" w:color="auto" w:fill="F2F5FA"/>
          </w:tcPr>
          <w:p>
            <w:pPr>
              <w:spacing w:after="40" w:before="40"/>
            </w:pPr>
            <w:r>
              <w:rPr>
                <w:rFonts w:ascii="Calibri" w:hAnsi="Calibri"/>
                <w:b/>
                <w:color w:val="000000"/>
                <w:sz w:val="20"/>
              </w:rPr>
              <w:t>Mode</w:t>
            </w:r>
          </w:p>
        </w:tc>
        <w:tc>
          <w:tcPr>
            <w:tcW w:type="dxa" w:w="4680"/>
            <w:shd w:val="clear" w:color="auto" w:fill="F2F5FA"/>
          </w:tcPr>
          <w:p>
            <w:pPr>
              <w:spacing w:after="40" w:before="40"/>
            </w:pPr>
            <w:r>
              <w:rPr>
                <w:rFonts w:ascii="Calibri" w:hAnsi="Calibri"/>
                <w:b w:val="0"/>
                <w:color w:val="000000"/>
                <w:sz w:val="20"/>
              </w:rPr>
              <w:t>Real-time</w:t>
            </w:r>
          </w:p>
        </w:tc>
      </w:tr>
      <w:tr>
        <w:tc>
          <w:tcPr>
            <w:tcW w:type="dxa" w:w="4680"/>
          </w:tcPr>
          <w:p>
            <w:pPr>
              <w:spacing w:after="40" w:before="40"/>
            </w:pPr>
            <w:r>
              <w:rPr>
                <w:rFonts w:ascii="Calibri" w:hAnsi="Calibri"/>
                <w:b/>
                <w:color w:val="000000"/>
                <w:sz w:val="20"/>
              </w:rPr>
              <w:t>What it verifies</w:t>
            </w:r>
          </w:p>
        </w:tc>
        <w:tc>
          <w:tcPr>
            <w:tcW w:type="dxa" w:w="4680"/>
          </w:tcPr>
          <w:p>
            <w:pPr>
              <w:spacing w:after="40" w:before="40"/>
            </w:pPr>
            <w:r>
              <w:rPr>
                <w:rFonts w:ascii="Calibri" w:hAnsi="Calibri"/>
                <w:b w:val="0"/>
                <w:color w:val="000000"/>
                <w:sz w:val="20"/>
              </w:rPr>
              <w:t>That the provider is enumerated and its enrollment details are consistent with the submission</w:t>
            </w:r>
          </w:p>
        </w:tc>
      </w:tr>
      <w:tr>
        <w:tc>
          <w:tcPr>
            <w:tcW w:type="dxa" w:w="4680"/>
            <w:shd w:val="clear" w:color="auto" w:fill="F2F5FA"/>
          </w:tcPr>
          <w:p>
            <w:pPr>
              <w:spacing w:after="40" w:before="40"/>
            </w:pPr>
            <w:r>
              <w:rPr>
                <w:rFonts w:ascii="Calibri" w:hAnsi="Calibri"/>
                <w:b/>
                <w:color w:val="000000"/>
                <w:sz w:val="20"/>
              </w:rPr>
              <w:t>What it does not verify</w:t>
            </w:r>
          </w:p>
        </w:tc>
        <w:tc>
          <w:tcPr>
            <w:tcW w:type="dxa" w:w="4680"/>
            <w:shd w:val="clear" w:color="auto" w:fill="F2F5FA"/>
          </w:tcPr>
          <w:p>
            <w:pPr>
              <w:spacing w:after="40" w:before="40"/>
            </w:pPr>
            <w:r>
              <w:rPr>
                <w:rFonts w:ascii="Calibri" w:hAnsi="Calibri"/>
                <w:b/>
                <w:color w:val="000000"/>
                <w:sz w:val="20"/>
              </w:rPr>
              <w:t>Payment suspension.</w:t>
            </w:r>
            <w:r>
              <w:rPr>
                <w:rFonts w:ascii="Calibri" w:hAnsi="Calibri"/>
                <w:b w:val="0"/>
                <w:color w:val="000000"/>
                <w:sz w:val="20"/>
              </w:rPr>
              <w:t xml:space="preserve"> The payment-suspension flag is reported as "not provided by this source" — never as a clean value. Determining payment suspension requires a COR-provisioned CMS feed the programme does not currently have</w:t>
            </w:r>
          </w:p>
        </w:tc>
      </w:tr>
      <w:tr>
        <w:tc>
          <w:tcPr>
            <w:tcW w:type="dxa" w:w="4680"/>
          </w:tcPr>
          <w:p>
            <w:pPr>
              <w:spacing w:after="40" w:before="40"/>
            </w:pPr>
            <w:r>
              <w:rPr>
                <w:rFonts w:ascii="Calibri" w:hAnsi="Calibri"/>
                <w:b/>
                <w:color w:val="000000"/>
                <w:sz w:val="20"/>
              </w:rPr>
              <w:t>If unavailable</w:t>
            </w:r>
          </w:p>
        </w:tc>
        <w:tc>
          <w:tcPr>
            <w:tcW w:type="dxa" w:w="4680"/>
          </w:tcPr>
          <w:p>
            <w:pPr>
              <w:spacing w:after="40" w:before="40"/>
            </w:pPr>
            <w:r>
              <w:rPr>
                <w:rFonts w:ascii="Calibri" w:hAnsi="Calibri"/>
                <w:b w:val="0"/>
                <w:color w:val="000000"/>
                <w:sz w:val="20"/>
              </w:rPr>
              <w:t>Marked Indeterminate, as with NPPES</w:t>
            </w:r>
          </w:p>
        </w:tc>
      </w:tr>
    </w:tbl>
    <w:p>
      <w:pPr>
        <w:spacing w:after="80"/>
      </w:pPr>
    </w:p>
    <w:p>
      <w:pPr>
        <w:spacing w:after="120" w:before="0"/>
      </w:pPr>
      <w:r>
        <w:rPr>
          <w:rFonts w:ascii="Calibri" w:hAnsi="Calibri"/>
          <w:b w:val="0"/>
          <w:color w:val="000000"/>
          <w:sz w:val="22"/>
        </w:rPr>
        <w:t xml:space="preserve">Because this indicator and the NPI check use the same endpoint, they succeed and fail together. Two green indicators here represent </w:t>
      </w:r>
      <w:r>
        <w:rPr>
          <w:rFonts w:ascii="Calibri" w:hAnsi="Calibri"/>
          <w:b/>
          <w:color w:val="000000"/>
          <w:sz w:val="22"/>
        </w:rPr>
        <w:t>one</w:t>
      </w:r>
      <w:r>
        <w:rPr>
          <w:rFonts w:ascii="Calibri" w:hAnsi="Calibri"/>
          <w:b w:val="0"/>
          <w:color w:val="000000"/>
          <w:sz w:val="22"/>
        </w:rPr>
        <w:t xml:space="preserve"> underlying source, and coverage counts should be read with that in mind.</w:t>
      </w:r>
    </w:p>
    <w:p>
      <w:pPr>
        <w:pStyle w:val="Heading3"/>
        <w:keepNext/>
        <w:spacing w:before="200" w:after="120"/>
        <w:outlineLvl w:val="2"/>
      </w:pPr>
      <w:r>
        <w:rPr>
          <w:rFonts w:ascii="Calibri" w:hAnsi="Calibri"/>
          <w:b/>
          <w:color w:val="003087"/>
          <w:sz w:val="23"/>
        </w:rPr>
        <w:t>SAM.gov — System for Award Management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Source</w:t>
            </w:r>
          </w:p>
        </w:tc>
        <w:tc>
          <w:tcPr>
            <w:tcW w:type="dxa" w:w="4680"/>
            <w:shd w:val="clear" w:color="auto" w:fill="003087"/>
          </w:tcPr>
          <w:p>
            <w:pPr>
              <w:spacing w:after="40" w:before="40"/>
            </w:pPr>
            <w:r>
              <w:rPr>
                <w:rFonts w:ascii="Calibri" w:hAnsi="Calibri"/>
                <w:b/>
                <w:color w:val="FFFFFF"/>
                <w:sz w:val="20"/>
              </w:rPr>
              <w:t>GSA System for Award Management</w:t>
            </w:r>
          </w:p>
        </w:tc>
      </w:tr>
      <w:tr>
        <w:tc>
          <w:tcPr>
            <w:tcW w:type="dxa" w:w="4680"/>
          </w:tcPr>
          <w:p>
            <w:pPr>
              <w:spacing w:after="40" w:before="40"/>
            </w:pPr>
            <w:r>
              <w:rPr>
                <w:rFonts w:ascii="Calibri" w:hAnsi="Calibri"/>
                <w:b/>
                <w:color w:val="000000"/>
                <w:sz w:val="20"/>
              </w:rPr>
              <w:t>Status</w:t>
            </w:r>
          </w:p>
        </w:tc>
        <w:tc>
          <w:tcPr>
            <w:tcW w:type="dxa" w:w="4680"/>
          </w:tcPr>
          <w:p>
            <w:pPr>
              <w:spacing w:after="40" w:before="40"/>
            </w:pPr>
            <w:r>
              <w:rPr>
                <w:rFonts w:ascii="Calibri" w:hAnsi="Calibri"/>
                <w:b/>
                <w:color w:val="000000"/>
                <w:sz w:val="20"/>
              </w:rPr>
              <w:t>CONFIGURED, NON-FUNCTIONAL</w:t>
            </w:r>
            <w:r>
              <w:rPr>
                <w:rFonts w:ascii="Calibri" w:hAnsi="Calibri"/>
                <w:b w:val="0"/>
                <w:color w:val="000000"/>
                <w:sz w:val="20"/>
              </w:rPr>
              <w:t xml:space="preserve"> on both environments</w:t>
            </w:r>
          </w:p>
        </w:tc>
      </w:tr>
      <w:tr>
        <w:tc>
          <w:tcPr>
            <w:tcW w:type="dxa" w:w="4680"/>
            <w:shd w:val="clear" w:color="auto" w:fill="F2F5FA"/>
          </w:tcPr>
          <w:p>
            <w:pPr>
              <w:spacing w:after="40" w:before="40"/>
            </w:pPr>
            <w:r>
              <w:rPr>
                <w:rFonts w:ascii="Calibri" w:hAnsi="Calibri"/>
                <w:b/>
                <w:color w:val="000000"/>
                <w:sz w:val="20"/>
              </w:rPr>
              <w:t>Condition</w:t>
            </w:r>
          </w:p>
        </w:tc>
        <w:tc>
          <w:tcPr>
            <w:tcW w:type="dxa" w:w="4680"/>
            <w:shd w:val="clear" w:color="auto" w:fill="F2F5FA"/>
          </w:tcPr>
          <w:p>
            <w:pPr>
              <w:spacing w:after="40" w:before="40"/>
            </w:pPr>
            <w:r>
              <w:rPr>
                <w:rFonts w:ascii="Calibri" w:hAnsi="Calibri"/>
                <w:b w:val="0"/>
                <w:color w:val="000000"/>
                <w:sz w:val="20"/>
              </w:rPr>
              <w:t>API key is configured. Entity lookup endpoints are returning 404 due to an upstream routing issue at api.sam.gov. This is not an application defect</w:t>
            </w:r>
          </w:p>
        </w:tc>
      </w:tr>
      <w:tr>
        <w:tc>
          <w:tcPr>
            <w:tcW w:type="dxa" w:w="4680"/>
          </w:tcPr>
          <w:p>
            <w:pPr>
              <w:spacing w:after="40" w:before="40"/>
            </w:pPr>
            <w:r>
              <w:rPr>
                <w:rFonts w:ascii="Calibri" w:hAnsi="Calibri"/>
                <w:b/>
                <w:color w:val="000000"/>
                <w:sz w:val="20"/>
              </w:rPr>
              <w:t>Purpose (when operational)</w:t>
            </w:r>
          </w:p>
        </w:tc>
        <w:tc>
          <w:tcPr>
            <w:tcW w:type="dxa" w:w="4680"/>
          </w:tcPr>
          <w:p>
            <w:pPr>
              <w:spacing w:after="40" w:before="40"/>
            </w:pPr>
            <w:r>
              <w:rPr>
                <w:rFonts w:ascii="Calibri" w:hAnsi="Calibri"/>
                <w:b w:val="0"/>
                <w:color w:val="000000"/>
                <w:sz w:val="20"/>
              </w:rPr>
              <w:t>Federal registration status, UEI verification, debarment and suspension screening, address cross-reference</w:t>
            </w:r>
          </w:p>
        </w:tc>
      </w:tr>
      <w:tr>
        <w:tc>
          <w:tcPr>
            <w:tcW w:type="dxa" w:w="4680"/>
            <w:shd w:val="clear" w:color="auto" w:fill="F2F5FA"/>
          </w:tcPr>
          <w:p>
            <w:pPr>
              <w:spacing w:after="40" w:before="40"/>
            </w:pPr>
            <w:r>
              <w:rPr>
                <w:rFonts w:ascii="Calibri" w:hAnsi="Calibri"/>
                <w:b/>
                <w:color w:val="000000"/>
                <w:sz w:val="20"/>
              </w:rPr>
              <w:t>Current behaviour</w:t>
            </w:r>
          </w:p>
        </w:tc>
        <w:tc>
          <w:tcPr>
            <w:tcW w:type="dxa" w:w="4680"/>
            <w:shd w:val="clear" w:color="auto" w:fill="F2F5FA"/>
          </w:tcPr>
          <w:p>
            <w:pPr>
              <w:spacing w:after="40" w:before="40"/>
            </w:pPr>
            <w:r>
              <w:rPr>
                <w:rFonts w:ascii="Calibri" w:hAnsi="Calibri"/>
                <w:b w:val="0"/>
                <w:color w:val="000000"/>
                <w:sz w:val="20"/>
              </w:rPr>
              <w:t xml:space="preserve">Reported as </w:t>
            </w:r>
            <w:r>
              <w:rPr>
                <w:rFonts w:ascii="Consolas" w:hAnsi="Consolas"/>
                <w:color w:val="000000"/>
                <w:sz w:val="20"/>
              </w:rPr>
              <w:t>unavailable</w:t>
            </w:r>
            <w:r>
              <w:rPr>
                <w:rFonts w:ascii="Calibri" w:hAnsi="Calibri"/>
                <w:b w:val="0"/>
                <w:color w:val="000000"/>
                <w:sz w:val="20"/>
              </w:rPr>
              <w:t xml:space="preserve"> in connector health, and as </w:t>
            </w:r>
            <w:r>
              <w:rPr>
                <w:rFonts w:ascii="Consolas" w:hAnsi="Consolas"/>
                <w:color w:val="000000"/>
                <w:sz w:val="20"/>
              </w:rPr>
              <w:t>not_checked</w:t>
            </w:r>
            <w:r>
              <w:rPr>
                <w:rFonts w:ascii="Calibri" w:hAnsi="Calibri"/>
                <w:b w:val="0"/>
                <w:color w:val="000000"/>
                <w:sz w:val="20"/>
              </w:rPr>
              <w:t xml:space="preserve"> with a stated reason in review coverage. It is excluded from the coverage denominator rather than counted as a failure</w:t>
            </w:r>
          </w:p>
        </w:tc>
      </w:tr>
      <w:tr>
        <w:tc>
          <w:tcPr>
            <w:tcW w:type="dxa" w:w="4680"/>
          </w:tcPr>
          <w:p>
            <w:pPr>
              <w:spacing w:after="40" w:before="40"/>
            </w:pPr>
            <w:r>
              <w:rPr>
                <w:rFonts w:ascii="Calibri" w:hAnsi="Calibri"/>
                <w:b/>
                <w:color w:val="000000"/>
                <w:sz w:val="20"/>
              </w:rPr>
              <w:t>Effect on reviews</w:t>
            </w:r>
          </w:p>
        </w:tc>
        <w:tc>
          <w:tcPr>
            <w:tcW w:type="dxa" w:w="4680"/>
          </w:tcPr>
          <w:p>
            <w:pPr>
              <w:spacing w:after="40" w:before="40"/>
            </w:pPr>
            <w:r>
              <w:rPr>
                <w:rFonts w:ascii="Calibri" w:hAnsi="Calibri"/>
                <w:b w:val="0"/>
                <w:color w:val="000000"/>
                <w:sz w:val="20"/>
              </w:rPr>
              <w:t>Findings that depend on SAM — active debarment, lapsed registration — cannot currently be produced. Reviewers must not infer that absence of a SAM finding means the entity is clear with SAM</w:t>
            </w:r>
          </w:p>
        </w:tc>
      </w:tr>
    </w:tbl>
    <w:p>
      <w:pPr>
        <w:spacing w:after="80"/>
      </w:pPr>
    </w:p>
    <w:p>
      <w:pPr>
        <w:pStyle w:val="Heading3"/>
        <w:keepNext/>
        <w:spacing w:before="200" w:after="120"/>
        <w:outlineLvl w:val="2"/>
      </w:pPr>
      <w:r>
        <w:rPr>
          <w:rFonts w:ascii="Calibri" w:hAnsi="Calibri"/>
          <w:b/>
          <w:color w:val="003087"/>
          <w:sz w:val="23"/>
        </w:rPr>
        <w:t>USPS Address APIs v3</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Source</w:t>
            </w:r>
          </w:p>
        </w:tc>
        <w:tc>
          <w:tcPr>
            <w:tcW w:type="dxa" w:w="4680"/>
            <w:shd w:val="clear" w:color="auto" w:fill="003087"/>
          </w:tcPr>
          <w:p>
            <w:pPr>
              <w:spacing w:after="40" w:before="40"/>
            </w:pPr>
            <w:r>
              <w:rPr>
                <w:rFonts w:ascii="Calibri" w:hAnsi="Calibri"/>
                <w:b/>
                <w:color w:val="FFFFFF"/>
                <w:sz w:val="20"/>
              </w:rPr>
              <w:t xml:space="preserve">USPS APIs v3, OAuth 2.0 client credentials, </w:t>
            </w:r>
            <w:r>
              <w:rPr>
                <w:rFonts w:ascii="Consolas" w:hAnsi="Consolas"/>
                <w:b/>
                <w:color w:val="FFFFFF"/>
                <w:sz w:val="20"/>
              </w:rPr>
              <w:t>apis.usps.com</w:t>
            </w:r>
          </w:p>
        </w:tc>
      </w:tr>
      <w:tr>
        <w:tc>
          <w:tcPr>
            <w:tcW w:type="dxa" w:w="4680"/>
          </w:tcPr>
          <w:p>
            <w:pPr>
              <w:spacing w:after="40" w:before="40"/>
            </w:pPr>
            <w:r>
              <w:rPr>
                <w:rFonts w:ascii="Calibri" w:hAnsi="Calibri"/>
                <w:b/>
                <w:color w:val="000000"/>
                <w:sz w:val="20"/>
              </w:rPr>
              <w:t>Status</w:t>
            </w:r>
          </w:p>
        </w:tc>
        <w:tc>
          <w:tcPr>
            <w:tcW w:type="dxa" w:w="4680"/>
          </w:tcPr>
          <w:p>
            <w:pPr>
              <w:spacing w:after="40" w:before="40"/>
            </w:pPr>
            <w:r>
              <w:rPr>
                <w:rFonts w:ascii="Calibri" w:hAnsi="Calibri"/>
                <w:b/>
                <w:color w:val="000000"/>
                <w:sz w:val="20"/>
              </w:rPr>
              <w:t>PRODUCTION — configured on both environments</w:t>
            </w:r>
            <w:r>
              <w:rPr>
                <w:rFonts w:ascii="Calibri" w:hAnsi="Calibri"/>
                <w:b w:val="0"/>
                <w:color w:val="000000"/>
                <w:sz w:val="20"/>
              </w:rPr>
              <w:t xml:space="preserve">, environment set to production, circuit breaker closed. </w:t>
            </w:r>
            <w:r>
              <w:rPr>
                <w:rFonts w:ascii="Calibri" w:hAnsi="Calibri"/>
                <w:b/>
                <w:color w:val="000000"/>
                <w:sz w:val="20"/>
              </w:rPr>
              <w:t>Zero production calls recorded to date</w:t>
            </w:r>
          </w:p>
        </w:tc>
      </w:tr>
      <w:tr>
        <w:tc>
          <w:tcPr>
            <w:tcW w:type="dxa" w:w="4680"/>
            <w:shd w:val="clear" w:color="auto" w:fill="F2F5FA"/>
          </w:tcPr>
          <w:p>
            <w:pPr>
              <w:spacing w:after="40" w:before="40"/>
            </w:pPr>
            <w:r>
              <w:rPr>
                <w:rFonts w:ascii="Calibri" w:hAnsi="Calibri"/>
                <w:b/>
                <w:color w:val="000000"/>
                <w:sz w:val="20"/>
              </w:rPr>
              <w:t>Purpose</w:t>
            </w:r>
          </w:p>
        </w:tc>
        <w:tc>
          <w:tcPr>
            <w:tcW w:type="dxa" w:w="4680"/>
            <w:shd w:val="clear" w:color="auto" w:fill="F2F5FA"/>
          </w:tcPr>
          <w:p>
            <w:pPr>
              <w:spacing w:after="40" w:before="40"/>
            </w:pPr>
            <w:r>
              <w:rPr>
                <w:rFonts w:ascii="Calibri" w:hAnsi="Calibri"/>
                <w:b w:val="0"/>
                <w:color w:val="000000"/>
                <w:sz w:val="20"/>
              </w:rPr>
              <w:t>Standardize and validate a street address against USPS records</w:t>
            </w:r>
          </w:p>
        </w:tc>
      </w:tr>
      <w:tr>
        <w:tc>
          <w:tcPr>
            <w:tcW w:type="dxa" w:w="4680"/>
          </w:tcPr>
          <w:p>
            <w:pPr>
              <w:spacing w:after="40" w:before="40"/>
            </w:pPr>
            <w:r>
              <w:rPr>
                <w:rFonts w:ascii="Calibri" w:hAnsi="Calibri"/>
                <w:b/>
                <w:color w:val="000000"/>
                <w:sz w:val="20"/>
              </w:rPr>
              <w:t>Data received</w:t>
            </w:r>
          </w:p>
        </w:tc>
        <w:tc>
          <w:tcPr>
            <w:tcW w:type="dxa" w:w="4680"/>
          </w:tcPr>
          <w:p>
            <w:pPr>
              <w:spacing w:after="40" w:before="40"/>
            </w:pPr>
            <w:r>
              <w:rPr>
                <w:rFonts w:ascii="Calibri" w:hAnsi="Calibri"/>
                <w:b w:val="0"/>
                <w:color w:val="000000"/>
                <w:sz w:val="20"/>
              </w:rPr>
              <w:t>Standardized address line, city, state, ZIP5, ZIP+4, delivery-point validation indicators</w:t>
            </w:r>
          </w:p>
        </w:tc>
      </w:tr>
      <w:tr>
        <w:tc>
          <w:tcPr>
            <w:tcW w:type="dxa" w:w="4680"/>
            <w:shd w:val="clear" w:color="auto" w:fill="F2F5FA"/>
          </w:tcPr>
          <w:p>
            <w:pPr>
              <w:spacing w:after="40" w:before="40"/>
            </w:pPr>
            <w:r>
              <w:rPr>
                <w:rFonts w:ascii="Calibri" w:hAnsi="Calibri"/>
                <w:b/>
                <w:color w:val="000000"/>
                <w:sz w:val="20"/>
              </w:rPr>
              <w:t>Mode</w:t>
            </w:r>
          </w:p>
        </w:tc>
        <w:tc>
          <w:tcPr>
            <w:tcW w:type="dxa" w:w="4680"/>
            <w:shd w:val="clear" w:color="auto" w:fill="F2F5FA"/>
          </w:tcPr>
          <w:p>
            <w:pPr>
              <w:spacing w:after="40" w:before="40"/>
            </w:pPr>
            <w:r>
              <w:rPr>
                <w:rFonts w:ascii="Calibri" w:hAnsi="Calibri"/>
                <w:b w:val="0"/>
                <w:color w:val="000000"/>
                <w:sz w:val="20"/>
              </w:rPr>
              <w:t>Real-time, on demand</w:t>
            </w:r>
          </w:p>
        </w:tc>
      </w:tr>
      <w:tr>
        <w:tc>
          <w:tcPr>
            <w:tcW w:type="dxa" w:w="4680"/>
          </w:tcPr>
          <w:p>
            <w:pPr>
              <w:spacing w:after="40" w:before="40"/>
            </w:pPr>
            <w:r>
              <w:rPr>
                <w:rFonts w:ascii="Calibri" w:hAnsi="Calibri"/>
                <w:b/>
                <w:color w:val="000000"/>
                <w:sz w:val="20"/>
              </w:rPr>
              <w:t>Protections</w:t>
            </w:r>
          </w:p>
        </w:tc>
        <w:tc>
          <w:tcPr>
            <w:tcW w:type="dxa" w:w="4680"/>
          </w:tcPr>
          <w:p>
            <w:pPr>
              <w:spacing w:after="40" w:before="40"/>
            </w:pPr>
            <w:r>
              <w:rPr>
                <w:rFonts w:ascii="Calibri" w:hAnsi="Calibri"/>
                <w:b w:val="0"/>
                <w:color w:val="000000"/>
                <w:sz w:val="20"/>
              </w:rPr>
              <w:t>Bounded retries with exponential backoff; no retry on 400, 401 or 404; circuit breaker opens after five consecutive failures and stays open for five minutes; address values are never written to application logs</w:t>
            </w:r>
          </w:p>
        </w:tc>
      </w:tr>
      <w:tr>
        <w:tc>
          <w:tcPr>
            <w:tcW w:type="dxa" w:w="4680"/>
            <w:shd w:val="clear" w:color="auto" w:fill="F2F5FA"/>
          </w:tcPr>
          <w:p>
            <w:pPr>
              <w:spacing w:after="40" w:before="40"/>
            </w:pPr>
            <w:r>
              <w:rPr>
                <w:rFonts w:ascii="Calibri" w:hAnsi="Calibri"/>
                <w:b/>
                <w:color w:val="000000"/>
                <w:sz w:val="20"/>
              </w:rPr>
              <w:t>If unavailable</w:t>
            </w:r>
          </w:p>
        </w:tc>
        <w:tc>
          <w:tcPr>
            <w:tcW w:type="dxa" w:w="4680"/>
            <w:shd w:val="clear" w:color="auto" w:fill="F2F5FA"/>
          </w:tcPr>
          <w:p>
            <w:pPr>
              <w:spacing w:after="40" w:before="40"/>
            </w:pPr>
            <w:r>
              <w:rPr>
                <w:rFonts w:ascii="Calibri" w:hAnsi="Calibri"/>
                <w:b w:val="0"/>
                <w:color w:val="000000"/>
                <w:sz w:val="20"/>
              </w:rPr>
              <w:t>The system falls back to code-only normalization automatically. An address check can never break a review. The result records that the standardization came from the fallback rather than from USPS</w:t>
            </w:r>
          </w:p>
        </w:tc>
      </w:tr>
    </w:tbl>
    <w:p>
      <w:pPr>
        <w:spacing w:after="80"/>
      </w:pPr>
    </w:p>
    <w:p>
      <w:pPr>
        <w:pStyle w:val="Heading3"/>
        <w:keepNext/>
        <w:spacing w:before="200" w:after="120"/>
        <w:outlineLvl w:val="2"/>
      </w:pPr>
      <w:r>
        <w:rPr>
          <w:rFonts w:ascii="Calibri" w:hAnsi="Calibri"/>
          <w:b/>
          <w:color w:val="003087"/>
          <w:sz w:val="23"/>
        </w:rPr>
        <w:t>Address normalization — USPS Publication 28</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Status</w:t>
            </w:r>
          </w:p>
        </w:tc>
        <w:tc>
          <w:tcPr>
            <w:tcW w:type="dxa" w:w="4680"/>
            <w:shd w:val="clear" w:color="auto" w:fill="003087"/>
          </w:tcPr>
          <w:p>
            <w:pPr>
              <w:spacing w:after="40" w:before="40"/>
            </w:pPr>
            <w:r>
              <w:rPr>
                <w:rFonts w:ascii="Calibri" w:hAnsi="Calibri"/>
                <w:b/>
                <w:color w:val="FFFFFF"/>
                <w:sz w:val="20"/>
              </w:rPr>
              <w:t>PRODUCTION</w:t>
            </w:r>
            <w:r>
              <w:rPr>
                <w:rFonts w:ascii="Calibri" w:hAnsi="Calibri"/>
                <w:b/>
                <w:color w:val="FFFFFF"/>
                <w:sz w:val="20"/>
              </w:rPr>
              <w:t xml:space="preserve"> — always available, no key, no network, no quota</w:t>
            </w:r>
          </w:p>
        </w:tc>
      </w:tr>
      <w:tr>
        <w:tc>
          <w:tcPr>
            <w:tcW w:type="dxa" w:w="4680"/>
          </w:tcPr>
          <w:p>
            <w:pPr>
              <w:spacing w:after="40" w:before="40"/>
            </w:pPr>
            <w:r>
              <w:rPr>
                <w:rFonts w:ascii="Calibri" w:hAnsi="Calibri"/>
                <w:b/>
                <w:color w:val="000000"/>
                <w:sz w:val="20"/>
              </w:rPr>
              <w:t>Purpose</w:t>
            </w:r>
          </w:p>
        </w:tc>
        <w:tc>
          <w:tcPr>
            <w:tcW w:type="dxa" w:w="4680"/>
          </w:tcPr>
          <w:p>
            <w:pPr>
              <w:spacing w:after="40" w:before="40"/>
            </w:pPr>
            <w:r>
              <w:rPr>
                <w:rFonts w:ascii="Calibri" w:hAnsi="Calibri"/>
                <w:b w:val="0"/>
                <w:color w:val="000000"/>
                <w:sz w:val="20"/>
              </w:rPr>
              <w:t>Resolve formatting differences so that two renderings of the same address compare as equal</w:t>
            </w:r>
          </w:p>
        </w:tc>
      </w:tr>
      <w:tr>
        <w:tc>
          <w:tcPr>
            <w:tcW w:type="dxa" w:w="4680"/>
            <w:shd w:val="clear" w:color="auto" w:fill="F2F5FA"/>
          </w:tcPr>
          <w:p>
            <w:pPr>
              <w:spacing w:after="40" w:before="40"/>
            </w:pPr>
            <w:r>
              <w:rPr>
                <w:rFonts w:ascii="Calibri" w:hAnsi="Calibri"/>
                <w:b/>
                <w:color w:val="000000"/>
                <w:sz w:val="20"/>
              </w:rPr>
              <w:t>Rules applied</w:t>
            </w:r>
          </w:p>
        </w:tc>
        <w:tc>
          <w:tcPr>
            <w:tcW w:type="dxa" w:w="4680"/>
            <w:shd w:val="clear" w:color="auto" w:fill="F2F5FA"/>
          </w:tcPr>
          <w:p>
            <w:pPr>
              <w:spacing w:after="40" w:before="40"/>
            </w:pPr>
            <w:r>
              <w:rPr>
                <w:rFonts w:ascii="Calibri" w:hAnsi="Calibri"/>
                <w:b w:val="0"/>
                <w:color w:val="000000"/>
                <w:sz w:val="20"/>
              </w:rPr>
              <w:t>Street-suffix standardization (Street/St, Avenue/Ave, Boulevard/Blvd and the rest of the Publication 28 set); directional abbreviation (North/N, Southwest/SW); secondary-unit designators (Suite/Ste, Floor/Fl, Apartment/Apt, Unit); punctuation and case normalization; whitespace collapse; ZIP extraction and ZIP+4 handling</w:t>
            </w:r>
          </w:p>
        </w:tc>
      </w:tr>
      <w:tr>
        <w:tc>
          <w:tcPr>
            <w:tcW w:type="dxa" w:w="4680"/>
          </w:tcPr>
          <w:p>
            <w:pPr>
              <w:spacing w:after="40" w:before="40"/>
            </w:pPr>
            <w:r>
              <w:rPr>
                <w:rFonts w:ascii="Calibri" w:hAnsi="Calibri"/>
                <w:b/>
                <w:color w:val="000000"/>
                <w:sz w:val="20"/>
              </w:rPr>
              <w:t>When code normalization runs vs the USPS API</w:t>
            </w:r>
          </w:p>
        </w:tc>
        <w:tc>
          <w:tcPr>
            <w:tcW w:type="dxa" w:w="4680"/>
          </w:tcPr>
          <w:p>
            <w:pPr>
              <w:spacing w:after="40" w:before="40"/>
            </w:pPr>
            <w:r>
              <w:rPr>
                <w:rFonts w:ascii="Calibri" w:hAnsi="Calibri"/>
                <w:b w:val="0"/>
                <w:color w:val="000000"/>
                <w:sz w:val="20"/>
              </w:rPr>
              <w:t>Code normalization runs on every comparison, always. The USPS API is an additional existence-and-standardization check on top of it. When USPS is unavailable, out of budget, or circuit-broken, code normalization alone is used and the result is labelled as a fallback</w:t>
            </w:r>
          </w:p>
        </w:tc>
      </w:tr>
    </w:tbl>
    <w:p>
      <w:pPr>
        <w:spacing w:after="80"/>
      </w:pPr>
    </w:p>
    <w:p>
      <w:pPr>
        <w:pStyle w:val="Heading3"/>
        <w:keepNext/>
        <w:spacing w:before="200" w:after="120"/>
        <w:outlineLvl w:val="2"/>
      </w:pPr>
      <w:r>
        <w:rPr>
          <w:rFonts w:ascii="Calibri" w:hAnsi="Calibri"/>
          <w:b/>
          <w:color w:val="003087"/>
          <w:sz w:val="23"/>
        </w:rPr>
        <w:t>Name matching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Status</w:t>
            </w:r>
          </w:p>
        </w:tc>
        <w:tc>
          <w:tcPr>
            <w:tcW w:type="dxa" w:w="4680"/>
            <w:shd w:val="clear" w:color="auto" w:fill="003087"/>
          </w:tcPr>
          <w:p>
            <w:pPr>
              <w:spacing w:after="40" w:before="40"/>
            </w:pPr>
            <w:r>
              <w:rPr>
                <w:rFonts w:ascii="Calibri" w:hAnsi="Calibri"/>
                <w:b/>
                <w:color w:val="FFFFFF"/>
                <w:sz w:val="20"/>
              </w:rPr>
              <w:t>PRODUCTION</w:t>
            </w:r>
          </w:p>
        </w:tc>
      </w:tr>
      <w:tr>
        <w:tc>
          <w:tcPr>
            <w:tcW w:type="dxa" w:w="4680"/>
          </w:tcPr>
          <w:p>
            <w:pPr>
              <w:spacing w:after="40" w:before="40"/>
            </w:pPr>
            <w:r>
              <w:rPr>
                <w:rFonts w:ascii="Calibri" w:hAnsi="Calibri"/>
                <w:b/>
                <w:color w:val="000000"/>
                <w:sz w:val="20"/>
              </w:rPr>
              <w:t>Purpose</w:t>
            </w:r>
          </w:p>
        </w:tc>
        <w:tc>
          <w:tcPr>
            <w:tcW w:type="dxa" w:w="4680"/>
          </w:tcPr>
          <w:p>
            <w:pPr>
              <w:spacing w:after="40" w:before="40"/>
            </w:pPr>
            <w:r>
              <w:rPr>
                <w:rFonts w:ascii="Calibri" w:hAnsi="Calibri"/>
                <w:b w:val="0"/>
                <w:color w:val="000000"/>
                <w:sz w:val="20"/>
              </w:rPr>
              <w:t>Decide whether two organization names refer to the same organization despite differences in wording</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 — TWO ALGORITHMS ARE IN USE</w:t>
            </w:r>
          </w:p>
          <w:p>
            <w:pPr>
              <w:spacing w:after="0" w:before="0"/>
            </w:pPr>
            <w:r>
              <w:rPr>
                <w:rFonts w:ascii="Calibri" w:hAnsi="Calibri"/>
                <w:b w:val="0"/>
                <w:color w:val="000000"/>
                <w:sz w:val="21"/>
              </w:rPr>
              <w:t>The ARC module uses Jaro-Winkler similarity scoring for entity name comparison. The Registry module uses Levenshtein distance with a different threshold. Both perform fuzzy name matching but use different algorithms and sensitivity settings. This is a known inconsistency scheduled for unification in a future release.</w:t>
            </w:r>
          </w:p>
        </w:tc>
      </w:tr>
    </w:tbl>
    <w:p>
      <w:pPr>
        <w:spacing w:after="80"/>
      </w:pPr>
    </w:p>
    <w:p>
      <w:pPr>
        <w:spacing w:after="120" w:before="0"/>
      </w:pPr>
      <w:r>
        <w:rPr>
          <w:rFonts w:ascii="Calibri" w:hAnsi="Calibri"/>
          <w:b/>
          <w:color w:val="000000"/>
          <w:sz w:val="22"/>
        </w:rPr>
        <w:t>How Jaro-Winkler works, in plain terms.</w:t>
      </w:r>
      <w:r>
        <w:rPr>
          <w:rFonts w:ascii="Calibri" w:hAnsi="Calibri"/>
          <w:b w:val="0"/>
          <w:color w:val="000000"/>
          <w:sz w:val="22"/>
        </w:rPr>
        <w:t xml:space="preserve"> It produces a score between 0 and 1 for how similar two strings are. It counts characters that appear in both names near the same position, penalizes characters that appear in a different order, and then adds a bonus when the names share an opening prefix — because organizations that begin with the same words are usually the same organization. A score of 1.0 is identical; 0.0 is nothing in common.</w:t>
      </w:r>
    </w:p>
    <w:p>
      <w:pPr>
        <w:spacing w:after="120" w:before="0"/>
      </w:pPr>
      <w:r>
        <w:rPr>
          <w:rFonts w:ascii="Calibri" w:hAnsi="Calibri"/>
          <w:b w:val="0"/>
          <w:color w:val="000000"/>
          <w:sz w:val="22"/>
        </w:rPr>
        <w:t>Before scoring, both names are normalized: lowercased, punctuation stripped, and legally meaningless words removed — *Inc, LLC, Corp, Company, Ltd, PLLC, PC, Group, Holdings, the, of, and*. "Mercy Health LLC" and "Mercy Health, Inc." therefore compare as identical rather than as a difference.</w:t>
      </w:r>
    </w:p>
    <w:p>
      <w:pPr>
        <w:spacing w:after="120" w:before="0"/>
      </w:pPr>
      <w:r>
        <w:rPr>
          <w:rFonts w:ascii="Calibri" w:hAnsi="Calibri"/>
          <w:b/>
          <w:color w:val="000000"/>
          <w:sz w:val="22"/>
        </w:rPr>
        <w:t>Thresholds used in ARC classification: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Similarity</w:t>
            </w:r>
          </w:p>
        </w:tc>
        <w:tc>
          <w:tcPr>
            <w:tcW w:type="dxa" w:w="3120"/>
            <w:shd w:val="clear" w:color="auto" w:fill="003087"/>
          </w:tcPr>
          <w:p>
            <w:pPr>
              <w:spacing w:after="40" w:before="40"/>
            </w:pPr>
            <w:r>
              <w:rPr>
                <w:rFonts w:ascii="Calibri" w:hAnsi="Calibri"/>
                <w:b/>
                <w:color w:val="FFFFFF"/>
                <w:sz w:val="20"/>
              </w:rPr>
              <w:t>Finding</w:t>
            </w:r>
          </w:p>
        </w:tc>
        <w:tc>
          <w:tcPr>
            <w:tcW w:type="dxa" w:w="3120"/>
            <w:shd w:val="clear" w:color="auto" w:fill="003087"/>
          </w:tcPr>
          <w:p>
            <w:pPr>
              <w:spacing w:after="40" w:before="40"/>
            </w:pPr>
            <w:r>
              <w:rPr>
                <w:rFonts w:ascii="Calibri" w:hAnsi="Calibri"/>
                <w:b/>
                <w:color w:val="FFFFFF"/>
                <w:sz w:val="20"/>
              </w:rPr>
              <w:t>Bucket effect</w:t>
            </w:r>
          </w:p>
        </w:tc>
      </w:tr>
      <w:tr>
        <w:tc>
          <w:tcPr>
            <w:tcW w:type="dxa" w:w="3120"/>
          </w:tcPr>
          <w:p>
            <w:pPr>
              <w:spacing w:after="40" w:before="40"/>
            </w:pPr>
            <w:r>
              <w:rPr>
                <w:rFonts w:ascii="Calibri" w:hAnsi="Calibri"/>
                <w:b w:val="0"/>
                <w:color w:val="000000"/>
                <w:sz w:val="20"/>
              </w:rPr>
              <w:t>0.90 and above</w:t>
            </w:r>
          </w:p>
        </w:tc>
        <w:tc>
          <w:tcPr>
            <w:tcW w:type="dxa" w:w="3120"/>
          </w:tcPr>
          <w:p>
            <w:pPr>
              <w:spacing w:after="40" w:before="40"/>
            </w:pPr>
            <w:r>
              <w:rPr>
                <w:rFonts w:ascii="Calibri" w:hAnsi="Calibri"/>
                <w:b w:val="0"/>
                <w:color w:val="000000"/>
                <w:sz w:val="20"/>
              </w:rPr>
              <w:t>No finding — names agree</w:t>
            </w:r>
          </w:p>
        </w:tc>
        <w:tc>
          <w:tcPr>
            <w:tcW w:type="dxa" w:w="3120"/>
          </w:tcPr>
          <w:p>
            <w:pPr>
              <w:spacing w:after="40" w:before="40"/>
            </w:pPr>
            <w:r>
              <w:rPr>
                <w:rFonts w:ascii="Calibri" w:hAnsi="Calibri"/>
                <w:b w:val="0"/>
                <w:color w:val="000000"/>
                <w:sz w:val="20"/>
              </w:rPr>
              <w:t>—</w:t>
            </w:r>
          </w:p>
        </w:tc>
      </w:tr>
      <w:tr>
        <w:tc>
          <w:tcPr>
            <w:tcW w:type="dxa" w:w="3120"/>
            <w:shd w:val="clear" w:color="auto" w:fill="F2F5FA"/>
          </w:tcPr>
          <w:p>
            <w:pPr>
              <w:spacing w:after="40" w:before="40"/>
            </w:pPr>
            <w:r>
              <w:rPr>
                <w:rFonts w:ascii="Calibri" w:hAnsi="Calibri"/>
                <w:b w:val="0"/>
                <w:color w:val="000000"/>
                <w:sz w:val="20"/>
              </w:rPr>
              <w:t>0.70 to 0.89</w:t>
            </w:r>
          </w:p>
        </w:tc>
        <w:tc>
          <w:tcPr>
            <w:tcW w:type="dxa" w:w="3120"/>
            <w:shd w:val="clear" w:color="auto" w:fill="F2F5FA"/>
          </w:tcPr>
          <w:p>
            <w:pPr>
              <w:spacing w:after="40" w:before="40"/>
            </w:pPr>
            <w:r>
              <w:rPr>
                <w:rFonts w:ascii="Consolas" w:hAnsi="Consolas"/>
                <w:color w:val="000000"/>
                <w:sz w:val="20"/>
              </w:rPr>
              <w:t>NAME_ABBREVIATION_DIFF</w:t>
            </w:r>
          </w:p>
        </w:tc>
        <w:tc>
          <w:tcPr>
            <w:tcW w:type="dxa" w:w="3120"/>
            <w:shd w:val="clear" w:color="auto" w:fill="F2F5FA"/>
          </w:tcPr>
          <w:p>
            <w:pPr>
              <w:spacing w:after="40" w:before="40"/>
            </w:pPr>
            <w:r>
              <w:rPr>
                <w:rFonts w:ascii="Calibri" w:hAnsi="Calibri"/>
                <w:b w:val="0"/>
                <w:color w:val="000000"/>
                <w:sz w:val="20"/>
              </w:rPr>
              <w:t>B2</w:t>
            </w:r>
          </w:p>
        </w:tc>
      </w:tr>
      <w:tr>
        <w:tc>
          <w:tcPr>
            <w:tcW w:type="dxa" w:w="3120"/>
          </w:tcPr>
          <w:p>
            <w:pPr>
              <w:spacing w:after="40" w:before="40"/>
            </w:pPr>
            <w:r>
              <w:rPr>
                <w:rFonts w:ascii="Calibri" w:hAnsi="Calibri"/>
                <w:b w:val="0"/>
                <w:color w:val="000000"/>
                <w:sz w:val="20"/>
              </w:rPr>
              <w:t>0.50 to 0.69</w:t>
            </w:r>
          </w:p>
        </w:tc>
        <w:tc>
          <w:tcPr>
            <w:tcW w:type="dxa" w:w="3120"/>
          </w:tcPr>
          <w:p>
            <w:pPr>
              <w:spacing w:after="40" w:before="40"/>
            </w:pPr>
            <w:r>
              <w:rPr>
                <w:rFonts w:ascii="Consolas" w:hAnsi="Consolas"/>
                <w:color w:val="000000"/>
                <w:sz w:val="20"/>
              </w:rPr>
              <w:t>NAME_DBA_VS_LEGAL</w:t>
            </w:r>
            <w:r>
              <w:rPr>
                <w:rFonts w:ascii="Calibri" w:hAnsi="Calibri"/>
                <w:b w:val="0"/>
                <w:color w:val="000000"/>
                <w:sz w:val="20"/>
              </w:rPr>
              <w:t xml:space="preserve"> or </w:t>
            </w:r>
            <w:r>
              <w:rPr>
                <w:rFonts w:ascii="Consolas" w:hAnsi="Consolas"/>
                <w:color w:val="000000"/>
                <w:sz w:val="20"/>
              </w:rPr>
              <w:t>NAME_PUNCTUATION_DIFF</w:t>
            </w:r>
          </w:p>
        </w:tc>
        <w:tc>
          <w:tcPr>
            <w:tcW w:type="dxa" w:w="3120"/>
          </w:tcPr>
          <w:p>
            <w:pPr>
              <w:spacing w:after="40" w:before="40"/>
            </w:pPr>
            <w:r>
              <w:rPr>
                <w:rFonts w:ascii="Calibri" w:hAnsi="Calibri"/>
                <w:b w:val="0"/>
                <w:color w:val="000000"/>
                <w:sz w:val="20"/>
              </w:rPr>
              <w:t>B2</w:t>
            </w:r>
          </w:p>
        </w:tc>
      </w:tr>
      <w:tr>
        <w:tc>
          <w:tcPr>
            <w:tcW w:type="dxa" w:w="3120"/>
            <w:shd w:val="clear" w:color="auto" w:fill="F2F5FA"/>
          </w:tcPr>
          <w:p>
            <w:pPr>
              <w:spacing w:after="40" w:before="40"/>
            </w:pPr>
            <w:r>
              <w:rPr>
                <w:rFonts w:ascii="Calibri" w:hAnsi="Calibri"/>
                <w:b w:val="0"/>
                <w:color w:val="000000"/>
                <w:sz w:val="20"/>
              </w:rPr>
              <w:t>0.30 to 0.49</w:t>
            </w:r>
          </w:p>
        </w:tc>
        <w:tc>
          <w:tcPr>
            <w:tcW w:type="dxa" w:w="3120"/>
            <w:shd w:val="clear" w:color="auto" w:fill="F2F5FA"/>
          </w:tcPr>
          <w:p>
            <w:pPr>
              <w:spacing w:after="40" w:before="40"/>
            </w:pPr>
            <w:r>
              <w:rPr>
                <w:rFonts w:ascii="Consolas" w:hAnsi="Consolas"/>
                <w:color w:val="000000"/>
                <w:sz w:val="20"/>
              </w:rPr>
              <w:t>NAME_COMPLETELY_DIFFERENT</w:t>
            </w:r>
          </w:p>
        </w:tc>
        <w:tc>
          <w:tcPr>
            <w:tcW w:type="dxa" w:w="3120"/>
            <w:shd w:val="clear" w:color="auto" w:fill="F2F5FA"/>
          </w:tcPr>
          <w:p>
            <w:pPr>
              <w:spacing w:after="40" w:before="40"/>
            </w:pPr>
            <w:r>
              <w:rPr>
                <w:rFonts w:ascii="Calibri" w:hAnsi="Calibri"/>
                <w:b w:val="0"/>
                <w:color w:val="000000"/>
                <w:sz w:val="20"/>
              </w:rPr>
              <w:t>B3</w:t>
            </w:r>
          </w:p>
        </w:tc>
      </w:tr>
      <w:tr>
        <w:tc>
          <w:tcPr>
            <w:tcW w:type="dxa" w:w="3120"/>
          </w:tcPr>
          <w:p>
            <w:pPr>
              <w:spacing w:after="40" w:before="40"/>
            </w:pPr>
            <w:r>
              <w:rPr>
                <w:rFonts w:ascii="Calibri" w:hAnsi="Calibri"/>
                <w:b w:val="0"/>
                <w:color w:val="000000"/>
                <w:sz w:val="20"/>
              </w:rPr>
              <w:t>Below 0.30</w:t>
            </w:r>
          </w:p>
        </w:tc>
        <w:tc>
          <w:tcPr>
            <w:tcW w:type="dxa" w:w="3120"/>
          </w:tcPr>
          <w:p>
            <w:pPr>
              <w:spacing w:after="40" w:before="40"/>
            </w:pPr>
            <w:r>
              <w:rPr>
                <w:rFonts w:ascii="Consolas" w:hAnsi="Consolas"/>
                <w:color w:val="000000"/>
                <w:sz w:val="20"/>
              </w:rPr>
              <w:t>NAME_UNRESOLVABLE</w:t>
            </w:r>
          </w:p>
        </w:tc>
        <w:tc>
          <w:tcPr>
            <w:tcW w:type="dxa" w:w="3120"/>
          </w:tcPr>
          <w:p>
            <w:pPr>
              <w:spacing w:after="40" w:before="40"/>
            </w:pPr>
            <w:r>
              <w:rPr>
                <w:rFonts w:ascii="Calibri" w:hAnsi="Calibri"/>
                <w:b w:val="0"/>
                <w:color w:val="000000"/>
                <w:sz w:val="20"/>
              </w:rPr>
              <w:t>B4</w:t>
            </w:r>
          </w:p>
        </w:tc>
      </w:tr>
    </w:tbl>
    <w:p>
      <w:pPr>
        <w:spacing w:after="80"/>
      </w:pPr>
    </w:p>
    <w:p>
      <w:pPr>
        <w:spacing w:after="120" w:before="0"/>
      </w:pPr>
      <w:r>
        <w:rPr>
          <w:rFonts w:ascii="Calibri" w:hAnsi="Calibri"/>
          <w:b/>
          <w:color w:val="000000"/>
          <w:sz w:val="22"/>
        </w:rPr>
        <w:t>When AI assists with name matching.</w:t>
      </w:r>
      <w:r>
        <w:rPr>
          <w:rFonts w:ascii="Calibri" w:hAnsi="Calibri"/>
          <w:b w:val="0"/>
          <w:color w:val="000000"/>
          <w:sz w:val="22"/>
        </w:rPr>
        <w:t xml:space="preserve"> Only when the deterministic steps cannot decide, and only when AI is explicitly enabled — which it is not today. See Section 14.</w:t>
      </w:r>
    </w:p>
    <w:p>
      <w:pPr>
        <w:pStyle w:val="Heading3"/>
        <w:keepNext/>
        <w:spacing w:before="200" w:after="120"/>
        <w:outlineLvl w:val="2"/>
      </w:pPr>
      <w:r>
        <w:rPr>
          <w:rFonts w:ascii="Calibri" w:hAnsi="Calibri"/>
          <w:b/>
          <w:color w:val="003087"/>
          <w:sz w:val="23"/>
        </w:rPr>
        <w:t>Sources not currently available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Source</w:t>
            </w:r>
          </w:p>
        </w:tc>
        <w:tc>
          <w:tcPr>
            <w:tcW w:type="dxa" w:w="3120"/>
            <w:shd w:val="clear" w:color="auto" w:fill="003087"/>
          </w:tcPr>
          <w:p>
            <w:pPr>
              <w:spacing w:after="40" w:before="40"/>
            </w:pPr>
            <w:r>
              <w:rPr>
                <w:rFonts w:ascii="Calibri" w:hAnsi="Calibri"/>
                <w:b/>
                <w:color w:val="FFFFFF"/>
                <w:sz w:val="20"/>
              </w:rPr>
              <w:t>State</w:t>
            </w:r>
          </w:p>
        </w:tc>
        <w:tc>
          <w:tcPr>
            <w:tcW w:type="dxa" w:w="3120"/>
            <w:shd w:val="clear" w:color="auto" w:fill="003087"/>
          </w:tcPr>
          <w:p>
            <w:pPr>
              <w:spacing w:after="40" w:before="40"/>
            </w:pPr>
            <w:r>
              <w:rPr>
                <w:rFonts w:ascii="Calibri" w:hAnsi="Calibri"/>
                <w:b/>
                <w:color w:val="FFFFFF"/>
                <w:sz w:val="20"/>
              </w:rPr>
              <w:t>Explanation</w:t>
            </w:r>
          </w:p>
        </w:tc>
      </w:tr>
      <w:tr>
        <w:tc>
          <w:tcPr>
            <w:tcW w:type="dxa" w:w="3120"/>
          </w:tcPr>
          <w:p>
            <w:pPr>
              <w:spacing w:after="40" w:before="40"/>
            </w:pPr>
            <w:r>
              <w:rPr>
                <w:rFonts w:ascii="Calibri" w:hAnsi="Calibri"/>
                <w:b/>
                <w:color w:val="000000"/>
                <w:sz w:val="20"/>
              </w:rPr>
              <w:t>RCE Directory (The Sequoia Project)</w:t>
            </w:r>
          </w:p>
        </w:tc>
        <w:tc>
          <w:tcPr>
            <w:tcW w:type="dxa" w:w="3120"/>
          </w:tcPr>
          <w:p>
            <w:pPr>
              <w:spacing w:after="40" w:before="40"/>
            </w:pPr>
            <w:r>
              <w:rPr>
                <w:rFonts w:ascii="Calibri" w:hAnsi="Calibri"/>
                <w:b/>
                <w:color w:val="000000"/>
                <w:sz w:val="20"/>
              </w:rPr>
              <w:t>NOT CONFIGURED</w:t>
            </w:r>
          </w:p>
        </w:tc>
        <w:tc>
          <w:tcPr>
            <w:tcW w:type="dxa" w:w="3120"/>
          </w:tcPr>
          <w:p>
            <w:pPr>
              <w:spacing w:after="40" w:before="40"/>
            </w:pPr>
            <w:r>
              <w:rPr>
                <w:rFonts w:ascii="Calibri" w:hAnsi="Calibri"/>
                <w:b w:val="0"/>
                <w:color w:val="000000"/>
                <w:sz w:val="20"/>
              </w:rPr>
              <w:t xml:space="preserve">TEFCA entity population data is provided by ONC under contract direction. AGT does not query an external directory for it. Reported live as </w:t>
            </w:r>
            <w:r>
              <w:rPr>
                <w:rFonts w:ascii="Consolas" w:hAnsi="Consolas"/>
                <w:color w:val="000000"/>
                <w:sz w:val="20"/>
              </w:rPr>
              <w:t>rce_directory_live: false</w:t>
            </w:r>
          </w:p>
        </w:tc>
      </w:tr>
      <w:tr>
        <w:tc>
          <w:tcPr>
            <w:tcW w:type="dxa" w:w="3120"/>
            <w:shd w:val="clear" w:color="auto" w:fill="F2F5FA"/>
          </w:tcPr>
          <w:p>
            <w:pPr>
              <w:spacing w:after="40" w:before="40"/>
            </w:pPr>
            <w:r>
              <w:rPr>
                <w:rFonts w:ascii="Calibri" w:hAnsi="Calibri"/>
                <w:b/>
                <w:color w:val="000000"/>
                <w:sz w:val="20"/>
              </w:rPr>
              <w:t>IQVIA OneKey</w:t>
            </w:r>
          </w:p>
        </w:tc>
        <w:tc>
          <w:tcPr>
            <w:tcW w:type="dxa" w:w="3120"/>
            <w:shd w:val="clear" w:color="auto" w:fill="F2F5FA"/>
          </w:tcPr>
          <w:p>
            <w:pPr>
              <w:spacing w:after="40" w:before="40"/>
            </w:pPr>
            <w:r>
              <w:rPr>
                <w:rFonts w:ascii="Calibri" w:hAnsi="Calibri"/>
                <w:b/>
                <w:color w:val="000000"/>
                <w:sz w:val="20"/>
              </w:rPr>
              <w:t>NOT CONFIGURED</w:t>
            </w:r>
          </w:p>
        </w:tc>
        <w:tc>
          <w:tcPr>
            <w:tcW w:type="dxa" w:w="3120"/>
            <w:shd w:val="clear" w:color="auto" w:fill="F2F5FA"/>
          </w:tcPr>
          <w:p>
            <w:pPr>
              <w:spacing w:after="40" w:before="40"/>
            </w:pPr>
            <w:r>
              <w:rPr>
                <w:rFonts w:ascii="Calibri" w:hAnsi="Calibri"/>
                <w:b w:val="0"/>
                <w:color w:val="000000"/>
                <w:sz w:val="20"/>
              </w:rPr>
              <w:t>Commercial provider hierarchy data, pending ODC procurement. No API key configured on any environment</w:t>
            </w:r>
          </w:p>
        </w:tc>
      </w:tr>
      <w:tr>
        <w:tc>
          <w:tcPr>
            <w:tcW w:type="dxa" w:w="3120"/>
          </w:tcPr>
          <w:p>
            <w:pPr>
              <w:spacing w:after="40" w:before="40"/>
            </w:pPr>
            <w:r>
              <w:rPr>
                <w:rFonts w:ascii="Calibri" w:hAnsi="Calibri"/>
                <w:b/>
                <w:color w:val="000000"/>
                <w:sz w:val="20"/>
              </w:rPr>
              <w:t>State licensure registries</w:t>
            </w:r>
          </w:p>
        </w:tc>
        <w:tc>
          <w:tcPr>
            <w:tcW w:type="dxa" w:w="3120"/>
          </w:tcPr>
          <w:p>
            <w:pPr>
              <w:spacing w:after="40" w:before="40"/>
            </w:pPr>
            <w:r>
              <w:rPr>
                <w:rFonts w:ascii="Calibri" w:hAnsi="Calibri"/>
                <w:b/>
                <w:color w:val="000000"/>
                <w:sz w:val="20"/>
              </w:rPr>
              <w:t>NOT IMPLEMENTED</w:t>
            </w:r>
          </w:p>
        </w:tc>
        <w:tc>
          <w:tcPr>
            <w:tcW w:type="dxa" w:w="3120"/>
          </w:tcPr>
          <w:p>
            <w:pPr>
              <w:spacing w:after="40" w:before="40"/>
            </w:pPr>
            <w:r>
              <w:rPr>
                <w:rFonts w:ascii="Calibri" w:hAnsi="Calibri"/>
                <w:b w:val="0"/>
                <w:color w:val="000000"/>
                <w:sz w:val="20"/>
              </w:rPr>
              <w:t xml:space="preserve">Reported as </w:t>
            </w:r>
            <w:r>
              <w:rPr>
                <w:rFonts w:ascii="Consolas" w:hAnsi="Consolas"/>
                <w:color w:val="000000"/>
                <w:sz w:val="20"/>
              </w:rPr>
              <w:t>not_checked</w:t>
            </w:r>
            <w:r>
              <w:rPr>
                <w:rFonts w:ascii="Calibri" w:hAnsi="Calibri"/>
                <w:b w:val="0"/>
                <w:color w:val="000000"/>
                <w:sz w:val="20"/>
              </w:rPr>
              <w:t xml:space="preserve"> with the reason "connector not implemented" — a disclosed roadmap gap, not an outage</w:t>
            </w:r>
          </w:p>
        </w:tc>
      </w:tr>
      <w:tr>
        <w:tc>
          <w:tcPr>
            <w:tcW w:type="dxa" w:w="3120"/>
            <w:shd w:val="clear" w:color="auto" w:fill="F2F5FA"/>
          </w:tcPr>
          <w:p>
            <w:pPr>
              <w:spacing w:after="40" w:before="40"/>
            </w:pPr>
            <w:r>
              <w:rPr>
                <w:rFonts w:ascii="Calibri" w:hAnsi="Calibri"/>
                <w:b/>
                <w:color w:val="000000"/>
                <w:sz w:val="20"/>
              </w:rPr>
              <w:t>IRS</w:t>
            </w:r>
          </w:p>
        </w:tc>
        <w:tc>
          <w:tcPr>
            <w:tcW w:type="dxa" w:w="3120"/>
            <w:shd w:val="clear" w:color="auto" w:fill="F2F5FA"/>
          </w:tcPr>
          <w:p>
            <w:pPr>
              <w:spacing w:after="40" w:before="40"/>
            </w:pPr>
            <w:r>
              <w:rPr>
                <w:rFonts w:ascii="Calibri" w:hAnsi="Calibri"/>
                <w:b/>
                <w:color w:val="000000"/>
                <w:sz w:val="20"/>
              </w:rPr>
              <w:t>NOT APPLICABLE</w:t>
            </w:r>
          </w:p>
        </w:tc>
        <w:tc>
          <w:tcPr>
            <w:tcW w:type="dxa" w:w="3120"/>
            <w:shd w:val="clear" w:color="auto" w:fill="F2F5FA"/>
          </w:tcPr>
          <w:p>
            <w:pPr>
              <w:spacing w:after="40" w:before="40"/>
            </w:pPr>
            <w:r>
              <w:rPr>
                <w:rFonts w:ascii="Calibri" w:hAnsi="Calibri"/>
                <w:b w:val="0"/>
                <w:color w:val="000000"/>
                <w:sz w:val="20"/>
              </w:rPr>
              <w:t>No public IRS API exists for verifying a for-profit entity. IRS TEOS covers only tax-exempt organizations, and IRS data is keyed on EIN, which the registry does not hold. This will not be built</w:t>
            </w:r>
          </w:p>
        </w:tc>
      </w:tr>
    </w:tbl>
    <w:p>
      <w:pPr>
        <w:spacing w:after="80"/>
      </w:pPr>
    </w:p>
    <w:p>
      <w:pPr>
        <w:pStyle w:val="Heading2"/>
        <w:keepNext/>
        <w:spacing w:before="200" w:after="120"/>
        <w:outlineLvl w:val="1"/>
      </w:pPr>
      <w:r>
        <w:rPr>
          <w:rFonts w:ascii="Calibri" w:hAnsi="Calibri"/>
          <w:b/>
          <w:color w:val="003087"/>
          <w:sz w:val="25"/>
        </w:rPr>
        <w:t>5.4 What happens when any source is unavailable</w:t>
      </w:r>
    </w:p>
    <w:p>
      <w:pPr>
        <w:spacing w:after="120" w:before="0"/>
      </w:pPr>
      <w:r>
        <w:rPr>
          <w:rFonts w:ascii="Calibri" w:hAnsi="Calibri"/>
          <w:b w:val="0"/>
          <w:color w:val="000000"/>
          <w:sz w:val="22"/>
        </w:rPr>
        <w:t>This is the platform's most important safety property. The sequence is fixed:</w:t>
      </w:r>
    </w:p>
    <w:p>
      <w:pPr>
        <w:pStyle w:val="ListNumber"/>
        <w:spacing w:after="40"/>
      </w:pPr>
      <w:r>
        <w:rPr>
          <w:rFonts w:ascii="Calibri" w:hAnsi="Calibri"/>
          <w:b w:val="0"/>
          <w:color w:val="000000"/>
          <w:sz w:val="21"/>
        </w:rPr>
        <w:t>The connector fails, times out, or returns a non-success status.</w:t>
      </w:r>
    </w:p>
    <w:p>
      <w:pPr>
        <w:pStyle w:val="ListNumber"/>
        <w:spacing w:after="40"/>
      </w:pPr>
      <w:r>
        <w:rPr>
          <w:rFonts w:ascii="Calibri" w:hAnsi="Calibri"/>
          <w:b w:val="0"/>
          <w:color w:val="000000"/>
          <w:sz w:val="21"/>
        </w:rPr>
        <w:t>The failure is recorded in the connector log with the source name, reason, and timestamp.</w:t>
      </w:r>
    </w:p>
    <w:p>
      <w:pPr>
        <w:pStyle w:val="ListNumber"/>
        <w:spacing w:after="40"/>
      </w:pPr>
      <w:r>
        <w:rPr>
          <w:rFonts w:ascii="Calibri" w:hAnsi="Calibri"/>
          <w:b w:val="0"/>
          <w:color w:val="000000"/>
          <w:sz w:val="21"/>
        </w:rPr>
        <w:t xml:space="preserve">The source is marked </w:t>
      </w:r>
      <w:r>
        <w:rPr>
          <w:rFonts w:ascii="Consolas" w:hAnsi="Consolas"/>
          <w:color w:val="000000"/>
          <w:sz w:val="21"/>
        </w:rPr>
        <w:t>unavailable</w:t>
      </w:r>
      <w:r>
        <w:rPr>
          <w:rFonts w:ascii="Calibri" w:hAnsi="Calibri"/>
          <w:b w:val="0"/>
          <w:color w:val="000000"/>
          <w:sz w:val="21"/>
        </w:rPr>
        <w:t xml:space="preserve"> in that entity's verification record — never </w:t>
      </w:r>
      <w:r>
        <w:rPr>
          <w:rFonts w:ascii="Consolas" w:hAnsi="Consolas"/>
          <w:color w:val="000000"/>
          <w:sz w:val="21"/>
        </w:rPr>
        <w:t>not_found</w:t>
      </w:r>
      <w:r>
        <w:rPr>
          <w:rFonts w:ascii="Calibri" w:hAnsi="Calibri"/>
          <w:b w:val="0"/>
          <w:color w:val="000000"/>
          <w:sz w:val="21"/>
        </w:rPr>
        <w:t>, and never omitted.</w:t>
      </w:r>
    </w:p>
    <w:p>
      <w:pPr>
        <w:pStyle w:val="ListNumber"/>
        <w:spacing w:after="40"/>
      </w:pPr>
      <w:r>
        <w:rPr>
          <w:rFonts w:ascii="Calibri" w:hAnsi="Calibri"/>
          <w:b w:val="0"/>
          <w:color w:val="000000"/>
          <w:sz w:val="21"/>
        </w:rPr>
        <w:t>Only explicitly approved deterministic fallbacks are used — for example, code-only address normalization in place of the USPS API.</w:t>
      </w:r>
    </w:p>
    <w:p>
      <w:pPr>
        <w:pStyle w:val="ListNumber"/>
        <w:spacing w:after="40"/>
      </w:pPr>
      <w:r>
        <w:rPr>
          <w:rFonts w:ascii="Calibri" w:hAnsi="Calibri"/>
          <w:b w:val="0"/>
          <w:color w:val="000000"/>
          <w:sz w:val="21"/>
        </w:rPr>
        <w:t xml:space="preserve">The verification is marked </w:t>
      </w:r>
      <w:r>
        <w:rPr>
          <w:rFonts w:ascii="Calibri" w:hAnsi="Calibri"/>
          <w:b/>
          <w:color w:val="000000"/>
          <w:sz w:val="21"/>
        </w:rPr>
        <w:t>Indeterminate</w:t>
      </w:r>
      <w:r>
        <w:rPr>
          <w:rFonts w:ascii="Calibri" w:hAnsi="Calibri"/>
          <w:b w:val="0"/>
          <w:color w:val="000000"/>
          <w:sz w:val="21"/>
        </w:rPr>
        <w:t xml:space="preserve"> and flagged for human review. Auto-classification is disabled for that record.</w:t>
      </w:r>
    </w:p>
    <w:p>
      <w:pPr>
        <w:pStyle w:val="ListNumber"/>
        <w:spacing w:after="40"/>
      </w:pPr>
      <w:r>
        <w:rPr>
          <w:rFonts w:ascii="Calibri" w:hAnsi="Calibri"/>
          <w:b w:val="0"/>
          <w:color w:val="000000"/>
          <w:sz w:val="21"/>
        </w:rPr>
        <w:t>The complete audit trail is preserved, including which source failed and why.</w:t>
      </w:r>
    </w:p>
    <w:p>
      <w:pPr>
        <w:pStyle w:val="ListNumber"/>
        <w:spacing w:after="40"/>
      </w:pPr>
      <w:r>
        <w:rPr>
          <w:rFonts w:ascii="Calibri" w:hAnsi="Calibri"/>
          <w:b/>
          <w:color w:val="000000"/>
          <w:sz w:val="21"/>
        </w:rPr>
        <w:t>A successful verification is never fabricated.</w:t>
      </w:r>
    </w:p>
    <w:p>
      <w:r>
        <w:br w:type="page"/>
      </w:r>
    </w:p>
    <w:p>
      <w:pPr>
        <w:pStyle w:val="Heading1"/>
        <w:keepNext/>
        <w:spacing w:before="280" w:after="120"/>
        <w:outlineLvl w:val="0"/>
      </w:pPr>
      <w:r>
        <w:rPr>
          <w:rFonts w:ascii="Calibri" w:hAnsi="Calibri"/>
          <w:b/>
          <w:color w:val="003087"/>
          <w:sz w:val="28"/>
        </w:rPr>
        <w:t>6. User Roles and Responsibilities</w:t>
      </w:r>
    </w:p>
    <w:p>
      <w:pPr>
        <w:pStyle w:val="Heading2"/>
        <w:keepNext/>
        <w:spacing w:before="200" w:after="120"/>
        <w:outlineLvl w:val="1"/>
      </w:pPr>
      <w:r>
        <w:rPr>
          <w:rFonts w:ascii="Calibri" w:hAnsi="Calibri"/>
          <w:b/>
          <w:color w:val="003087"/>
          <w:sz w:val="25"/>
        </w:rPr>
        <w:t>6.1 The role model</w:t>
      </w:r>
    </w:p>
    <w:p>
      <w:pPr>
        <w:spacing w:after="120" w:before="0"/>
      </w:pPr>
      <w:r>
        <w:rPr>
          <w:rFonts w:ascii="Calibri" w:hAnsi="Calibri"/>
          <w:b w:val="0"/>
          <w:color w:val="000000"/>
          <w:sz w:val="22"/>
        </w:rPr>
        <w:t>DocuAction uses an eight-level hierarchy. Each level inherits every permission of the levels below 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Level</w:t>
            </w:r>
          </w:p>
        </w:tc>
        <w:tc>
          <w:tcPr>
            <w:tcW w:type="dxa" w:w="3120"/>
            <w:shd w:val="clear" w:color="auto" w:fill="003087"/>
          </w:tcPr>
          <w:p>
            <w:pPr>
              <w:spacing w:after="40" w:before="40"/>
            </w:pPr>
            <w:r>
              <w:rPr>
                <w:rFonts w:ascii="Calibri" w:hAnsi="Calibri"/>
                <w:b/>
                <w:color w:val="FFFFFF"/>
                <w:sz w:val="20"/>
              </w:rPr>
              <w:t>Role</w:t>
            </w:r>
          </w:p>
        </w:tc>
        <w:tc>
          <w:tcPr>
            <w:tcW w:type="dxa" w:w="3120"/>
            <w:shd w:val="clear" w:color="auto" w:fill="003087"/>
          </w:tcPr>
          <w:p>
            <w:pPr>
              <w:spacing w:after="40" w:before="40"/>
            </w:pPr>
            <w:r>
              <w:rPr>
                <w:rFonts w:ascii="Calibri" w:hAnsi="Calibri"/>
                <w:b/>
                <w:color w:val="FFFFFF"/>
                <w:sz w:val="20"/>
              </w:rPr>
              <w:t>Short description</w:t>
            </w:r>
          </w:p>
        </w:tc>
      </w:tr>
      <w:tr>
        <w:tc>
          <w:tcPr>
            <w:tcW w:type="dxa" w:w="3120"/>
          </w:tcPr>
          <w:p>
            <w:pPr>
              <w:spacing w:after="40" w:before="40"/>
            </w:pPr>
            <w:r>
              <w:rPr>
                <w:rFonts w:ascii="Calibri" w:hAnsi="Calibri"/>
                <w:b w:val="0"/>
                <w:color w:val="000000"/>
                <w:sz w:val="20"/>
              </w:rPr>
              <w:t>1</w:t>
            </w:r>
          </w:p>
        </w:tc>
        <w:tc>
          <w:tcPr>
            <w:tcW w:type="dxa" w:w="3120"/>
          </w:tcPr>
          <w:p>
            <w:pPr>
              <w:spacing w:after="40" w:before="40"/>
            </w:pPr>
            <w:r>
              <w:rPr>
                <w:rFonts w:ascii="Calibri" w:hAnsi="Calibri"/>
                <w:b/>
                <w:color w:val="000000"/>
                <w:sz w:val="20"/>
              </w:rPr>
              <w:t>viewer</w:t>
            </w:r>
          </w:p>
        </w:tc>
        <w:tc>
          <w:tcPr>
            <w:tcW w:type="dxa" w:w="3120"/>
          </w:tcPr>
          <w:p>
            <w:pPr>
              <w:spacing w:after="40" w:before="40"/>
            </w:pPr>
            <w:r>
              <w:rPr>
                <w:rFonts w:ascii="Calibri" w:hAnsi="Calibri"/>
                <w:b w:val="0"/>
                <w:color w:val="000000"/>
                <w:sz w:val="20"/>
              </w:rPr>
              <w:t>Read-only access</w:t>
            </w:r>
          </w:p>
        </w:tc>
      </w:tr>
      <w:tr>
        <w:tc>
          <w:tcPr>
            <w:tcW w:type="dxa" w:w="3120"/>
            <w:shd w:val="clear" w:color="auto" w:fill="F2F5FA"/>
          </w:tcPr>
          <w:p>
            <w:pPr>
              <w:spacing w:after="40" w:before="40"/>
            </w:pPr>
            <w:r>
              <w:rPr>
                <w:rFonts w:ascii="Calibri" w:hAnsi="Calibri"/>
                <w:b w:val="0"/>
                <w:color w:val="000000"/>
                <w:sz w:val="20"/>
              </w:rPr>
              <w:t>2</w:t>
            </w:r>
          </w:p>
        </w:tc>
        <w:tc>
          <w:tcPr>
            <w:tcW w:type="dxa" w:w="3120"/>
            <w:shd w:val="clear" w:color="auto" w:fill="F2F5FA"/>
          </w:tcPr>
          <w:p>
            <w:pPr>
              <w:spacing w:after="40" w:before="40"/>
            </w:pPr>
            <w:r>
              <w:rPr>
                <w:rFonts w:ascii="Calibri" w:hAnsi="Calibri"/>
                <w:b/>
                <w:color w:val="000000"/>
                <w:sz w:val="20"/>
              </w:rPr>
              <w:t>contributor</w:t>
            </w:r>
          </w:p>
        </w:tc>
        <w:tc>
          <w:tcPr>
            <w:tcW w:type="dxa" w:w="3120"/>
            <w:shd w:val="clear" w:color="auto" w:fill="F2F5FA"/>
          </w:tcPr>
          <w:p>
            <w:pPr>
              <w:spacing w:after="40" w:before="40"/>
            </w:pPr>
            <w:r>
              <w:rPr>
                <w:rFonts w:ascii="Calibri" w:hAnsi="Calibri"/>
                <w:b w:val="0"/>
                <w:color w:val="000000"/>
                <w:sz w:val="20"/>
              </w:rPr>
              <w:t>Can draw review samples</w:t>
            </w:r>
          </w:p>
        </w:tc>
      </w:tr>
      <w:tr>
        <w:tc>
          <w:tcPr>
            <w:tcW w:type="dxa" w:w="3120"/>
          </w:tcPr>
          <w:p>
            <w:pPr>
              <w:spacing w:after="40" w:before="40"/>
            </w:pPr>
            <w:r>
              <w:rPr>
                <w:rFonts w:ascii="Calibri" w:hAnsi="Calibri"/>
                <w:b w:val="0"/>
                <w:color w:val="000000"/>
                <w:sz w:val="20"/>
              </w:rPr>
              <w:t>3</w:t>
            </w:r>
          </w:p>
        </w:tc>
        <w:tc>
          <w:tcPr>
            <w:tcW w:type="dxa" w:w="3120"/>
          </w:tcPr>
          <w:p>
            <w:pPr>
              <w:spacing w:after="40" w:before="40"/>
            </w:pPr>
            <w:r>
              <w:rPr>
                <w:rFonts w:ascii="Calibri" w:hAnsi="Calibri"/>
                <w:b/>
                <w:color w:val="000000"/>
                <w:sz w:val="20"/>
              </w:rPr>
              <w:t>manager</w:t>
            </w:r>
          </w:p>
        </w:tc>
        <w:tc>
          <w:tcPr>
            <w:tcW w:type="dxa" w:w="3120"/>
          </w:tcPr>
          <w:p>
            <w:pPr>
              <w:spacing w:after="40" w:before="40"/>
            </w:pPr>
            <w:r>
              <w:rPr>
                <w:rFonts w:ascii="Calibri" w:hAnsi="Calibri"/>
                <w:b w:val="0"/>
                <w:color w:val="000000"/>
                <w:sz w:val="20"/>
              </w:rPr>
              <w:t>Team oversight</w:t>
            </w:r>
          </w:p>
        </w:tc>
      </w:tr>
      <w:tr>
        <w:tc>
          <w:tcPr>
            <w:tcW w:type="dxa" w:w="3120"/>
            <w:shd w:val="clear" w:color="auto" w:fill="F2F5FA"/>
          </w:tcPr>
          <w:p>
            <w:pPr>
              <w:spacing w:after="40" w:before="40"/>
            </w:pPr>
            <w:r>
              <w:rPr>
                <w:rFonts w:ascii="Calibri" w:hAnsi="Calibri"/>
                <w:b w:val="0"/>
                <w:color w:val="000000"/>
                <w:sz w:val="20"/>
              </w:rPr>
              <w:t>4</w:t>
            </w:r>
          </w:p>
        </w:tc>
        <w:tc>
          <w:tcPr>
            <w:tcW w:type="dxa" w:w="3120"/>
            <w:shd w:val="clear" w:color="auto" w:fill="F2F5FA"/>
          </w:tcPr>
          <w:p>
            <w:pPr>
              <w:spacing w:after="40" w:before="40"/>
            </w:pPr>
            <w:r>
              <w:rPr>
                <w:rFonts w:ascii="Calibri" w:hAnsi="Calibri"/>
                <w:b/>
                <w:color w:val="000000"/>
                <w:sz w:val="20"/>
              </w:rPr>
              <w:t>reviewer</w:t>
            </w:r>
          </w:p>
        </w:tc>
        <w:tc>
          <w:tcPr>
            <w:tcW w:type="dxa" w:w="3120"/>
            <w:shd w:val="clear" w:color="auto" w:fill="F2F5FA"/>
          </w:tcPr>
          <w:p>
            <w:pPr>
              <w:spacing w:after="40" w:before="40"/>
            </w:pPr>
            <w:r>
              <w:rPr>
                <w:rFonts w:ascii="Calibri" w:hAnsi="Calibri"/>
                <w:b w:val="0"/>
                <w:color w:val="000000"/>
                <w:sz w:val="20"/>
              </w:rPr>
              <w:t xml:space="preserve">Front-line entity review — </w:t>
            </w:r>
            <w:r>
              <w:rPr>
                <w:rFonts w:ascii="Calibri" w:hAnsi="Calibri"/>
                <w:b/>
                <w:color w:val="000000"/>
                <w:sz w:val="20"/>
              </w:rPr>
              <w:t>PII access begins here</w:t>
            </w:r>
          </w:p>
        </w:tc>
      </w:tr>
      <w:tr>
        <w:tc>
          <w:tcPr>
            <w:tcW w:type="dxa" w:w="3120"/>
          </w:tcPr>
          <w:p>
            <w:pPr>
              <w:spacing w:after="40" w:before="40"/>
            </w:pPr>
            <w:r>
              <w:rPr>
                <w:rFonts w:ascii="Calibri" w:hAnsi="Calibri"/>
                <w:b w:val="0"/>
                <w:color w:val="000000"/>
                <w:sz w:val="20"/>
              </w:rPr>
              <w:t>5</w:t>
            </w:r>
          </w:p>
        </w:tc>
        <w:tc>
          <w:tcPr>
            <w:tcW w:type="dxa" w:w="3120"/>
          </w:tcPr>
          <w:p>
            <w:pPr>
              <w:spacing w:after="40" w:before="40"/>
            </w:pPr>
            <w:r>
              <w:rPr>
                <w:rFonts w:ascii="Calibri" w:hAnsi="Calibri"/>
                <w:b/>
                <w:color w:val="000000"/>
                <w:sz w:val="20"/>
              </w:rPr>
              <w:t>senior_analyst</w:t>
            </w:r>
          </w:p>
        </w:tc>
        <w:tc>
          <w:tcPr>
            <w:tcW w:type="dxa" w:w="3120"/>
          </w:tcPr>
          <w:p>
            <w:pPr>
              <w:spacing w:after="40" w:before="40"/>
            </w:pPr>
            <w:r>
              <w:rPr>
                <w:rFonts w:ascii="Calibri" w:hAnsi="Calibri"/>
                <w:b w:val="0"/>
                <w:color w:val="000000"/>
                <w:sz w:val="20"/>
              </w:rPr>
              <w:t>Bucket overrides, B3 escalation queue, calibration</w:t>
            </w:r>
          </w:p>
        </w:tc>
      </w:tr>
      <w:tr>
        <w:tc>
          <w:tcPr>
            <w:tcW w:type="dxa" w:w="3120"/>
            <w:shd w:val="clear" w:color="auto" w:fill="F2F5FA"/>
          </w:tcPr>
          <w:p>
            <w:pPr>
              <w:spacing w:after="40" w:before="40"/>
            </w:pPr>
            <w:r>
              <w:rPr>
                <w:rFonts w:ascii="Calibri" w:hAnsi="Calibri"/>
                <w:b w:val="0"/>
                <w:color w:val="000000"/>
                <w:sz w:val="20"/>
              </w:rPr>
              <w:t>6</w:t>
            </w:r>
          </w:p>
        </w:tc>
        <w:tc>
          <w:tcPr>
            <w:tcW w:type="dxa" w:w="3120"/>
            <w:shd w:val="clear" w:color="auto" w:fill="F2F5FA"/>
          </w:tcPr>
          <w:p>
            <w:pPr>
              <w:spacing w:after="40" w:before="40"/>
            </w:pPr>
            <w:r>
              <w:rPr>
                <w:rFonts w:ascii="Calibri" w:hAnsi="Calibri"/>
                <w:b/>
                <w:color w:val="000000"/>
                <w:sz w:val="20"/>
              </w:rPr>
              <w:t>qalead</w:t>
            </w:r>
          </w:p>
        </w:tc>
        <w:tc>
          <w:tcPr>
            <w:tcW w:type="dxa" w:w="3120"/>
            <w:shd w:val="clear" w:color="auto" w:fill="F2F5FA"/>
          </w:tcPr>
          <w:p>
            <w:pPr>
              <w:spacing w:after="40" w:before="40"/>
            </w:pPr>
            <w:r>
              <w:rPr>
                <w:rFonts w:ascii="Calibri" w:hAnsi="Calibri"/>
                <w:b w:val="0"/>
                <w:color w:val="000000"/>
                <w:sz w:val="20"/>
              </w:rPr>
              <w:t>Methodology approval, QA sign-off, all queues</w:t>
            </w:r>
          </w:p>
        </w:tc>
      </w:tr>
      <w:tr>
        <w:tc>
          <w:tcPr>
            <w:tcW w:type="dxa" w:w="3120"/>
          </w:tcPr>
          <w:p>
            <w:pPr>
              <w:spacing w:after="40" w:before="40"/>
            </w:pPr>
            <w:r>
              <w:rPr>
                <w:rFonts w:ascii="Calibri" w:hAnsi="Calibri"/>
                <w:b w:val="0"/>
                <w:color w:val="000000"/>
                <w:sz w:val="20"/>
              </w:rPr>
              <w:t>7</w:t>
            </w:r>
          </w:p>
        </w:tc>
        <w:tc>
          <w:tcPr>
            <w:tcW w:type="dxa" w:w="3120"/>
          </w:tcPr>
          <w:p>
            <w:pPr>
              <w:spacing w:after="40" w:before="40"/>
            </w:pPr>
            <w:r>
              <w:rPr>
                <w:rFonts w:ascii="Calibri" w:hAnsi="Calibri"/>
                <w:b/>
                <w:color w:val="000000"/>
                <w:sz w:val="20"/>
              </w:rPr>
              <w:t>program_manager</w:t>
            </w:r>
          </w:p>
        </w:tc>
        <w:tc>
          <w:tcPr>
            <w:tcW w:type="dxa" w:w="3120"/>
          </w:tcPr>
          <w:p>
            <w:pPr>
              <w:spacing w:after="40" w:before="40"/>
            </w:pPr>
            <w:r>
              <w:rPr>
                <w:rFonts w:ascii="Calibri" w:hAnsi="Calibri"/>
                <w:b w:val="0"/>
                <w:color w:val="000000"/>
                <w:sz w:val="20"/>
              </w:rPr>
              <w:t>Deliverable submission, cycle management, full audit log</w:t>
            </w:r>
          </w:p>
        </w:tc>
      </w:tr>
      <w:tr>
        <w:tc>
          <w:tcPr>
            <w:tcW w:type="dxa" w:w="3120"/>
            <w:shd w:val="clear" w:color="auto" w:fill="F2F5FA"/>
          </w:tcPr>
          <w:p>
            <w:pPr>
              <w:spacing w:after="40" w:before="40"/>
            </w:pPr>
            <w:r>
              <w:rPr>
                <w:rFonts w:ascii="Calibri" w:hAnsi="Calibri"/>
                <w:b w:val="0"/>
                <w:color w:val="000000"/>
                <w:sz w:val="20"/>
              </w:rPr>
              <w:t>8</w:t>
            </w:r>
          </w:p>
        </w:tc>
        <w:tc>
          <w:tcPr>
            <w:tcW w:type="dxa" w:w="3120"/>
            <w:shd w:val="clear" w:color="auto" w:fill="F2F5FA"/>
          </w:tcPr>
          <w:p>
            <w:pPr>
              <w:spacing w:after="40" w:before="40"/>
            </w:pPr>
            <w:r>
              <w:rPr>
                <w:rFonts w:ascii="Calibri" w:hAnsi="Calibri"/>
                <w:b/>
                <w:color w:val="000000"/>
                <w:sz w:val="20"/>
              </w:rPr>
              <w:t>admin</w:t>
            </w:r>
          </w:p>
        </w:tc>
        <w:tc>
          <w:tcPr>
            <w:tcW w:type="dxa" w:w="3120"/>
            <w:shd w:val="clear" w:color="auto" w:fill="F2F5FA"/>
          </w:tcPr>
          <w:p>
            <w:pPr>
              <w:spacing w:after="40" w:before="40"/>
            </w:pPr>
            <w:r>
              <w:rPr>
                <w:rFonts w:ascii="Calibri" w:hAnsi="Calibri"/>
                <w:b w:val="0"/>
                <w:color w:val="000000"/>
                <w:sz w:val="20"/>
              </w:rPr>
              <w:t>Full access including user management</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 — HOW ROLES ARE ASSIGNED</w:t>
            </w:r>
          </w:p>
          <w:p>
            <w:pPr>
              <w:spacing w:after="60" w:before="0"/>
            </w:pPr>
            <w:r>
              <w:rPr>
                <w:rFonts w:ascii="Calibri" w:hAnsi="Calibri"/>
                <w:b w:val="0"/>
                <w:color w:val="000000"/>
                <w:sz w:val="21"/>
              </w:rPr>
              <w:t xml:space="preserve">Administrators can assign these roles through the application interface: </w:t>
            </w:r>
            <w:r>
              <w:rPr>
                <w:rFonts w:ascii="Calibri" w:hAnsi="Calibri"/>
                <w:b/>
                <w:color w:val="000000"/>
                <w:sz w:val="21"/>
              </w:rPr>
              <w:t>admin, manager, contributor, viewer</w:t>
            </w:r>
            <w:r>
              <w:rPr>
                <w:rFonts w:ascii="Calibri" w:hAnsi="Calibri"/>
                <w:b w:val="0"/>
                <w:color w:val="000000"/>
                <w:sz w:val="21"/>
              </w:rPr>
              <w:t>.</w:t>
            </w:r>
          </w:p>
          <w:p>
            <w:pPr>
              <w:spacing w:after="0" w:before="0"/>
            </w:pPr>
            <w:r>
              <w:rPr>
                <w:rFonts w:ascii="Calibri" w:hAnsi="Calibri"/>
                <w:b w:val="0"/>
                <w:color w:val="000000"/>
                <w:sz w:val="21"/>
              </w:rPr>
              <w:t>Specialized operational roles (</w:t>
            </w:r>
            <w:r>
              <w:rPr>
                <w:rFonts w:ascii="Calibri" w:hAnsi="Calibri"/>
                <w:b/>
                <w:color w:val="000000"/>
                <w:sz w:val="21"/>
              </w:rPr>
              <w:t>reviewer, senior_analyst, qalead, program_manager</w:t>
            </w:r>
            <w:r>
              <w:rPr>
                <w:rFonts w:ascii="Calibri" w:hAnsi="Calibri"/>
                <w:b w:val="0"/>
                <w:color w:val="000000"/>
                <w:sz w:val="21"/>
              </w:rPr>
              <w:t>) are configured by the system administrator through direct system configuration. Contact the system administrator to request assignment to these roles.</w:t>
            </w:r>
          </w:p>
        </w:tc>
      </w:tr>
    </w:tbl>
    <w:p>
      <w:pPr>
        <w:spacing w:after="80"/>
      </w:pPr>
    </w:p>
    <w:p>
      <w:pPr>
        <w:spacing w:after="120" w:before="0"/>
      </w:pPr>
      <w:r>
        <w:rPr>
          <w:rFonts w:ascii="Calibri" w:hAnsi="Calibri"/>
          <w:b w:val="0"/>
          <w:color w:val="000000"/>
          <w:sz w:val="22"/>
        </w:rPr>
        <w:t xml:space="preserve">New accounts default to </w:t>
      </w:r>
      <w:r>
        <w:rPr>
          <w:rFonts w:ascii="Calibri" w:hAnsi="Calibri"/>
          <w:b/>
          <w:color w:val="000000"/>
          <w:sz w:val="22"/>
        </w:rPr>
        <w:t>viewer</w:t>
      </w:r>
      <w:r>
        <w:rPr>
          <w:rFonts w:ascii="Calibri" w:hAnsi="Calibri"/>
          <w:b w:val="0"/>
          <w:color w:val="000000"/>
          <w:sz w:val="22"/>
        </w:rPr>
        <w:t xml:space="preserve"> and require administrator approval before they can be used.</w:t>
      </w:r>
    </w:p>
    <w:p>
      <w:pPr>
        <w:pStyle w:val="Heading2"/>
        <w:keepNext/>
        <w:spacing w:before="200" w:after="120"/>
        <w:outlineLvl w:val="1"/>
      </w:pPr>
      <w:r>
        <w:rPr>
          <w:rFonts w:ascii="Calibri" w:hAnsi="Calibri"/>
          <w:b/>
          <w:color w:val="003087"/>
          <w:sz w:val="25"/>
        </w:rPr>
        <w:t>6.2 VIEWER</w:t>
      </w:r>
    </w:p>
    <w:p>
      <w:pPr>
        <w:spacing w:after="120" w:before="0"/>
      </w:pPr>
      <w:r>
        <w:rPr>
          <w:rFonts w:ascii="Calibri" w:hAnsi="Calibri"/>
          <w:b/>
          <w:color w:val="000000"/>
          <w:sz w:val="22"/>
        </w:rPr>
        <w:t>Purpose.</w:t>
      </w:r>
      <w:r>
        <w:rPr>
          <w:rFonts w:ascii="Calibri" w:hAnsi="Calibri"/>
          <w:b w:val="0"/>
          <w:color w:val="000000"/>
          <w:sz w:val="22"/>
        </w:rPr>
        <w:t xml:space="preserve"> Read-only visibility for programme staff, oversight, and observers who need to see the state of the work without changing it.</w:t>
      </w:r>
    </w:p>
    <w:p>
      <w:pPr>
        <w:spacing w:after="120" w:before="0"/>
      </w:pPr>
      <w:r>
        <w:rPr>
          <w:rFonts w:ascii="Calibri" w:hAnsi="Calibri"/>
          <w:b/>
          <w:color w:val="000000"/>
          <w:sz w:val="22"/>
        </w:rPr>
        <w:t>Can access.</w:t>
      </w:r>
      <w:r>
        <w:rPr>
          <w:rFonts w:ascii="Calibri" w:hAnsi="Calibri"/>
          <w:b w:val="0"/>
          <w:color w:val="000000"/>
          <w:sz w:val="22"/>
        </w:rPr>
        <w:t xml:space="preserve"> Mission Control, Analytics, Reports (view and download), Findings, Review Cycles, Connectors, Trust Center, Help, methodology and discrepancy-taxonomy references, Registry browsing.</w:t>
      </w:r>
    </w:p>
    <w:p>
      <w:pPr>
        <w:spacing w:after="120" w:before="0"/>
      </w:pPr>
      <w:r>
        <w:rPr>
          <w:rFonts w:ascii="Calibri" w:hAnsi="Calibri"/>
          <w:b/>
          <w:color w:val="000000"/>
          <w:sz w:val="22"/>
        </w:rPr>
        <w:t>Can perform.</w:t>
      </w:r>
      <w:r>
        <w:rPr>
          <w:rFonts w:ascii="Calibri" w:hAnsi="Calibri"/>
          <w:b w:val="0"/>
          <w:color w:val="000000"/>
          <w:sz w:val="22"/>
        </w:rPr>
        <w:t xml:space="preserve"> View dashboards and metrics; open reviews and findings; download generated reports; read review rules and their version history.</w:t>
      </w:r>
    </w:p>
    <w:p>
      <w:pPr>
        <w:spacing w:after="120" w:before="0"/>
      </w:pPr>
      <w:r>
        <w:rPr>
          <w:rFonts w:ascii="Calibri" w:hAnsi="Calibri"/>
          <w:b/>
          <w:color w:val="000000"/>
          <w:sz w:val="22"/>
        </w:rPr>
        <w:t>Cannot perform.</w:t>
      </w:r>
      <w:r>
        <w:rPr>
          <w:rFonts w:ascii="Calibri" w:hAnsi="Calibri"/>
          <w:b w:val="0"/>
          <w:color w:val="000000"/>
          <w:sz w:val="22"/>
        </w:rPr>
        <w:t xml:space="preserve"> Cannot see PII — entity-level personally identifying detail is restricted to reviewer and above. Cannot draw samples, execute reviews, resolve findings, change entity status, author rules, or manage users.</w:t>
      </w:r>
    </w:p>
    <w:p>
      <w:pPr>
        <w:spacing w:after="120" w:before="0"/>
      </w:pPr>
      <w:r>
        <w:rPr>
          <w:rFonts w:ascii="Calibri" w:hAnsi="Calibri"/>
          <w:b/>
          <w:color w:val="000000"/>
          <w:sz w:val="22"/>
        </w:rPr>
        <w:t>Daily responsibilities.</w:t>
      </w:r>
      <w:r>
        <w:rPr>
          <w:rFonts w:ascii="Calibri" w:hAnsi="Calibri"/>
          <w:b w:val="0"/>
          <w:color w:val="000000"/>
          <w:sz w:val="22"/>
        </w:rPr>
        <w:t xml:space="preserve"> Monitor progress and escalation volume; raise questions to the reviewer or QA lead.</w:t>
      </w:r>
    </w:p>
    <w:p>
      <w:pPr>
        <w:spacing w:after="120" w:before="0"/>
      </w:pPr>
      <w:r>
        <w:rPr>
          <w:rFonts w:ascii="Calibri" w:hAnsi="Calibri"/>
          <w:b/>
          <w:color w:val="000000"/>
          <w:sz w:val="22"/>
        </w:rPr>
        <w:t>Escalation.</w:t>
      </w:r>
      <w:r>
        <w:rPr>
          <w:rFonts w:ascii="Calibri" w:hAnsi="Calibri"/>
          <w:b w:val="0"/>
          <w:color w:val="000000"/>
          <w:sz w:val="22"/>
        </w:rPr>
        <w:t xml:space="preserve"> Anything requiring action goes to a reviewer or the programme manager.</w:t>
      </w:r>
    </w:p>
    <w:p>
      <w:pPr>
        <w:pStyle w:val="Heading2"/>
        <w:keepNext/>
        <w:spacing w:before="200" w:after="120"/>
        <w:outlineLvl w:val="1"/>
      </w:pPr>
      <w:r>
        <w:rPr>
          <w:rFonts w:ascii="Calibri" w:hAnsi="Calibri"/>
          <w:b/>
          <w:color w:val="003087"/>
          <w:sz w:val="25"/>
        </w:rPr>
        <w:t>6.3 CONTRIBUTOR</w:t>
      </w:r>
    </w:p>
    <w:p>
      <w:pPr>
        <w:spacing w:after="120" w:before="0"/>
      </w:pPr>
      <w:r>
        <w:rPr>
          <w:rFonts w:ascii="Calibri" w:hAnsi="Calibri"/>
          <w:b/>
          <w:color w:val="000000"/>
          <w:sz w:val="22"/>
        </w:rPr>
        <w:t>Purpose.</w:t>
      </w:r>
      <w:r>
        <w:rPr>
          <w:rFonts w:ascii="Calibri" w:hAnsi="Calibri"/>
          <w:b w:val="0"/>
          <w:color w:val="000000"/>
          <w:sz w:val="22"/>
        </w:rPr>
        <w:t xml:space="preserve"> Prepare work for reviewers.</w:t>
      </w:r>
    </w:p>
    <w:p>
      <w:pPr>
        <w:spacing w:after="120" w:before="0"/>
      </w:pPr>
      <w:r>
        <w:rPr>
          <w:rFonts w:ascii="Calibri" w:hAnsi="Calibri"/>
          <w:b/>
          <w:color w:val="000000"/>
          <w:sz w:val="22"/>
        </w:rPr>
        <w:t>Can access.</w:t>
      </w:r>
      <w:r>
        <w:rPr>
          <w:rFonts w:ascii="Calibri" w:hAnsi="Calibri"/>
          <w:b w:val="0"/>
          <w:color w:val="000000"/>
          <w:sz w:val="22"/>
        </w:rPr>
        <w:t xml:space="preserve"> Everything a viewer can, plus sample creation.</w:t>
      </w:r>
    </w:p>
    <w:p>
      <w:pPr>
        <w:spacing w:after="120" w:before="0"/>
      </w:pPr>
      <w:r>
        <w:rPr>
          <w:rFonts w:ascii="Calibri" w:hAnsi="Calibri"/>
          <w:b/>
          <w:color w:val="000000"/>
          <w:sz w:val="22"/>
        </w:rPr>
        <w:t>Can perform.</w:t>
      </w:r>
      <w:r>
        <w:rPr>
          <w:rFonts w:ascii="Calibri" w:hAnsi="Calibri"/>
          <w:b w:val="0"/>
          <w:color w:val="000000"/>
          <w:sz w:val="22"/>
        </w:rPr>
        <w:t xml:space="preserve"> Draw a statistical sample against a review cycle, using the configured confidence level, margin of error, and seed.</w:t>
      </w:r>
    </w:p>
    <w:p>
      <w:pPr>
        <w:spacing w:after="120" w:before="0"/>
      </w:pPr>
      <w:r>
        <w:rPr>
          <w:rFonts w:ascii="Calibri" w:hAnsi="Calibri"/>
          <w:b/>
          <w:color w:val="000000"/>
          <w:sz w:val="22"/>
        </w:rPr>
        <w:t>Cannot perform.</w:t>
      </w:r>
      <w:r>
        <w:rPr>
          <w:rFonts w:ascii="Calibri" w:hAnsi="Calibri"/>
          <w:b w:val="0"/>
          <w:color w:val="000000"/>
          <w:sz w:val="22"/>
        </w:rPr>
        <w:t xml:space="preserve"> Cannot review entities, resolve findings, or see PII.</w:t>
      </w:r>
    </w:p>
    <w:p>
      <w:pPr>
        <w:spacing w:after="120" w:before="0"/>
      </w:pPr>
      <w:r>
        <w:rPr>
          <w:rFonts w:ascii="Calibri" w:hAnsi="Calibri"/>
          <w:b/>
          <w:color w:val="000000"/>
          <w:sz w:val="22"/>
        </w:rPr>
        <w:t>Daily responsibilities.</w:t>
      </w:r>
      <w:r>
        <w:rPr>
          <w:rFonts w:ascii="Calibri" w:hAnsi="Calibri"/>
          <w:b w:val="0"/>
          <w:color w:val="000000"/>
          <w:sz w:val="22"/>
        </w:rPr>
        <w:t xml:space="preserve"> Confirm the cycle is ready; draw the sample when directed; verify the sample size and that the seed was recorded.</w:t>
      </w:r>
    </w:p>
    <w:p>
      <w:pPr>
        <w:spacing w:after="120" w:before="0"/>
      </w:pPr>
      <w:r>
        <w:rPr>
          <w:rFonts w:ascii="Calibri" w:hAnsi="Calibri"/>
          <w:b/>
          <w:color w:val="000000"/>
          <w:sz w:val="22"/>
        </w:rPr>
        <w:t>Escalation.</w:t>
      </w:r>
      <w:r>
        <w:rPr>
          <w:rFonts w:ascii="Calibri" w:hAnsi="Calibri"/>
          <w:b w:val="0"/>
          <w:color w:val="000000"/>
          <w:sz w:val="22"/>
        </w:rPr>
        <w:t xml:space="preserve"> If a sample cannot be drawn — usually an empty or unconfigured population — escalate to the programme manager.</w:t>
      </w:r>
    </w:p>
    <w:p>
      <w:pPr>
        <w:pStyle w:val="Heading2"/>
        <w:keepNext/>
        <w:spacing w:before="200" w:after="120"/>
        <w:outlineLvl w:val="1"/>
      </w:pPr>
      <w:r>
        <w:rPr>
          <w:rFonts w:ascii="Calibri" w:hAnsi="Calibri"/>
          <w:b/>
          <w:color w:val="003087"/>
          <w:sz w:val="25"/>
        </w:rPr>
        <w:t>6.4 MANAGER</w:t>
      </w:r>
    </w:p>
    <w:p>
      <w:pPr>
        <w:spacing w:after="120" w:before="0"/>
      </w:pPr>
      <w:r>
        <w:rPr>
          <w:rFonts w:ascii="Calibri" w:hAnsi="Calibri"/>
          <w:b/>
          <w:color w:val="000000"/>
          <w:sz w:val="22"/>
        </w:rPr>
        <w:t>Purpose.</w:t>
      </w:r>
      <w:r>
        <w:rPr>
          <w:rFonts w:ascii="Calibri" w:hAnsi="Calibri"/>
          <w:b w:val="0"/>
          <w:color w:val="000000"/>
          <w:sz w:val="22"/>
        </w:rPr>
        <w:t xml:space="preserve"> Team and workload oversight.</w:t>
      </w:r>
    </w:p>
    <w:p>
      <w:pPr>
        <w:spacing w:after="120" w:before="0"/>
      </w:pPr>
      <w:r>
        <w:rPr>
          <w:rFonts w:ascii="Calibri" w:hAnsi="Calibri"/>
          <w:b/>
          <w:color w:val="000000"/>
          <w:sz w:val="22"/>
        </w:rPr>
        <w:t>Can access.</w:t>
      </w:r>
      <w:r>
        <w:rPr>
          <w:rFonts w:ascii="Calibri" w:hAnsi="Calibri"/>
          <w:b w:val="0"/>
          <w:color w:val="000000"/>
          <w:sz w:val="22"/>
        </w:rPr>
        <w:t xml:space="preserve"> Everything a contributor can.</w:t>
      </w:r>
    </w:p>
    <w:p>
      <w:pPr>
        <w:spacing w:after="120" w:before="0"/>
      </w:pPr>
      <w:r>
        <w:rPr>
          <w:rFonts w:ascii="Calibri" w:hAnsi="Calibri"/>
          <w:b/>
          <w:color w:val="000000"/>
          <w:sz w:val="22"/>
        </w:rPr>
        <w:t>Can perform.</w:t>
      </w:r>
      <w:r>
        <w:rPr>
          <w:rFonts w:ascii="Calibri" w:hAnsi="Calibri"/>
          <w:b w:val="0"/>
          <w:color w:val="000000"/>
          <w:sz w:val="22"/>
        </w:rPr>
        <w:t xml:space="preserve"> All contributor actions, plus workload monitoring across the team.</w:t>
      </w:r>
    </w:p>
    <w:p>
      <w:pPr>
        <w:spacing w:after="120" w:before="0"/>
      </w:pPr>
      <w:r>
        <w:rPr>
          <w:rFonts w:ascii="Calibri" w:hAnsi="Calibri"/>
          <w:b/>
          <w:color w:val="000000"/>
          <w:sz w:val="22"/>
        </w:rPr>
        <w:t>Cannot perform.</w:t>
      </w:r>
      <w:r>
        <w:rPr>
          <w:rFonts w:ascii="Calibri" w:hAnsi="Calibri"/>
          <w:b w:val="0"/>
          <w:color w:val="000000"/>
          <w:sz w:val="22"/>
        </w:rPr>
        <w:t xml:space="preserve"> Cannot review entities or see entity-level PII — those require reviewer.</w:t>
      </w:r>
    </w:p>
    <w:p>
      <w:pPr>
        <w:spacing w:after="120" w:before="0"/>
      </w:pPr>
      <w:r>
        <w:rPr>
          <w:rFonts w:ascii="Calibri" w:hAnsi="Calibri"/>
          <w:b/>
          <w:color w:val="000000"/>
          <w:sz w:val="22"/>
        </w:rPr>
        <w:t>Daily responsibilities.</w:t>
      </w:r>
      <w:r>
        <w:rPr>
          <w:rFonts w:ascii="Calibri" w:hAnsi="Calibri"/>
          <w:b w:val="0"/>
          <w:color w:val="000000"/>
          <w:sz w:val="22"/>
        </w:rPr>
        <w:t xml:space="preserve"> Track queue depth, SLA bands, and unassigned work; rebalance workload; report blockers.</w:t>
      </w:r>
    </w:p>
    <w:p>
      <w:pPr>
        <w:spacing w:after="120" w:before="0"/>
      </w:pPr>
      <w:r>
        <w:rPr>
          <w:rFonts w:ascii="Calibri" w:hAnsi="Calibri"/>
          <w:b/>
          <w:color w:val="000000"/>
          <w:sz w:val="22"/>
        </w:rPr>
        <w:t>Escalation.</w:t>
      </w:r>
      <w:r>
        <w:rPr>
          <w:rFonts w:ascii="Calibri" w:hAnsi="Calibri"/>
          <w:b w:val="0"/>
          <w:color w:val="000000"/>
          <w:sz w:val="22"/>
        </w:rPr>
        <w:t xml:space="preserve"> Capacity problems to the programme manager; methodology questions to the QA lead.</w:t>
      </w:r>
    </w:p>
    <w:p>
      <w:pPr>
        <w:pStyle w:val="Heading2"/>
        <w:keepNext/>
        <w:spacing w:before="200" w:after="120"/>
        <w:outlineLvl w:val="1"/>
      </w:pPr>
      <w:r>
        <w:rPr>
          <w:rFonts w:ascii="Calibri" w:hAnsi="Calibri"/>
          <w:b/>
          <w:color w:val="003087"/>
          <w:sz w:val="25"/>
        </w:rPr>
        <w:t>6.5 REVIEWER</w:t>
      </w:r>
    </w:p>
    <w:p>
      <w:pPr>
        <w:spacing w:after="120" w:before="0"/>
      </w:pPr>
      <w:r>
        <w:rPr>
          <w:rFonts w:ascii="Calibri" w:hAnsi="Calibri"/>
          <w:b/>
          <w:color w:val="000000"/>
          <w:sz w:val="22"/>
        </w:rPr>
        <w:t>Purpose.</w:t>
      </w:r>
      <w:r>
        <w:rPr>
          <w:rFonts w:ascii="Calibri" w:hAnsi="Calibri"/>
          <w:b w:val="0"/>
          <w:color w:val="000000"/>
          <w:sz w:val="22"/>
        </w:rPr>
        <w:t xml:space="preserve"> Front-line review of assigned entities and their verification evidence. This is the core operational role and the first role permitted to see PII.</w:t>
      </w:r>
    </w:p>
    <w:p>
      <w:pPr>
        <w:spacing w:after="120" w:before="0"/>
      </w:pPr>
      <w:r>
        <w:rPr>
          <w:rFonts w:ascii="Calibri" w:hAnsi="Calibri"/>
          <w:b/>
          <w:color w:val="000000"/>
          <w:sz w:val="22"/>
        </w:rPr>
        <w:t>Can access.</w:t>
      </w:r>
      <w:r>
        <w:rPr>
          <w:rFonts w:ascii="Calibri" w:hAnsi="Calibri"/>
          <w:b w:val="0"/>
          <w:color w:val="000000"/>
          <w:sz w:val="22"/>
        </w:rPr>
        <w:t xml:space="preserve"> All ARC pages including Entity Reviews, Validation Queue, Findings, Priority Reviews, Data Import, Reports, Search; entity-level detail including PII; Registry entity detail.</w:t>
      </w:r>
    </w:p>
    <w:p>
      <w:pPr>
        <w:spacing w:after="120" w:before="0"/>
      </w:pPr>
      <w:r>
        <w:rPr>
          <w:rFonts w:ascii="Calibri" w:hAnsi="Calibri"/>
          <w:b/>
          <w:color w:val="000000"/>
          <w:sz w:val="22"/>
        </w:rPr>
        <w:t>Can perform.</w:t>
      </w:r>
      <w:r>
        <w:rPr>
          <w:rFonts w:ascii="Calibri" w:hAnsi="Calibri"/>
          <w:b w:val="0"/>
          <w:color w:val="000000"/>
          <w:sz w:val="22"/>
        </w:rPr>
        <w:t xml:space="preserve"> Open and work assigned entity reviews; run a verification for an entity; read the full evidence record for every source; resolve a B3 review by confirming the classification or reclassifying it to B1, B2, B3, or B4 with a mandatory written rationale; add review notes; escalate to Tier 3; upload entity files.</w:t>
      </w:r>
    </w:p>
    <w:p>
      <w:pPr>
        <w:spacing w:after="120" w:before="0"/>
      </w:pPr>
      <w:r>
        <w:rPr>
          <w:rFonts w:ascii="Calibri" w:hAnsi="Calibri"/>
          <w:b/>
          <w:color w:val="000000"/>
          <w:sz w:val="22"/>
        </w:rPr>
        <w:t>Cannot perform.</w:t>
      </w:r>
      <w:r>
        <w:rPr>
          <w:rFonts w:ascii="Calibri" w:hAnsi="Calibri"/>
          <w:b w:val="0"/>
          <w:color w:val="000000"/>
          <w:sz w:val="22"/>
        </w:rPr>
        <w:t xml:space="preserve"> Cannot author or version classification rules; cannot approve methodology; cannot sign off QA; cannot submit contract deliverables; cannot manage users; cannot override a QA determination.</w:t>
      </w:r>
    </w:p>
    <w:p>
      <w:pPr>
        <w:spacing w:after="120" w:before="0"/>
      </w:pPr>
      <w:r>
        <w:rPr>
          <w:rFonts w:ascii="Calibri" w:hAnsi="Calibri"/>
          <w:b/>
          <w:color w:val="000000"/>
          <w:sz w:val="22"/>
        </w:rPr>
        <w:t>Daily responsibilities.</w:t>
      </w:r>
    </w:p>
    <w:p>
      <w:pPr>
        <w:pStyle w:val="ListNumber"/>
        <w:spacing w:after="40"/>
      </w:pPr>
      <w:r>
        <w:rPr>
          <w:rFonts w:ascii="Calibri" w:hAnsi="Calibri"/>
          <w:b w:val="0"/>
          <w:color w:val="000000"/>
          <w:sz w:val="21"/>
        </w:rPr>
        <w:t>Log in and check Mission Control for assigned work and overdue items.</w:t>
      </w:r>
    </w:p>
    <w:p>
      <w:pPr>
        <w:pStyle w:val="ListNumber"/>
        <w:spacing w:after="40"/>
      </w:pPr>
      <w:r>
        <w:rPr>
          <w:rFonts w:ascii="Calibri" w:hAnsi="Calibri"/>
          <w:b w:val="0"/>
          <w:color w:val="000000"/>
          <w:sz w:val="21"/>
        </w:rPr>
        <w:t>Work the Entity Reviews queue in SLA order — overdue first, then at-risk.</w:t>
      </w:r>
    </w:p>
    <w:p>
      <w:pPr>
        <w:pStyle w:val="ListNumber"/>
        <w:spacing w:after="40"/>
      </w:pPr>
      <w:r>
        <w:rPr>
          <w:rFonts w:ascii="Calibri" w:hAnsi="Calibri"/>
          <w:b w:val="0"/>
          <w:color w:val="000000"/>
          <w:sz w:val="21"/>
        </w:rPr>
        <w:t>For each entity: read the submitted data, then read every source result individually.</w:t>
      </w:r>
    </w:p>
    <w:p>
      <w:pPr>
        <w:pStyle w:val="ListNumber"/>
        <w:spacing w:after="40"/>
      </w:pPr>
      <w:r>
        <w:rPr>
          <w:rFonts w:ascii="Calibri" w:hAnsi="Calibri"/>
          <w:b w:val="0"/>
          <w:color w:val="000000"/>
          <w:sz w:val="21"/>
        </w:rPr>
        <w:t>Confirm which sources actually answered before judging the outcome.</w:t>
      </w:r>
    </w:p>
    <w:p>
      <w:pPr>
        <w:pStyle w:val="ListNumber"/>
        <w:spacing w:after="40"/>
      </w:pPr>
      <w:r>
        <w:rPr>
          <w:rFonts w:ascii="Calibri" w:hAnsi="Calibri"/>
          <w:b w:val="0"/>
          <w:color w:val="000000"/>
          <w:sz w:val="21"/>
        </w:rPr>
        <w:t>Investigate exceptions in the Validation Queue.</w:t>
      </w:r>
    </w:p>
    <w:p>
      <w:pPr>
        <w:pStyle w:val="ListNumber"/>
        <w:spacing w:after="40"/>
      </w:pPr>
      <w:r>
        <w:rPr>
          <w:rFonts w:ascii="Calibri" w:hAnsi="Calibri"/>
          <w:b w:val="0"/>
          <w:color w:val="000000"/>
          <w:sz w:val="21"/>
        </w:rPr>
        <w:t>Record a rationale for every decision, including confirmations.</w:t>
      </w:r>
    </w:p>
    <w:p>
      <w:pPr>
        <w:pStyle w:val="ListNumber"/>
        <w:spacing w:after="40"/>
      </w:pPr>
      <w:r>
        <w:rPr>
          <w:rFonts w:ascii="Calibri" w:hAnsi="Calibri"/>
          <w:b w:val="0"/>
          <w:color w:val="000000"/>
          <w:sz w:val="21"/>
        </w:rPr>
        <w:t>Escalate B4 and anything outside your authority.</w:t>
      </w:r>
    </w:p>
    <w:p>
      <w:pPr>
        <w:pStyle w:val="ListNumber"/>
        <w:spacing w:after="40"/>
      </w:pPr>
      <w:r>
        <w:rPr>
          <w:rFonts w:ascii="Calibri" w:hAnsi="Calibri"/>
          <w:b w:val="0"/>
          <w:color w:val="000000"/>
          <w:sz w:val="21"/>
        </w:rPr>
        <w:t>Re-check the queue at end of day for newly arrived or newly overdue work.</w:t>
      </w:r>
    </w:p>
    <w:p>
      <w:pPr>
        <w:spacing w:after="120" w:before="0"/>
      </w:pPr>
      <w:r>
        <w:rPr>
          <w:rFonts w:ascii="Calibri" w:hAnsi="Calibri"/>
          <w:b/>
          <w:color w:val="000000"/>
          <w:sz w:val="22"/>
        </w:rPr>
        <w:t>Escalation.</w:t>
      </w:r>
      <w:r>
        <w:rPr>
          <w:rFonts w:ascii="Calibri" w:hAnsi="Calibri"/>
          <w:b w:val="0"/>
          <w:color w:val="000000"/>
          <w:sz w:val="22"/>
        </w:rPr>
        <w:t xml:space="preserve"> B4 findings and active exclusions to senior_analyst or Tier 3. Bucket disputes to senior_analyst. Methodology questions to qalead. Connector problems to the administrator.</w:t>
      </w:r>
    </w:p>
    <w:p>
      <w:pPr>
        <w:pStyle w:val="Heading2"/>
        <w:keepNext/>
        <w:spacing w:before="200" w:after="120"/>
        <w:outlineLvl w:val="1"/>
      </w:pPr>
      <w:r>
        <w:rPr>
          <w:rFonts w:ascii="Calibri" w:hAnsi="Calibri"/>
          <w:b/>
          <w:color w:val="003087"/>
          <w:sz w:val="25"/>
        </w:rPr>
        <w:t>6.6 SENIOR_ANALYST</w:t>
      </w:r>
    </w:p>
    <w:p>
      <w:pPr>
        <w:spacing w:after="120" w:before="0"/>
      </w:pPr>
      <w:r>
        <w:rPr>
          <w:rFonts w:ascii="Calibri" w:hAnsi="Calibri"/>
          <w:b/>
          <w:color w:val="000000"/>
          <w:sz w:val="22"/>
        </w:rPr>
        <w:t>Purpose.</w:t>
      </w:r>
      <w:r>
        <w:rPr>
          <w:rFonts w:ascii="Calibri" w:hAnsi="Calibri"/>
          <w:b w:val="0"/>
          <w:color w:val="000000"/>
          <w:sz w:val="22"/>
        </w:rPr>
        <w:t xml:space="preserve"> Adjudicate the difficult cases and keep reviewers consistent with each other.</w:t>
      </w:r>
    </w:p>
    <w:p>
      <w:pPr>
        <w:spacing w:after="120" w:before="0"/>
      </w:pPr>
      <w:r>
        <w:rPr>
          <w:rFonts w:ascii="Calibri" w:hAnsi="Calibri"/>
          <w:b/>
          <w:color w:val="000000"/>
          <w:sz w:val="22"/>
        </w:rPr>
        <w:t>Can access.</w:t>
      </w:r>
      <w:r>
        <w:rPr>
          <w:rFonts w:ascii="Calibri" w:hAnsi="Calibri"/>
          <w:b w:val="0"/>
          <w:color w:val="000000"/>
          <w:sz w:val="22"/>
        </w:rPr>
        <w:t xml:space="preserve"> Everything a reviewer can, plus the B3 escalation queue and calibration views.</w:t>
      </w:r>
    </w:p>
    <w:p>
      <w:pPr>
        <w:spacing w:after="120" w:before="0"/>
      </w:pPr>
      <w:r>
        <w:rPr>
          <w:rFonts w:ascii="Calibri" w:hAnsi="Calibri"/>
          <w:b/>
          <w:color w:val="000000"/>
          <w:sz w:val="22"/>
        </w:rPr>
        <w:t>Can perform.</w:t>
      </w:r>
      <w:r>
        <w:rPr>
          <w:rFonts w:ascii="Calibri" w:hAnsi="Calibri"/>
          <w:b w:val="0"/>
          <w:color w:val="000000"/>
          <w:sz w:val="22"/>
        </w:rPr>
        <w:t xml:space="preserve"> All reviewer actions; override a bucket classification; work the B3 escalation queue; run calibration comparisons across reviewers.</w:t>
      </w:r>
    </w:p>
    <w:p>
      <w:pPr>
        <w:spacing w:after="120" w:before="0"/>
      </w:pPr>
      <w:r>
        <w:rPr>
          <w:rFonts w:ascii="Calibri" w:hAnsi="Calibri"/>
          <w:b/>
          <w:color w:val="000000"/>
          <w:sz w:val="22"/>
        </w:rPr>
        <w:t>Cannot perform.</w:t>
      </w:r>
      <w:r>
        <w:rPr>
          <w:rFonts w:ascii="Calibri" w:hAnsi="Calibri"/>
          <w:b w:val="0"/>
          <w:color w:val="000000"/>
          <w:sz w:val="22"/>
        </w:rPr>
        <w:t xml:space="preserve"> Cannot approve methodology or sign off QA deliverables.</w:t>
      </w:r>
    </w:p>
    <w:p>
      <w:pPr>
        <w:spacing w:after="120" w:before="0"/>
      </w:pPr>
      <w:r>
        <w:rPr>
          <w:rFonts w:ascii="Calibri" w:hAnsi="Calibri"/>
          <w:b/>
          <w:color w:val="000000"/>
          <w:sz w:val="22"/>
        </w:rPr>
        <w:t>Daily responsibilities.</w:t>
      </w:r>
      <w:r>
        <w:rPr>
          <w:rFonts w:ascii="Calibri" w:hAnsi="Calibri"/>
          <w:b w:val="0"/>
          <w:color w:val="000000"/>
          <w:sz w:val="22"/>
        </w:rPr>
        <w:t xml:space="preserve"> Clear the B3 escalation queue; adjudicate bucket disputes; review inter-rater agreement and raise systematic divergence with the QA lead; coach reviewers on recurring errors.</w:t>
      </w:r>
    </w:p>
    <w:p>
      <w:pPr>
        <w:spacing w:after="120" w:before="0"/>
      </w:pPr>
      <w:r>
        <w:rPr>
          <w:rFonts w:ascii="Calibri" w:hAnsi="Calibri"/>
          <w:b/>
          <w:color w:val="000000"/>
          <w:sz w:val="22"/>
        </w:rPr>
        <w:t>Escalation.</w:t>
      </w:r>
      <w:r>
        <w:rPr>
          <w:rFonts w:ascii="Calibri" w:hAnsi="Calibri"/>
          <w:b w:val="0"/>
          <w:color w:val="000000"/>
          <w:sz w:val="22"/>
        </w:rPr>
        <w:t xml:space="preserve"> Methodology change proposals to qalead; contract-affecting findings to the programme manager.</w:t>
      </w:r>
    </w:p>
    <w:p>
      <w:pPr>
        <w:pStyle w:val="Heading2"/>
        <w:keepNext/>
        <w:spacing w:before="200" w:after="120"/>
        <w:outlineLvl w:val="1"/>
      </w:pPr>
      <w:r>
        <w:rPr>
          <w:rFonts w:ascii="Calibri" w:hAnsi="Calibri"/>
          <w:b/>
          <w:color w:val="003087"/>
          <w:sz w:val="25"/>
        </w:rPr>
        <w:t>6.7 QALEAD</w:t>
      </w:r>
    </w:p>
    <w:p>
      <w:pPr>
        <w:spacing w:after="120" w:before="0"/>
      </w:pPr>
      <w:r>
        <w:rPr>
          <w:rFonts w:ascii="Calibri" w:hAnsi="Calibri"/>
          <w:b/>
          <w:color w:val="000000"/>
          <w:sz w:val="22"/>
        </w:rPr>
        <w:t>Purpose.</w:t>
      </w:r>
      <w:r>
        <w:rPr>
          <w:rFonts w:ascii="Calibri" w:hAnsi="Calibri"/>
          <w:b w:val="0"/>
          <w:color w:val="000000"/>
          <w:sz w:val="22"/>
        </w:rPr>
        <w:t xml:space="preserve"> Assure the quality of the review process itself, not of individual entities.</w:t>
      </w:r>
    </w:p>
    <w:p>
      <w:pPr>
        <w:spacing w:after="120" w:before="0"/>
      </w:pPr>
      <w:r>
        <w:rPr>
          <w:rFonts w:ascii="Calibri" w:hAnsi="Calibri"/>
          <w:b/>
          <w:color w:val="000000"/>
          <w:sz w:val="22"/>
        </w:rPr>
        <w:t>Can access.</w:t>
      </w:r>
      <w:r>
        <w:rPr>
          <w:rFonts w:ascii="Calibri" w:hAnsi="Calibri"/>
          <w:b w:val="0"/>
          <w:color w:val="000000"/>
          <w:sz w:val="22"/>
        </w:rPr>
        <w:t xml:space="preserve"> Everything a senior analyst can, plus QA Operations and every queue.</w:t>
      </w:r>
    </w:p>
    <w:p>
      <w:pPr>
        <w:spacing w:after="120" w:before="0"/>
      </w:pPr>
      <w:r>
        <w:rPr>
          <w:rFonts w:ascii="Calibri" w:hAnsi="Calibri"/>
          <w:b/>
          <w:color w:val="000000"/>
          <w:sz w:val="22"/>
        </w:rPr>
        <w:t>Can perform.</w:t>
      </w:r>
      <w:r>
        <w:rPr>
          <w:rFonts w:ascii="Calibri" w:hAnsi="Calibri"/>
          <w:b w:val="0"/>
          <w:color w:val="000000"/>
          <w:sz w:val="22"/>
        </w:rPr>
        <w:t xml:space="preserve"> Run and interpret all QA gates — evidence completeness, internal consistency, sampling validation, inter-rater agreement, statistical checks, golden-record regression, SLA, and the report gate; approve methodology; provide QA sign-off; export the QA audit trail.</w:t>
      </w:r>
    </w:p>
    <w:p>
      <w:pPr>
        <w:spacing w:after="120" w:before="0"/>
      </w:pPr>
      <w:r>
        <w:rPr>
          <w:rFonts w:ascii="Calibri" w:hAnsi="Calibri"/>
          <w:b/>
          <w:color w:val="000000"/>
          <w:sz w:val="22"/>
        </w:rPr>
        <w:t>Cannot perform.</w:t>
      </w:r>
      <w:r>
        <w:rPr>
          <w:rFonts w:ascii="Calibri" w:hAnsi="Calibri"/>
          <w:b w:val="0"/>
          <w:color w:val="000000"/>
          <w:sz w:val="22"/>
        </w:rPr>
        <w:t xml:space="preserve"> Cannot submit contract deliverables; cannot manage users.</w:t>
      </w:r>
    </w:p>
    <w:p>
      <w:pPr>
        <w:spacing w:after="120" w:before="0"/>
      </w:pPr>
      <w:r>
        <w:rPr>
          <w:rFonts w:ascii="Calibri" w:hAnsi="Calibri"/>
          <w:b/>
          <w:color w:val="000000"/>
          <w:sz w:val="22"/>
        </w:rPr>
        <w:t>Daily responsibilities.</w:t>
      </w:r>
      <w:r>
        <w:rPr>
          <w:rFonts w:ascii="Calibri" w:hAnsi="Calibri"/>
          <w:b w:val="0"/>
          <w:color w:val="000000"/>
          <w:sz w:val="22"/>
        </w:rPr>
        <w:t xml:space="preserve"> Review the QA score and alerts; run the report gate before any deliverable is generated; investigate any failed gate; monitor inter-rater agreement; approve or reject methodology changes.</w:t>
      </w:r>
    </w:p>
    <w:p>
      <w:pPr>
        <w:spacing w:after="120" w:before="0"/>
      </w:pPr>
      <w:r>
        <w:rPr>
          <w:rFonts w:ascii="Calibri" w:hAnsi="Calibri"/>
          <w:b/>
          <w:color w:val="000000"/>
          <w:sz w:val="22"/>
        </w:rPr>
        <w:t>Escalation.</w:t>
      </w:r>
      <w:r>
        <w:rPr>
          <w:rFonts w:ascii="Calibri" w:hAnsi="Calibri"/>
          <w:b w:val="0"/>
          <w:color w:val="000000"/>
          <w:sz w:val="22"/>
        </w:rPr>
        <w:t xml:space="preserve"> A failed report gate blocks the deliverable and goes to the programme manager immediately.</w:t>
      </w:r>
    </w:p>
    <w:p>
      <w:pPr>
        <w:pStyle w:val="Heading2"/>
        <w:keepNext/>
        <w:spacing w:before="200" w:after="120"/>
        <w:outlineLvl w:val="1"/>
      </w:pPr>
      <w:r>
        <w:rPr>
          <w:rFonts w:ascii="Calibri" w:hAnsi="Calibri"/>
          <w:b/>
          <w:color w:val="003087"/>
          <w:sz w:val="25"/>
        </w:rPr>
        <w:t>6.8 PROGRAM_MANAGER</w:t>
      </w:r>
    </w:p>
    <w:p>
      <w:pPr>
        <w:spacing w:after="120" w:before="0"/>
      </w:pPr>
      <w:r>
        <w:rPr>
          <w:rFonts w:ascii="Calibri" w:hAnsi="Calibri"/>
          <w:b/>
          <w:color w:val="000000"/>
          <w:sz w:val="22"/>
        </w:rPr>
        <w:t>Purpose.</w:t>
      </w:r>
      <w:r>
        <w:rPr>
          <w:rFonts w:ascii="Calibri" w:hAnsi="Calibri"/>
          <w:b w:val="0"/>
          <w:color w:val="000000"/>
          <w:sz w:val="22"/>
        </w:rPr>
        <w:t xml:space="preserve"> Own the contract deliverable and the review cycle.</w:t>
      </w:r>
    </w:p>
    <w:p>
      <w:pPr>
        <w:spacing w:after="120" w:before="0"/>
      </w:pPr>
      <w:r>
        <w:rPr>
          <w:rFonts w:ascii="Calibri" w:hAnsi="Calibri"/>
          <w:b/>
          <w:color w:val="000000"/>
          <w:sz w:val="22"/>
        </w:rPr>
        <w:t>Can access.</w:t>
      </w:r>
      <w:r>
        <w:rPr>
          <w:rFonts w:ascii="Calibri" w:hAnsi="Calibri"/>
          <w:b w:val="0"/>
          <w:color w:val="000000"/>
          <w:sz w:val="22"/>
        </w:rPr>
        <w:t xml:space="preserve"> Everything a QA lead can, plus the full audit log and cycle management.</w:t>
      </w:r>
    </w:p>
    <w:p>
      <w:pPr>
        <w:spacing w:after="120" w:before="0"/>
      </w:pPr>
      <w:r>
        <w:rPr>
          <w:rFonts w:ascii="Calibri" w:hAnsi="Calibri"/>
          <w:b/>
          <w:color w:val="000000"/>
          <w:sz w:val="22"/>
        </w:rPr>
        <w:t>Can perform.</w:t>
      </w:r>
      <w:r>
        <w:rPr>
          <w:rFonts w:ascii="Calibri" w:hAnsi="Calibri"/>
          <w:b w:val="0"/>
          <w:color w:val="000000"/>
          <w:sz w:val="22"/>
        </w:rPr>
        <w:t xml:space="preserve"> Create and manage review cycles; generate weekly, biweekly, quarterly, and final reports; submit deliverables; review the complete audit log; create priority reviews.</w:t>
      </w:r>
    </w:p>
    <w:p>
      <w:pPr>
        <w:spacing w:after="120" w:before="0"/>
      </w:pPr>
      <w:r>
        <w:rPr>
          <w:rFonts w:ascii="Calibri" w:hAnsi="Calibri"/>
          <w:b/>
          <w:color w:val="000000"/>
          <w:sz w:val="22"/>
        </w:rPr>
        <w:t>Cannot perform.</w:t>
      </w:r>
      <w:r>
        <w:rPr>
          <w:rFonts w:ascii="Calibri" w:hAnsi="Calibri"/>
          <w:b w:val="0"/>
          <w:color w:val="000000"/>
          <w:sz w:val="22"/>
        </w:rPr>
        <w:t xml:space="preserve"> Cannot manage user accounts.</w:t>
      </w:r>
    </w:p>
    <w:p>
      <w:pPr>
        <w:spacing w:after="120" w:before="0"/>
      </w:pPr>
      <w:r>
        <w:rPr>
          <w:rFonts w:ascii="Calibri" w:hAnsi="Calibri"/>
          <w:b/>
          <w:color w:val="000000"/>
          <w:sz w:val="22"/>
        </w:rPr>
        <w:t>Daily responsibilities.</w:t>
      </w:r>
      <w:r>
        <w:rPr>
          <w:rFonts w:ascii="Calibri" w:hAnsi="Calibri"/>
          <w:b w:val="0"/>
          <w:color w:val="000000"/>
          <w:sz w:val="22"/>
        </w:rPr>
        <w:t xml:space="preserve"> Confirm cycle progress against schedule; confirm the QA report gate passed before generating a deliverable; review overdue volume; handle COR-directed priority reviews.</w:t>
      </w:r>
    </w:p>
    <w:p>
      <w:pPr>
        <w:spacing w:after="120" w:before="0"/>
      </w:pPr>
      <w:r>
        <w:rPr>
          <w:rFonts w:ascii="Calibri" w:hAnsi="Calibri"/>
          <w:b/>
          <w:color w:val="000000"/>
          <w:sz w:val="22"/>
        </w:rPr>
        <w:t>Escalation.</w:t>
      </w:r>
      <w:r>
        <w:rPr>
          <w:rFonts w:ascii="Calibri" w:hAnsi="Calibri"/>
          <w:b w:val="0"/>
          <w:color w:val="000000"/>
          <w:sz w:val="22"/>
        </w:rPr>
        <w:t xml:space="preserve"> Contractual and schedule issues to the COR; access and infrastructure issues to the administrator.</w:t>
      </w:r>
    </w:p>
    <w:p>
      <w:pPr>
        <w:pStyle w:val="Heading2"/>
        <w:keepNext/>
        <w:spacing w:before="200" w:after="120"/>
        <w:outlineLvl w:val="1"/>
      </w:pPr>
      <w:r>
        <w:rPr>
          <w:rFonts w:ascii="Calibri" w:hAnsi="Calibri"/>
          <w:b/>
          <w:color w:val="003087"/>
          <w:sz w:val="25"/>
        </w:rPr>
        <w:t>6.9 ADMIN</w:t>
      </w:r>
    </w:p>
    <w:p>
      <w:pPr>
        <w:spacing w:after="120" w:before="0"/>
      </w:pPr>
      <w:r>
        <w:rPr>
          <w:rFonts w:ascii="Calibri" w:hAnsi="Calibri"/>
          <w:b/>
          <w:color w:val="000000"/>
          <w:sz w:val="22"/>
        </w:rPr>
        <w:t>Purpose.</w:t>
      </w:r>
      <w:r>
        <w:rPr>
          <w:rFonts w:ascii="Calibri" w:hAnsi="Calibri"/>
          <w:b w:val="0"/>
          <w:color w:val="000000"/>
          <w:sz w:val="22"/>
        </w:rPr>
        <w:t xml:space="preserve"> Operate and safeguard the platform.</w:t>
      </w:r>
    </w:p>
    <w:p>
      <w:pPr>
        <w:spacing w:after="120" w:before="0"/>
      </w:pPr>
      <w:r>
        <w:rPr>
          <w:rFonts w:ascii="Calibri" w:hAnsi="Calibri"/>
          <w:b/>
          <w:color w:val="000000"/>
          <w:sz w:val="22"/>
        </w:rPr>
        <w:t>Can access.</w:t>
      </w:r>
      <w:r>
        <w:rPr>
          <w:rFonts w:ascii="Calibri" w:hAnsi="Calibri"/>
          <w:b w:val="0"/>
          <w:color w:val="000000"/>
          <w:sz w:val="22"/>
        </w:rPr>
        <w:t xml:space="preserve"> Everything, plus user management, configuration, connector health detail, USPS metrics, and seeding functions.</w:t>
      </w:r>
    </w:p>
    <w:p>
      <w:pPr>
        <w:spacing w:after="120" w:before="0"/>
      </w:pPr>
      <w:r>
        <w:rPr>
          <w:rFonts w:ascii="Calibri" w:hAnsi="Calibri"/>
          <w:b/>
          <w:color w:val="000000"/>
          <w:sz w:val="22"/>
        </w:rPr>
        <w:t>Can perform.</w:t>
      </w:r>
      <w:r>
        <w:rPr>
          <w:rFonts w:ascii="Calibri" w:hAnsi="Calibri"/>
          <w:b w:val="0"/>
          <w:color w:val="000000"/>
          <w:sz w:val="22"/>
        </w:rPr>
        <w:t xml:space="preserve"> Create, approve, disable, and delete user accounts; assign admin, manager, contributor, and viewer roles through the interface; author and version classification rules; configure the system; monitor connector and integration health; access operational metrics.</w:t>
      </w:r>
    </w:p>
    <w:p>
      <w:pPr>
        <w:spacing w:after="120" w:before="0"/>
      </w:pPr>
      <w:r>
        <w:rPr>
          <w:rFonts w:ascii="Calibri" w:hAnsi="Calibri"/>
          <w:b/>
          <w:color w:val="000000"/>
          <w:sz w:val="22"/>
        </w:rPr>
        <w:t>Cannot perform.</w:t>
      </w:r>
      <w:r>
        <w:rPr>
          <w:rFonts w:ascii="Calibri" w:hAnsi="Calibri"/>
          <w:b w:val="0"/>
          <w:color w:val="000000"/>
          <w:sz w:val="22"/>
        </w:rPr>
        <w:t xml:space="preserve"> Should not make review determinations. The administrator role exists to run the platform, not to decide entity outcomes — doing both in one person removes the separation the audit trail depends on.</w:t>
      </w:r>
    </w:p>
    <w:p>
      <w:pPr>
        <w:spacing w:after="120" w:before="0"/>
      </w:pPr>
      <w:r>
        <w:rPr>
          <w:rFonts w:ascii="Calibri" w:hAnsi="Calibri"/>
          <w:b/>
          <w:color w:val="000000"/>
          <w:sz w:val="22"/>
        </w:rPr>
        <w:t>Daily responsibilities.</w:t>
      </w:r>
      <w:r>
        <w:rPr>
          <w:rFonts w:ascii="Calibri" w:hAnsi="Calibri"/>
          <w:b w:val="0"/>
          <w:color w:val="000000"/>
          <w:sz w:val="22"/>
        </w:rPr>
        <w:t xml:space="preserve"> See Section 18.</w:t>
      </w:r>
    </w:p>
    <w:p>
      <w:pPr>
        <w:spacing w:after="120" w:before="0"/>
      </w:pPr>
      <w:r>
        <w:rPr>
          <w:rFonts w:ascii="Calibri" w:hAnsi="Calibri"/>
          <w:b/>
          <w:color w:val="000000"/>
          <w:sz w:val="22"/>
        </w:rPr>
        <w:t>Escalation.</w:t>
      </w:r>
      <w:r>
        <w:rPr>
          <w:rFonts w:ascii="Calibri" w:hAnsi="Calibri"/>
          <w:b w:val="0"/>
          <w:color w:val="000000"/>
          <w:sz w:val="22"/>
        </w:rPr>
        <w:t xml:space="preserve"> Security events to the security contact; upstream source outages to the COR where they affect delivery.</w:t>
      </w:r>
    </w:p>
    <w:p>
      <w:pPr>
        <w:pStyle w:val="Heading2"/>
        <w:keepNext/>
        <w:spacing w:before="200" w:after="120"/>
        <w:outlineLvl w:val="1"/>
      </w:pPr>
      <w:r>
        <w:rPr>
          <w:rFonts w:ascii="Calibri" w:hAnsi="Calibri"/>
          <w:b/>
          <w:color w:val="003087"/>
          <w:sz w:val="25"/>
        </w:rPr>
        <w:t>6.10 Role summary</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003087"/>
          </w:tcPr>
          <w:p>
            <w:pPr>
              <w:spacing w:after="40" w:before="40"/>
            </w:pPr>
            <w:r>
              <w:rPr>
                <w:rFonts w:ascii="Calibri" w:hAnsi="Calibri"/>
                <w:b/>
                <w:color w:val="FFFFFF"/>
                <w:sz w:val="20"/>
              </w:rPr>
              <w:t>Capability</w:t>
            </w:r>
          </w:p>
        </w:tc>
        <w:tc>
          <w:tcPr>
            <w:tcW w:type="dxa" w:w="1040"/>
            <w:shd w:val="clear" w:color="auto" w:fill="003087"/>
          </w:tcPr>
          <w:p>
            <w:pPr>
              <w:spacing w:after="40" w:before="40"/>
            </w:pPr>
            <w:r>
              <w:rPr>
                <w:rFonts w:ascii="Calibri" w:hAnsi="Calibri"/>
                <w:b/>
                <w:color w:val="FFFFFF"/>
                <w:sz w:val="20"/>
              </w:rPr>
              <w:t>viewer</w:t>
            </w:r>
          </w:p>
        </w:tc>
        <w:tc>
          <w:tcPr>
            <w:tcW w:type="dxa" w:w="1040"/>
            <w:shd w:val="clear" w:color="auto" w:fill="003087"/>
          </w:tcPr>
          <w:p>
            <w:pPr>
              <w:spacing w:after="40" w:before="40"/>
            </w:pPr>
            <w:r>
              <w:rPr>
                <w:rFonts w:ascii="Calibri" w:hAnsi="Calibri"/>
                <w:b/>
                <w:color w:val="FFFFFF"/>
                <w:sz w:val="20"/>
              </w:rPr>
              <w:t>contributor</w:t>
            </w:r>
          </w:p>
        </w:tc>
        <w:tc>
          <w:tcPr>
            <w:tcW w:type="dxa" w:w="1040"/>
            <w:shd w:val="clear" w:color="auto" w:fill="003087"/>
          </w:tcPr>
          <w:p>
            <w:pPr>
              <w:spacing w:after="40" w:before="40"/>
            </w:pPr>
            <w:r>
              <w:rPr>
                <w:rFonts w:ascii="Calibri" w:hAnsi="Calibri"/>
                <w:b/>
                <w:color w:val="FFFFFF"/>
                <w:sz w:val="20"/>
              </w:rPr>
              <w:t>manager</w:t>
            </w:r>
          </w:p>
        </w:tc>
        <w:tc>
          <w:tcPr>
            <w:tcW w:type="dxa" w:w="1040"/>
            <w:shd w:val="clear" w:color="auto" w:fill="003087"/>
          </w:tcPr>
          <w:p>
            <w:pPr>
              <w:spacing w:after="40" w:before="40"/>
            </w:pPr>
            <w:r>
              <w:rPr>
                <w:rFonts w:ascii="Calibri" w:hAnsi="Calibri"/>
                <w:b/>
                <w:color w:val="FFFFFF"/>
                <w:sz w:val="20"/>
              </w:rPr>
              <w:t>reviewer</w:t>
            </w:r>
          </w:p>
        </w:tc>
        <w:tc>
          <w:tcPr>
            <w:tcW w:type="dxa" w:w="1040"/>
            <w:shd w:val="clear" w:color="auto" w:fill="003087"/>
          </w:tcPr>
          <w:p>
            <w:pPr>
              <w:spacing w:after="40" w:before="40"/>
            </w:pPr>
            <w:r>
              <w:rPr>
                <w:rFonts w:ascii="Calibri" w:hAnsi="Calibri"/>
                <w:b/>
                <w:color w:val="FFFFFF"/>
                <w:sz w:val="20"/>
              </w:rPr>
              <w:t>senior_analyst</w:t>
            </w:r>
          </w:p>
        </w:tc>
        <w:tc>
          <w:tcPr>
            <w:tcW w:type="dxa" w:w="1040"/>
            <w:shd w:val="clear" w:color="auto" w:fill="003087"/>
          </w:tcPr>
          <w:p>
            <w:pPr>
              <w:spacing w:after="40" w:before="40"/>
            </w:pPr>
            <w:r>
              <w:rPr>
                <w:rFonts w:ascii="Calibri" w:hAnsi="Calibri"/>
                <w:b/>
                <w:color w:val="FFFFFF"/>
                <w:sz w:val="20"/>
              </w:rPr>
              <w:t>qalead</w:t>
            </w:r>
          </w:p>
        </w:tc>
        <w:tc>
          <w:tcPr>
            <w:tcW w:type="dxa" w:w="1040"/>
            <w:shd w:val="clear" w:color="auto" w:fill="003087"/>
          </w:tcPr>
          <w:p>
            <w:pPr>
              <w:spacing w:after="40" w:before="40"/>
            </w:pPr>
            <w:r>
              <w:rPr>
                <w:rFonts w:ascii="Calibri" w:hAnsi="Calibri"/>
                <w:b/>
                <w:color w:val="FFFFFF"/>
                <w:sz w:val="20"/>
              </w:rPr>
              <w:t>program_manager</w:t>
            </w:r>
          </w:p>
        </w:tc>
        <w:tc>
          <w:tcPr>
            <w:tcW w:type="dxa" w:w="1040"/>
            <w:shd w:val="clear" w:color="auto" w:fill="003087"/>
          </w:tcPr>
          <w:p>
            <w:pPr>
              <w:spacing w:after="40" w:before="40"/>
            </w:pPr>
            <w:r>
              <w:rPr>
                <w:rFonts w:ascii="Calibri" w:hAnsi="Calibri"/>
                <w:b/>
                <w:color w:val="FFFFFF"/>
                <w:sz w:val="20"/>
              </w:rPr>
              <w:t>admin</w:t>
            </w:r>
          </w:p>
        </w:tc>
      </w:tr>
      <w:tr>
        <w:tc>
          <w:tcPr>
            <w:tcW w:type="dxa" w:w="1040"/>
          </w:tcPr>
          <w:p>
            <w:pPr>
              <w:spacing w:after="40" w:before="40"/>
            </w:pPr>
            <w:r>
              <w:rPr>
                <w:rFonts w:ascii="Calibri" w:hAnsi="Calibri"/>
                <w:b w:val="0"/>
                <w:color w:val="000000"/>
                <w:sz w:val="20"/>
              </w:rPr>
              <w:t>View dashboards and reports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r>
      <w:tr>
        <w:tc>
          <w:tcPr>
            <w:tcW w:type="dxa" w:w="1040"/>
            <w:shd w:val="clear" w:color="auto" w:fill="F2F5FA"/>
          </w:tcPr>
          <w:p>
            <w:pPr>
              <w:spacing w:after="40" w:before="40"/>
            </w:pPr>
            <w:r>
              <w:rPr>
                <w:rFonts w:ascii="Calibri" w:hAnsi="Calibri"/>
                <w:b w:val="0"/>
                <w:color w:val="000000"/>
                <w:sz w:val="20"/>
              </w:rPr>
              <w:t>Draw samples</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r>
      <w:tr>
        <w:tc>
          <w:tcPr>
            <w:tcW w:type="dxa" w:w="1040"/>
          </w:tcPr>
          <w:p>
            <w:pPr>
              <w:spacing w:after="40" w:before="40"/>
            </w:pPr>
            <w:r>
              <w:rPr>
                <w:rFonts w:ascii="Calibri" w:hAnsi="Calibri"/>
                <w:b w:val="0"/>
                <w:color w:val="000000"/>
                <w:sz w:val="20"/>
              </w:rPr>
              <w:t>See entity PII</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r>
      <w:tr>
        <w:tc>
          <w:tcPr>
            <w:tcW w:type="dxa" w:w="1040"/>
            <w:shd w:val="clear" w:color="auto" w:fill="F2F5FA"/>
          </w:tcPr>
          <w:p>
            <w:pPr>
              <w:spacing w:after="40" w:before="40"/>
            </w:pPr>
            <w:r>
              <w:rPr>
                <w:rFonts w:ascii="Calibri" w:hAnsi="Calibri"/>
                <w:b w:val="0"/>
                <w:color w:val="000000"/>
                <w:sz w:val="20"/>
              </w:rPr>
              <w:t>Review and resolve entities</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r>
      <w:tr>
        <w:tc>
          <w:tcPr>
            <w:tcW w:type="dxa" w:w="1040"/>
          </w:tcPr>
          <w:p>
            <w:pPr>
              <w:spacing w:after="40" w:before="40"/>
            </w:pPr>
            <w:r>
              <w:rPr>
                <w:rFonts w:ascii="Calibri" w:hAnsi="Calibri"/>
                <w:b w:val="0"/>
                <w:color w:val="000000"/>
                <w:sz w:val="20"/>
              </w:rPr>
              <w:t>Override bucket / B3 queue</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r>
      <w:tr>
        <w:tc>
          <w:tcPr>
            <w:tcW w:type="dxa" w:w="1040"/>
            <w:shd w:val="clear" w:color="auto" w:fill="F2F5FA"/>
          </w:tcPr>
          <w:p>
            <w:pPr>
              <w:spacing w:after="40" w:before="40"/>
            </w:pPr>
            <w:r>
              <w:rPr>
                <w:rFonts w:ascii="Calibri" w:hAnsi="Calibri"/>
                <w:b w:val="0"/>
                <w:color w:val="000000"/>
                <w:sz w:val="20"/>
              </w:rPr>
              <w:t>QA gates and sign-off</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c>
          <w:tcPr>
            <w:tcW w:type="dxa" w:w="1040"/>
            <w:shd w:val="clear" w:color="auto" w:fill="F2F5FA"/>
          </w:tcPr>
          <w:p>
            <w:pPr>
              <w:spacing w:after="40" w:before="40"/>
            </w:pPr>
            <w:r>
              <w:rPr>
                <w:rFonts w:ascii="Calibri" w:hAnsi="Calibri"/>
                <w:b w:val="0"/>
                <w:color w:val="000000"/>
                <w:sz w:val="20"/>
              </w:rPr>
              <w:t>Yes</w:t>
            </w:r>
          </w:p>
        </w:tc>
      </w:tr>
      <w:tr>
        <w:tc>
          <w:tcPr>
            <w:tcW w:type="dxa" w:w="1040"/>
          </w:tcPr>
          <w:p>
            <w:pPr>
              <w:spacing w:after="40" w:before="40"/>
            </w:pPr>
            <w:r>
              <w:rPr>
                <w:rFonts w:ascii="Calibri" w:hAnsi="Calibri"/>
                <w:b w:val="0"/>
                <w:color w:val="000000"/>
                <w:sz w:val="20"/>
              </w:rPr>
              <w:t>Generate and submit deliverables</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Yes</w:t>
            </w:r>
          </w:p>
        </w:tc>
        <w:tc>
          <w:tcPr>
            <w:tcW w:type="dxa" w:w="1040"/>
          </w:tcPr>
          <w:p>
            <w:pPr>
              <w:spacing w:after="40" w:before="40"/>
            </w:pPr>
            <w:r>
              <w:rPr>
                <w:rFonts w:ascii="Calibri" w:hAnsi="Calibri"/>
                <w:b w:val="0"/>
                <w:color w:val="000000"/>
                <w:sz w:val="20"/>
              </w:rPr>
              <w:t>Yes</w:t>
            </w:r>
          </w:p>
        </w:tc>
      </w:tr>
      <w:tr>
        <w:tc>
          <w:tcPr>
            <w:tcW w:type="dxa" w:w="1040"/>
            <w:shd w:val="clear" w:color="auto" w:fill="F2F5FA"/>
          </w:tcPr>
          <w:p>
            <w:pPr>
              <w:spacing w:after="40" w:before="40"/>
            </w:pPr>
            <w:r>
              <w:rPr>
                <w:rFonts w:ascii="Calibri" w:hAnsi="Calibri"/>
                <w:b w:val="0"/>
                <w:color w:val="000000"/>
                <w:sz w:val="20"/>
              </w:rPr>
              <w:t>Author classification rules</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No</w:t>
            </w:r>
          </w:p>
        </w:tc>
        <w:tc>
          <w:tcPr>
            <w:tcW w:type="dxa" w:w="1040"/>
            <w:shd w:val="clear" w:color="auto" w:fill="F2F5FA"/>
          </w:tcPr>
          <w:p>
            <w:pPr>
              <w:spacing w:after="40" w:before="40"/>
            </w:pPr>
            <w:r>
              <w:rPr>
                <w:rFonts w:ascii="Calibri" w:hAnsi="Calibri"/>
                <w:b w:val="0"/>
                <w:color w:val="000000"/>
                <w:sz w:val="20"/>
              </w:rPr>
              <w:t>Yes</w:t>
            </w:r>
          </w:p>
        </w:tc>
      </w:tr>
      <w:tr>
        <w:tc>
          <w:tcPr>
            <w:tcW w:type="dxa" w:w="1040"/>
          </w:tcPr>
          <w:p>
            <w:pPr>
              <w:spacing w:after="40" w:before="40"/>
            </w:pPr>
            <w:r>
              <w:rPr>
                <w:rFonts w:ascii="Calibri" w:hAnsi="Calibri"/>
                <w:b w:val="0"/>
                <w:color w:val="000000"/>
                <w:sz w:val="20"/>
              </w:rPr>
              <w:t>Manage users</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No</w:t>
            </w:r>
          </w:p>
        </w:tc>
        <w:tc>
          <w:tcPr>
            <w:tcW w:type="dxa" w:w="1040"/>
          </w:tcPr>
          <w:p>
            <w:pPr>
              <w:spacing w:after="40" w:before="40"/>
            </w:pPr>
            <w:r>
              <w:rPr>
                <w:rFonts w:ascii="Calibri" w:hAnsi="Calibri"/>
                <w:b w:val="0"/>
                <w:color w:val="000000"/>
                <w:sz w:val="20"/>
              </w:rPr>
              <w:t>Yes</w:t>
            </w:r>
          </w:p>
        </w:tc>
      </w:tr>
    </w:tbl>
    <w:p>
      <w:pPr>
        <w:spacing w:after="80"/>
      </w:pPr>
    </w:p>
    <w:p>
      <w:r>
        <w:br w:type="page"/>
      </w:r>
    </w:p>
    <w:p>
      <w:pPr>
        <w:pStyle w:val="Heading1"/>
        <w:keepNext/>
        <w:spacing w:before="280" w:after="120"/>
        <w:outlineLvl w:val="0"/>
      </w:pPr>
      <w:r>
        <w:rPr>
          <w:rFonts w:ascii="Calibri" w:hAnsi="Calibri"/>
          <w:b/>
          <w:color w:val="003087"/>
          <w:sz w:val="28"/>
        </w:rPr>
        <w:t>7. Logging In and Getting Started</w:t>
      </w:r>
    </w:p>
    <w:p>
      <w:pPr>
        <w:pStyle w:val="Heading2"/>
        <w:keepNext/>
        <w:spacing w:before="200" w:after="120"/>
        <w:outlineLvl w:val="1"/>
      </w:pPr>
      <w:r>
        <w:rPr>
          <w:rFonts w:ascii="Calibri" w:hAnsi="Calibri"/>
          <w:b/>
          <w:color w:val="003087"/>
          <w:sz w:val="25"/>
        </w:rPr>
        <w:t>7.1 Before your first login</w:t>
      </w:r>
    </w:p>
    <w:p>
      <w:pPr>
        <w:spacing w:after="120" w:before="0"/>
      </w:pPr>
      <w:r>
        <w:rPr>
          <w:rFonts w:ascii="Calibri" w:hAnsi="Calibri"/>
          <w:b w:val="0"/>
          <w:color w:val="000000"/>
          <w:sz w:val="22"/>
        </w:rPr>
        <w:t xml:space="preserve">You need an account created by an administrator, and it must be </w:t>
      </w:r>
      <w:r>
        <w:rPr>
          <w:rFonts w:ascii="Calibri" w:hAnsi="Calibri"/>
          <w:b/>
          <w:color w:val="000000"/>
          <w:sz w:val="22"/>
        </w:rPr>
        <w:t>approved</w:t>
      </w:r>
      <w:r>
        <w:rPr>
          <w:rFonts w:ascii="Calibri" w:hAnsi="Calibri"/>
          <w:b w:val="0"/>
          <w:color w:val="000000"/>
          <w:sz w:val="22"/>
        </w:rPr>
        <w:t xml:space="preserve">. New accounts default to the </w:t>
      </w:r>
      <w:r>
        <w:rPr>
          <w:rFonts w:ascii="Calibri" w:hAnsi="Calibri"/>
          <w:b/>
          <w:color w:val="000000"/>
          <w:sz w:val="22"/>
        </w:rPr>
        <w:t>viewer</w:t>
      </w:r>
      <w:r>
        <w:rPr>
          <w:rFonts w:ascii="Calibri" w:hAnsi="Calibri"/>
          <w:b w:val="0"/>
          <w:color w:val="000000"/>
          <w:sz w:val="22"/>
        </w:rPr>
        <w:t xml:space="preserve"> role and remain inactive until an administrator approves them. If you require an operational role, see Section 6.1 — the specialized roles are configured by the system administrator outside the interface.</w:t>
      </w:r>
    </w:p>
    <w:p>
      <w:pPr>
        <w:pStyle w:val="Heading2"/>
        <w:keepNext/>
        <w:spacing w:before="200" w:after="120"/>
        <w:outlineLvl w:val="1"/>
      </w:pPr>
      <w:r>
        <w:rPr>
          <w:rFonts w:ascii="Calibri" w:hAnsi="Calibri"/>
          <w:b/>
          <w:color w:val="003087"/>
          <w:sz w:val="25"/>
        </w:rPr>
        <w:t>7.2 Signing 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Step</w:t>
            </w:r>
          </w:p>
        </w:tc>
        <w:tc>
          <w:tcPr>
            <w:tcW w:type="dxa" w:w="3120"/>
            <w:shd w:val="clear" w:color="auto" w:fill="003087"/>
          </w:tcPr>
          <w:p>
            <w:pPr>
              <w:spacing w:after="40" w:before="40"/>
            </w:pPr>
            <w:r>
              <w:rPr>
                <w:rFonts w:ascii="Calibri" w:hAnsi="Calibri"/>
                <w:b/>
                <w:color w:val="FFFFFF"/>
                <w:sz w:val="20"/>
              </w:rPr>
              <w:t>Action</w:t>
            </w:r>
          </w:p>
        </w:tc>
        <w:tc>
          <w:tcPr>
            <w:tcW w:type="dxa" w:w="3120"/>
            <w:shd w:val="clear" w:color="auto" w:fill="003087"/>
          </w:tcPr>
          <w:p>
            <w:pPr>
              <w:spacing w:after="40" w:before="40"/>
            </w:pPr>
            <w:r>
              <w:rPr>
                <w:rFonts w:ascii="Calibri" w:hAnsi="Calibri"/>
                <w:b/>
                <w:color w:val="FFFFFF"/>
                <w:sz w:val="20"/>
              </w:rPr>
              <w:t>Expected result</w:t>
            </w:r>
          </w:p>
        </w:tc>
      </w:tr>
      <w:tr>
        <w:tc>
          <w:tcPr>
            <w:tcW w:type="dxa" w:w="3120"/>
          </w:tcPr>
          <w:p>
            <w:pPr>
              <w:spacing w:after="40" w:before="40"/>
            </w:pPr>
            <w:r>
              <w:rPr>
                <w:rFonts w:ascii="Calibri" w:hAnsi="Calibri"/>
                <w:b w:val="0"/>
                <w:color w:val="000000"/>
                <w:sz w:val="20"/>
              </w:rPr>
              <w:t>1</w:t>
            </w:r>
          </w:p>
        </w:tc>
        <w:tc>
          <w:tcPr>
            <w:tcW w:type="dxa" w:w="3120"/>
          </w:tcPr>
          <w:p>
            <w:pPr>
              <w:spacing w:after="40" w:before="40"/>
            </w:pPr>
            <w:r>
              <w:rPr>
                <w:rFonts w:ascii="Calibri" w:hAnsi="Calibri"/>
                <w:b w:val="0"/>
                <w:color w:val="000000"/>
                <w:sz w:val="20"/>
              </w:rPr>
              <w:t>Open the application URL for your environment (Section 17)</w:t>
            </w:r>
          </w:p>
        </w:tc>
        <w:tc>
          <w:tcPr>
            <w:tcW w:type="dxa" w:w="3120"/>
          </w:tcPr>
          <w:p>
            <w:pPr>
              <w:spacing w:after="40" w:before="40"/>
            </w:pPr>
            <w:r>
              <w:rPr>
                <w:rFonts w:ascii="Calibri" w:hAnsi="Calibri"/>
                <w:b w:val="0"/>
                <w:color w:val="000000"/>
                <w:sz w:val="20"/>
              </w:rPr>
              <w:t>The login page appears</w:t>
            </w:r>
          </w:p>
        </w:tc>
      </w:tr>
      <w:tr>
        <w:tc>
          <w:tcPr>
            <w:tcW w:type="dxa" w:w="3120"/>
            <w:shd w:val="clear" w:color="auto" w:fill="F2F5FA"/>
          </w:tcPr>
          <w:p>
            <w:pPr>
              <w:spacing w:after="40" w:before="40"/>
            </w:pPr>
            <w:r>
              <w:rPr>
                <w:rFonts w:ascii="Calibri" w:hAnsi="Calibri"/>
                <w:b w:val="0"/>
                <w:color w:val="000000"/>
                <w:sz w:val="20"/>
              </w:rPr>
              <w:t>2</w:t>
            </w:r>
          </w:p>
        </w:tc>
        <w:tc>
          <w:tcPr>
            <w:tcW w:type="dxa" w:w="3120"/>
            <w:shd w:val="clear" w:color="auto" w:fill="F2F5FA"/>
          </w:tcPr>
          <w:p>
            <w:pPr>
              <w:spacing w:after="40" w:before="40"/>
            </w:pPr>
            <w:r>
              <w:rPr>
                <w:rFonts w:ascii="Calibri" w:hAnsi="Calibri"/>
                <w:b w:val="0"/>
                <w:color w:val="000000"/>
                <w:sz w:val="20"/>
              </w:rPr>
              <w:t>Sign in with your organizational account, or with your username and password</w:t>
            </w:r>
          </w:p>
        </w:tc>
        <w:tc>
          <w:tcPr>
            <w:tcW w:type="dxa" w:w="3120"/>
            <w:shd w:val="clear" w:color="auto" w:fill="F2F5FA"/>
          </w:tcPr>
          <w:p>
            <w:pPr>
              <w:spacing w:after="40" w:before="40"/>
            </w:pPr>
            <w:r>
              <w:rPr>
                <w:rFonts w:ascii="Calibri" w:hAnsi="Calibri"/>
                <w:b w:val="0"/>
                <w:color w:val="000000"/>
                <w:sz w:val="20"/>
              </w:rPr>
              <w:t>You are taken to the platform</w:t>
            </w:r>
          </w:p>
        </w:tc>
      </w:tr>
      <w:tr>
        <w:tc>
          <w:tcPr>
            <w:tcW w:type="dxa" w:w="3120"/>
          </w:tcPr>
          <w:p>
            <w:pPr>
              <w:spacing w:after="40" w:before="40"/>
            </w:pPr>
            <w:r>
              <w:rPr>
                <w:rFonts w:ascii="Calibri" w:hAnsi="Calibri"/>
                <w:b w:val="0"/>
                <w:color w:val="000000"/>
                <w:sz w:val="20"/>
              </w:rPr>
              <w:t>3</w:t>
            </w:r>
          </w:p>
        </w:tc>
        <w:tc>
          <w:tcPr>
            <w:tcW w:type="dxa" w:w="3120"/>
          </w:tcPr>
          <w:p>
            <w:pPr>
              <w:spacing w:after="40" w:before="40"/>
            </w:pPr>
            <w:r>
              <w:rPr>
                <w:rFonts w:ascii="Calibri" w:hAnsi="Calibri"/>
                <w:b w:val="0"/>
                <w:color w:val="000000"/>
                <w:sz w:val="20"/>
              </w:rPr>
              <w:t>Confirm the environment banner and the module you landed on</w:t>
            </w:r>
          </w:p>
        </w:tc>
        <w:tc>
          <w:tcPr>
            <w:tcW w:type="dxa" w:w="3120"/>
          </w:tcPr>
          <w:p>
            <w:pPr>
              <w:spacing w:after="40" w:before="40"/>
            </w:pPr>
            <w:r>
              <w:rPr>
                <w:rFonts w:ascii="Calibri" w:hAnsi="Calibri"/>
                <w:b w:val="0"/>
                <w:color w:val="000000"/>
                <w:sz w:val="20"/>
              </w:rPr>
              <w:t>Mission Control or your default landing page</w:t>
            </w:r>
          </w:p>
        </w:tc>
      </w:tr>
    </w:tbl>
    <w:p>
      <w:pPr>
        <w:spacing w:after="80"/>
      </w:pPr>
    </w:p>
    <w:p>
      <w:pPr>
        <w:spacing w:after="120" w:before="0"/>
      </w:pPr>
      <w:r>
        <w:rPr>
          <w:rFonts w:ascii="Calibri" w:hAnsi="Calibri"/>
          <w:b w:val="0"/>
          <w:color w:val="000000"/>
          <w:sz w:val="22"/>
        </w:rPr>
        <w:t>Two sign-in methods exist: username and password, and Microsoft Entra ID single sign-on. Both produce the same session. Where your organization has enabled single sign-on, use it.</w:t>
      </w:r>
    </w:p>
    <w:p>
      <w:pPr>
        <w:spacing w:after="120" w:before="0"/>
      </w:pPr>
      <w:r>
        <w:rPr>
          <w:rFonts w:ascii="Calibri" w:hAnsi="Calibri"/>
          <w:b/>
          <w:color w:val="000000"/>
          <w:sz w:val="22"/>
        </w:rPr>
        <w:t>If sign-in fails.</w:t>
      </w:r>
      <w:r>
        <w:rPr>
          <w:rFonts w:ascii="Calibri" w:hAnsi="Calibri"/>
          <w:b w:val="0"/>
          <w:color w:val="000000"/>
          <w:sz w:val="22"/>
        </w:rPr>
        <w:t xml:space="preserve"> Check that you are using the correct environment URL — a development account will not work against production, and the reverse is also true. If the credentials are correct and sign-in still fails, your account may be unapproved or disabled; contact your administrator.</w:t>
      </w:r>
    </w:p>
    <w:p>
      <w:pPr>
        <w:pStyle w:val="Heading2"/>
        <w:keepNext/>
        <w:spacing w:before="200" w:after="120"/>
        <w:outlineLvl w:val="1"/>
      </w:pPr>
      <w:r>
        <w:rPr>
          <w:rFonts w:ascii="Calibri" w:hAnsi="Calibri"/>
          <w:b/>
          <w:color w:val="003087"/>
          <w:sz w:val="25"/>
        </w:rPr>
        <w:t>7.3 What you should see immediately</w:t>
      </w:r>
    </w:p>
    <w:p>
      <w:pPr>
        <w:spacing w:after="120" w:before="0"/>
      </w:pPr>
      <w:r>
        <w:rPr>
          <w:rFonts w:ascii="Calibri" w:hAnsi="Calibri"/>
          <w:b w:val="0"/>
          <w:color w:val="000000"/>
          <w:sz w:val="22"/>
        </w:rPr>
        <w:t>Three things are worth checking every time you sign in:</w:t>
      </w:r>
    </w:p>
    <w:p>
      <w:pPr>
        <w:pStyle w:val="ListNumber"/>
        <w:spacing w:after="40"/>
      </w:pPr>
      <w:r>
        <w:rPr>
          <w:rFonts w:ascii="Calibri" w:hAnsi="Calibri"/>
          <w:b/>
          <w:color w:val="000000"/>
          <w:sz w:val="21"/>
        </w:rPr>
        <w:t>The demonstration-mode banner.</w:t>
      </w:r>
      <w:r>
        <w:rPr>
          <w:rFonts w:ascii="Calibri" w:hAnsi="Calibri"/>
          <w:b w:val="0"/>
          <w:color w:val="000000"/>
          <w:sz w:val="21"/>
        </w:rPr>
        <w:t xml:space="preserve"> While the platform is in pre-production mode, an amber banner appears at the top of every TEFCA ARC page:</w:t>
      </w:r>
    </w:p>
    <w:p>
      <w:pPr>
        <w:spacing w:after="120" w:before="0"/>
      </w:pPr>
      <w:r>
        <w:rPr>
          <w:rFonts w:ascii="Calibri" w:hAnsi="Calibri"/>
          <w:b w:val="0"/>
          <w:i/>
          <w:color w:val="000000"/>
          <w:sz w:val="22"/>
        </w:rPr>
        <w:t>"DEMONSTRATION MODE — This module is displaying synthetic data for evaluation purposes. Do not use for operational decisions."</w:t>
      </w:r>
    </w:p>
    <w:p>
      <w:pPr>
        <w:pStyle w:val="ListNumber"/>
        <w:spacing w:after="40"/>
      </w:pPr>
      <w:r>
        <w:rPr>
          <w:rFonts w:ascii="Calibri" w:hAnsi="Calibri"/>
          <w:b/>
          <w:color w:val="000000"/>
          <w:sz w:val="21"/>
        </w:rPr>
        <w:t>The System Health Summary</w:t>
      </w:r>
      <w:r>
        <w:rPr>
          <w:rFonts w:ascii="Calibri" w:hAnsi="Calibri"/>
          <w:b w:val="0"/>
          <w:color w:val="000000"/>
          <w:sz w:val="21"/>
        </w:rPr>
        <w:t xml:space="preserve"> — three collapsed cards reading Compliance, Connectors, and Verifications. Expand Connectors and confirm which sources are live before you begin work.</w:t>
      </w:r>
    </w:p>
    <w:p>
      <w:pPr>
        <w:pStyle w:val="ListNumber"/>
        <w:spacing w:after="40"/>
      </w:pPr>
      <w:r>
        <w:rPr>
          <w:rFonts w:ascii="Calibri" w:hAnsi="Calibri"/>
          <w:b/>
          <w:color w:val="000000"/>
          <w:sz w:val="21"/>
        </w:rPr>
        <w:t>Your role.</w:t>
      </w:r>
      <w:r>
        <w:rPr>
          <w:rFonts w:ascii="Calibri" w:hAnsi="Calibri"/>
          <w:b w:val="0"/>
          <w:color w:val="000000"/>
          <w:sz w:val="21"/>
        </w:rPr>
        <w:t xml:space="preserve"> The Trust Center page shows your signed-in account, role, and session type. If your role is not what you expect, stop and contact your administrator before working.</w:t>
      </w:r>
    </w:p>
    <w:p>
      <w:pPr>
        <w:pStyle w:val="Heading2"/>
        <w:keepNext/>
        <w:spacing w:before="200" w:after="120"/>
        <w:outlineLvl w:val="1"/>
      </w:pPr>
      <w:r>
        <w:rPr>
          <w:rFonts w:ascii="Calibri" w:hAnsi="Calibri"/>
          <w:b/>
          <w:color w:val="003087"/>
          <w:sz w:val="25"/>
        </w:rPr>
        <w:t>7.4 Sessions and timeouts</w:t>
      </w:r>
    </w:p>
    <w:p>
      <w:pPr>
        <w:spacing w:after="120" w:before="0"/>
      </w:pPr>
      <w:r>
        <w:rPr>
          <w:rFonts w:ascii="Calibri" w:hAnsi="Calibri"/>
          <w:b w:val="0"/>
          <w:color w:val="000000"/>
          <w:sz w:val="22"/>
        </w:rPr>
        <w:t xml:space="preserve">Sessions use a short-lived bearer token that expires automatically. The interface checks the token's expiry </w:t>
      </w:r>
      <w:r>
        <w:rPr>
          <w:rFonts w:ascii="Calibri" w:hAnsi="Calibri"/>
          <w:b/>
          <w:color w:val="000000"/>
          <w:sz w:val="22"/>
        </w:rPr>
        <w:t>before</w:t>
      </w:r>
      <w:r>
        <w:rPr>
          <w:rFonts w:ascii="Calibri" w:hAnsi="Calibri"/>
          <w:b w:val="0"/>
          <w:color w:val="000000"/>
          <w:sz w:val="22"/>
        </w:rPr>
        <w:t xml:space="preserve"> each request rather than waiting for a rejection, so an expired session returns you to the login page rather than showing an error or, worse, an empty page you might read as "no records".</w:t>
      </w:r>
    </w:p>
    <w:p>
      <w:pPr>
        <w:spacing w:after="120" w:before="0"/>
      </w:pPr>
      <w:r>
        <w:rPr>
          <w:rFonts w:ascii="Calibri" w:hAnsi="Calibri"/>
          <w:b w:val="0"/>
          <w:color w:val="000000"/>
          <w:sz w:val="22"/>
        </w:rPr>
        <w:t>If you are signed out unexpectedly, sign in again. Work that was saved is saved; work in an unsubmitted form is not.</w:t>
      </w:r>
    </w:p>
    <w:p>
      <w:pPr>
        <w:pStyle w:val="Heading2"/>
        <w:keepNext/>
        <w:spacing w:before="200" w:after="120"/>
        <w:outlineLvl w:val="1"/>
      </w:pPr>
      <w:r>
        <w:rPr>
          <w:rFonts w:ascii="Calibri" w:hAnsi="Calibri"/>
          <w:b/>
          <w:color w:val="003087"/>
          <w:sz w:val="25"/>
        </w:rPr>
        <w:t>7.5 If a page says you lack permission</w:t>
      </w:r>
    </w:p>
    <w:p>
      <w:pPr>
        <w:spacing w:after="120" w:before="0"/>
      </w:pPr>
      <w:r>
        <w:rPr>
          <w:rFonts w:ascii="Calibri" w:hAnsi="Calibri"/>
          <w:b w:val="0"/>
          <w:color w:val="000000"/>
          <w:sz w:val="22"/>
        </w:rPr>
        <w:t xml:space="preserve">A page that replaces its content with </w:t>
      </w:r>
      <w:r>
        <w:rPr>
          <w:rFonts w:ascii="Calibri" w:hAnsi="Calibri"/>
          <w:b/>
          <w:color w:val="000000"/>
          <w:sz w:val="22"/>
        </w:rPr>
        <w:t>"Insufficient permissions"</w:t>
      </w:r>
      <w:r>
        <w:rPr>
          <w:rFonts w:ascii="Calibri" w:hAnsi="Calibri"/>
          <w:b w:val="0"/>
          <w:color w:val="000000"/>
          <w:sz w:val="22"/>
        </w:rPr>
        <w:t xml:space="preserve"> is telling you the server refused the request for your role. This is deliberate: the platform shows denial as denial rather than as an empty table, because an empty table reads as "there are no records" and would be misleading. Request the appropriate role from your administrator; do not attempt to work around it.</w:t>
      </w:r>
    </w:p>
    <w:p>
      <w:r>
        <w:br w:type="page"/>
      </w:r>
    </w:p>
    <w:p>
      <w:pPr>
        <w:pStyle w:val="Heading1"/>
        <w:keepNext/>
        <w:spacing w:before="280" w:after="120"/>
        <w:outlineLvl w:val="0"/>
      </w:pPr>
      <w:r>
        <w:rPr>
          <w:rFonts w:ascii="Calibri" w:hAnsi="Calibri"/>
          <w:b/>
          <w:color w:val="003087"/>
          <w:sz w:val="28"/>
        </w:rPr>
        <w:t>8. Dashboard Guide</w:t>
      </w:r>
    </w:p>
    <w:p>
      <w:pPr>
        <w:pStyle w:val="Heading2"/>
        <w:keepNext/>
        <w:spacing w:before="200" w:after="120"/>
        <w:outlineLvl w:val="1"/>
      </w:pPr>
      <w:r>
        <w:rPr>
          <w:rFonts w:ascii="Calibri" w:hAnsi="Calibri"/>
          <w:b/>
          <w:color w:val="003087"/>
          <w:sz w:val="25"/>
        </w:rPr>
        <w:t>8.1 Mission Control</w:t>
      </w:r>
    </w:p>
    <w:p>
      <w:pPr>
        <w:spacing w:after="120" w:before="0"/>
      </w:pPr>
      <w:r>
        <w:rPr>
          <w:rFonts w:ascii="Calibri" w:hAnsi="Calibri"/>
          <w:b/>
          <w:color w:val="000000"/>
          <w:sz w:val="22"/>
        </w:rPr>
        <w:t>Where:</w:t>
      </w:r>
      <w:r>
        <w:rPr>
          <w:rFonts w:ascii="Calibri" w:hAnsi="Calibri"/>
          <w:b w:val="0"/>
          <w:color w:val="000000"/>
          <w:sz w:val="22"/>
        </w:rPr>
        <w:t xml:space="preserve"> </w:t>
      </w:r>
      <w:r>
        <w:rPr>
          <w:rFonts w:ascii="Consolas" w:hAnsi="Consolas"/>
          <w:color w:val="000000"/>
          <w:sz w:val="22"/>
        </w:rPr>
        <w:t>/tefca-arc</w:t>
      </w:r>
      <w:r>
        <w:rPr>
          <w:rFonts w:ascii="Calibri" w:hAnsi="Calibri"/>
          <w:b w:val="0"/>
          <w:color w:val="000000"/>
          <w:sz w:val="22"/>
        </w:rPr>
        <w:t xml:space="preserve"> — the landing page for the TEFCA ARC module, labelled </w:t>
      </w:r>
      <w:r>
        <w:rPr>
          <w:rFonts w:ascii="Calibri" w:hAnsi="Calibri"/>
          <w:b/>
          <w:color w:val="000000"/>
          <w:sz w:val="22"/>
        </w:rPr>
        <w:t>Mission Control</w:t>
      </w:r>
      <w:r>
        <w:rPr>
          <w:rFonts w:ascii="Calibri" w:hAnsi="Calibri"/>
          <w:b w:val="0"/>
          <w:color w:val="000000"/>
          <w:sz w:val="22"/>
        </w:rPr>
        <w:t xml:space="preserve"> in the left navigation.</w:t>
      </w:r>
    </w:p>
    <w:p>
      <w:pPr>
        <w:spacing w:after="120" w:before="0"/>
      </w:pPr>
      <w:r>
        <w:rPr>
          <w:rFonts w:ascii="Calibri" w:hAnsi="Calibri"/>
          <w:b w:val="0"/>
          <w:color w:val="000000"/>
          <w:sz w:val="22"/>
        </w:rPr>
        <w:t>Mission Control is the single operational view. It reads live values from the API and shows an explicit empty state rather than a zero when data is genuinely unavailable — a blank panel means "not returned", not "none exist".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Panel</w:t>
            </w:r>
          </w:p>
        </w:tc>
        <w:tc>
          <w:tcPr>
            <w:tcW w:type="dxa" w:w="3120"/>
            <w:shd w:val="clear" w:color="auto" w:fill="003087"/>
          </w:tcPr>
          <w:p>
            <w:pPr>
              <w:spacing w:after="40" w:before="40"/>
            </w:pPr>
            <w:r>
              <w:rPr>
                <w:rFonts w:ascii="Calibri" w:hAnsi="Calibri"/>
                <w:b/>
                <w:color w:val="FFFFFF"/>
                <w:sz w:val="20"/>
              </w:rPr>
              <w:t>What it shows</w:t>
            </w:r>
          </w:p>
        </w:tc>
        <w:tc>
          <w:tcPr>
            <w:tcW w:type="dxa" w:w="3120"/>
            <w:shd w:val="clear" w:color="auto" w:fill="003087"/>
          </w:tcPr>
          <w:p>
            <w:pPr>
              <w:spacing w:after="40" w:before="40"/>
            </w:pPr>
            <w:r>
              <w:rPr>
                <w:rFonts w:ascii="Calibri" w:hAnsi="Calibri"/>
                <w:b/>
                <w:color w:val="FFFFFF"/>
                <w:sz w:val="20"/>
              </w:rPr>
              <w:t>What to do with it</w:t>
            </w:r>
          </w:p>
        </w:tc>
      </w:tr>
      <w:tr>
        <w:tc>
          <w:tcPr>
            <w:tcW w:type="dxa" w:w="3120"/>
          </w:tcPr>
          <w:p>
            <w:pPr>
              <w:spacing w:after="40" w:before="40"/>
            </w:pPr>
            <w:r>
              <w:rPr>
                <w:rFonts w:ascii="Calibri" w:hAnsi="Calibri"/>
                <w:b/>
                <w:color w:val="000000"/>
                <w:sz w:val="20"/>
              </w:rPr>
              <w:t>KPI cards</w:t>
            </w:r>
          </w:p>
        </w:tc>
        <w:tc>
          <w:tcPr>
            <w:tcW w:type="dxa" w:w="3120"/>
          </w:tcPr>
          <w:p>
            <w:pPr>
              <w:spacing w:after="40" w:before="40"/>
            </w:pPr>
            <w:r>
              <w:rPr>
                <w:rFonts w:ascii="Calibri" w:hAnsi="Calibri"/>
                <w:b w:val="0"/>
                <w:color w:val="000000"/>
                <w:sz w:val="20"/>
              </w:rPr>
              <w:t>Headline counts for the current cycle</w:t>
            </w:r>
          </w:p>
        </w:tc>
        <w:tc>
          <w:tcPr>
            <w:tcW w:type="dxa" w:w="3120"/>
          </w:tcPr>
          <w:p>
            <w:pPr>
              <w:spacing w:after="40" w:before="40"/>
            </w:pPr>
            <w:r>
              <w:rPr>
                <w:rFonts w:ascii="Calibri" w:hAnsi="Calibri"/>
                <w:b w:val="0"/>
                <w:color w:val="000000"/>
                <w:sz w:val="20"/>
              </w:rPr>
              <w:t>Your first read on volume and progress</w:t>
            </w:r>
          </w:p>
        </w:tc>
      </w:tr>
      <w:tr>
        <w:tc>
          <w:tcPr>
            <w:tcW w:type="dxa" w:w="3120"/>
            <w:shd w:val="clear" w:color="auto" w:fill="F2F5FA"/>
          </w:tcPr>
          <w:p>
            <w:pPr>
              <w:spacing w:after="40" w:before="40"/>
            </w:pPr>
            <w:r>
              <w:rPr>
                <w:rFonts w:ascii="Calibri" w:hAnsi="Calibri"/>
                <w:b/>
                <w:color w:val="000000"/>
                <w:sz w:val="20"/>
              </w:rPr>
              <w:t>Review Pipeline</w:t>
            </w:r>
          </w:p>
        </w:tc>
        <w:tc>
          <w:tcPr>
            <w:tcW w:type="dxa" w:w="3120"/>
            <w:shd w:val="clear" w:color="auto" w:fill="F2F5FA"/>
          </w:tcPr>
          <w:p>
            <w:pPr>
              <w:spacing w:after="40" w:before="40"/>
            </w:pPr>
            <w:r>
              <w:rPr>
                <w:rFonts w:ascii="Calibri" w:hAnsi="Calibri"/>
                <w:b w:val="0"/>
                <w:color w:val="000000"/>
                <w:sz w:val="20"/>
              </w:rPr>
              <w:t>Stage counts from the live API</w:t>
            </w:r>
          </w:p>
        </w:tc>
        <w:tc>
          <w:tcPr>
            <w:tcW w:type="dxa" w:w="3120"/>
            <w:shd w:val="clear" w:color="auto" w:fill="F2F5FA"/>
          </w:tcPr>
          <w:p>
            <w:pPr>
              <w:spacing w:after="40" w:before="40"/>
            </w:pPr>
            <w:r>
              <w:rPr>
                <w:rFonts w:ascii="Calibri" w:hAnsi="Calibri"/>
                <w:b w:val="0"/>
                <w:color w:val="000000"/>
                <w:sz w:val="20"/>
              </w:rPr>
              <w:t>Shows where work is accumulating</w:t>
            </w:r>
          </w:p>
        </w:tc>
      </w:tr>
      <w:tr>
        <w:tc>
          <w:tcPr>
            <w:tcW w:type="dxa" w:w="3120"/>
          </w:tcPr>
          <w:p>
            <w:pPr>
              <w:spacing w:after="40" w:before="40"/>
            </w:pPr>
            <w:r>
              <w:rPr>
                <w:rFonts w:ascii="Calibri" w:hAnsi="Calibri"/>
                <w:b/>
                <w:color w:val="000000"/>
                <w:sz w:val="20"/>
              </w:rPr>
              <w:t>Evidence Agreement</w:t>
            </w:r>
          </w:p>
        </w:tc>
        <w:tc>
          <w:tcPr>
            <w:tcW w:type="dxa" w:w="3120"/>
          </w:tcPr>
          <w:p>
            <w:pPr>
              <w:spacing w:after="40" w:before="40"/>
            </w:pPr>
            <w:r>
              <w:rPr>
                <w:rFonts w:ascii="Calibri" w:hAnsi="Calibri"/>
                <w:b w:val="0"/>
                <w:color w:val="000000"/>
                <w:sz w:val="20"/>
              </w:rPr>
              <w:t>Source agreement per review</w:t>
            </w:r>
          </w:p>
        </w:tc>
        <w:tc>
          <w:tcPr>
            <w:tcW w:type="dxa" w:w="3120"/>
          </w:tcPr>
          <w:p>
            <w:pPr>
              <w:spacing w:after="40" w:before="40"/>
            </w:pPr>
            <w:r>
              <w:rPr>
                <w:rFonts w:ascii="Calibri" w:hAnsi="Calibri"/>
                <w:b w:val="0"/>
                <w:color w:val="000000"/>
                <w:sz w:val="20"/>
              </w:rPr>
              <w:t>Low agreement suggests conflicting sources worth investigating</w:t>
            </w:r>
          </w:p>
        </w:tc>
      </w:tr>
      <w:tr>
        <w:tc>
          <w:tcPr>
            <w:tcW w:type="dxa" w:w="3120"/>
            <w:shd w:val="clear" w:color="auto" w:fill="F2F5FA"/>
          </w:tcPr>
          <w:p>
            <w:pPr>
              <w:spacing w:after="40" w:before="40"/>
            </w:pPr>
            <w:r>
              <w:rPr>
                <w:rFonts w:ascii="Calibri" w:hAnsi="Calibri"/>
                <w:b/>
                <w:color w:val="000000"/>
                <w:sz w:val="20"/>
              </w:rPr>
              <w:t>Review Distribution</w:t>
            </w:r>
          </w:p>
        </w:tc>
        <w:tc>
          <w:tcPr>
            <w:tcW w:type="dxa" w:w="3120"/>
            <w:shd w:val="clear" w:color="auto" w:fill="F2F5FA"/>
          </w:tcPr>
          <w:p>
            <w:pPr>
              <w:spacing w:after="40" w:before="40"/>
            </w:pPr>
            <w:r>
              <w:rPr>
                <w:rFonts w:ascii="Calibri" w:hAnsi="Calibri"/>
                <w:b w:val="0"/>
                <w:color w:val="000000"/>
                <w:sz w:val="20"/>
              </w:rPr>
              <w:t>Distribution by risk level</w:t>
            </w:r>
          </w:p>
        </w:tc>
        <w:tc>
          <w:tcPr>
            <w:tcW w:type="dxa" w:w="3120"/>
            <w:shd w:val="clear" w:color="auto" w:fill="F2F5FA"/>
          </w:tcPr>
          <w:p>
            <w:pPr>
              <w:spacing w:after="40" w:before="40"/>
            </w:pPr>
            <w:r>
              <w:rPr>
                <w:rFonts w:ascii="Calibri" w:hAnsi="Calibri"/>
                <w:b w:val="0"/>
                <w:color w:val="000000"/>
                <w:sz w:val="20"/>
              </w:rPr>
              <w:t>Skew toward high risk warrants attention</w:t>
            </w:r>
          </w:p>
        </w:tc>
      </w:tr>
      <w:tr>
        <w:tc>
          <w:tcPr>
            <w:tcW w:type="dxa" w:w="3120"/>
          </w:tcPr>
          <w:p>
            <w:pPr>
              <w:spacing w:after="40" w:before="40"/>
            </w:pPr>
            <w:r>
              <w:rPr>
                <w:rFonts w:ascii="Calibri" w:hAnsi="Calibri"/>
                <w:b/>
                <w:color w:val="000000"/>
                <w:sz w:val="20"/>
              </w:rPr>
              <w:t>Pending Reviews</w:t>
            </w:r>
          </w:p>
        </w:tc>
        <w:tc>
          <w:tcPr>
            <w:tcW w:type="dxa" w:w="3120"/>
          </w:tcPr>
          <w:p>
            <w:pPr>
              <w:spacing w:after="40" w:before="40"/>
            </w:pPr>
            <w:r>
              <w:rPr>
                <w:rFonts w:ascii="Calibri" w:hAnsi="Calibri"/>
                <w:b w:val="0"/>
                <w:color w:val="000000"/>
                <w:sz w:val="20"/>
              </w:rPr>
              <w:t>Entities awaiting disposition</w:t>
            </w:r>
          </w:p>
        </w:tc>
        <w:tc>
          <w:tcPr>
            <w:tcW w:type="dxa" w:w="3120"/>
          </w:tcPr>
          <w:p>
            <w:pPr>
              <w:spacing w:after="40" w:before="40"/>
            </w:pPr>
            <w:r>
              <w:rPr>
                <w:rFonts w:ascii="Calibri" w:hAnsi="Calibri"/>
                <w:b w:val="0"/>
                <w:color w:val="000000"/>
                <w:sz w:val="20"/>
              </w:rPr>
              <w:t>Your work queue in summary</w:t>
            </w:r>
          </w:p>
        </w:tc>
      </w:tr>
      <w:tr>
        <w:tc>
          <w:tcPr>
            <w:tcW w:type="dxa" w:w="3120"/>
            <w:shd w:val="clear" w:color="auto" w:fill="F2F5FA"/>
          </w:tcPr>
          <w:p>
            <w:pPr>
              <w:spacing w:after="40" w:before="40"/>
            </w:pPr>
            <w:r>
              <w:rPr>
                <w:rFonts w:ascii="Calibri" w:hAnsi="Calibri"/>
                <w:b/>
                <w:color w:val="000000"/>
                <w:sz w:val="20"/>
              </w:rPr>
              <w:t>Priority Reviews</w:t>
            </w:r>
          </w:p>
        </w:tc>
        <w:tc>
          <w:tcPr>
            <w:tcW w:type="dxa" w:w="3120"/>
            <w:shd w:val="clear" w:color="auto" w:fill="F2F5FA"/>
          </w:tcPr>
          <w:p>
            <w:pPr>
              <w:spacing w:after="40" w:before="40"/>
            </w:pPr>
            <w:r>
              <w:rPr>
                <w:rFonts w:ascii="Calibri" w:hAnsi="Calibri"/>
                <w:b w:val="0"/>
                <w:color w:val="000000"/>
                <w:sz w:val="20"/>
              </w:rPr>
              <w:t>COR-assigned cases with severity and status</w:t>
            </w:r>
          </w:p>
        </w:tc>
        <w:tc>
          <w:tcPr>
            <w:tcW w:type="dxa" w:w="3120"/>
            <w:shd w:val="clear" w:color="auto" w:fill="F2F5FA"/>
          </w:tcPr>
          <w:p>
            <w:pPr>
              <w:spacing w:after="40" w:before="40"/>
            </w:pPr>
            <w:r>
              <w:rPr>
                <w:rFonts w:ascii="Calibri" w:hAnsi="Calibri"/>
                <w:b w:val="0"/>
                <w:color w:val="000000"/>
                <w:sz w:val="20"/>
              </w:rPr>
              <w:t>Highest priority; work these first</w:t>
            </w:r>
          </w:p>
        </w:tc>
      </w:tr>
      <w:tr>
        <w:tc>
          <w:tcPr>
            <w:tcW w:type="dxa" w:w="3120"/>
          </w:tcPr>
          <w:p>
            <w:pPr>
              <w:spacing w:after="40" w:before="40"/>
            </w:pPr>
            <w:r>
              <w:rPr>
                <w:rFonts w:ascii="Calibri" w:hAnsi="Calibri"/>
                <w:b/>
                <w:color w:val="000000"/>
                <w:sz w:val="20"/>
              </w:rPr>
              <w:t>Validation Queue</w:t>
            </w:r>
          </w:p>
        </w:tc>
        <w:tc>
          <w:tcPr>
            <w:tcW w:type="dxa" w:w="3120"/>
          </w:tcPr>
          <w:p>
            <w:pPr>
              <w:spacing w:after="40" w:before="40"/>
            </w:pPr>
            <w:r>
              <w:rPr>
                <w:rFonts w:ascii="Calibri" w:hAnsi="Calibri"/>
                <w:b w:val="0"/>
                <w:color w:val="000000"/>
                <w:sz w:val="20"/>
              </w:rPr>
              <w:t>Entities not yet validated against the authoritative sources</w:t>
            </w:r>
          </w:p>
        </w:tc>
        <w:tc>
          <w:tcPr>
            <w:tcW w:type="dxa" w:w="3120"/>
          </w:tcPr>
          <w:p>
            <w:pPr>
              <w:spacing w:after="40" w:before="40"/>
            </w:pPr>
            <w:r>
              <w:rPr>
                <w:rFonts w:ascii="Calibri" w:hAnsi="Calibri"/>
                <w:b w:val="0"/>
                <w:color w:val="000000"/>
                <w:sz w:val="20"/>
              </w:rPr>
              <w:t>Records that have not yet been checked</w:t>
            </w:r>
          </w:p>
        </w:tc>
      </w:tr>
      <w:tr>
        <w:tc>
          <w:tcPr>
            <w:tcW w:type="dxa" w:w="3120"/>
            <w:shd w:val="clear" w:color="auto" w:fill="F2F5FA"/>
          </w:tcPr>
          <w:p>
            <w:pPr>
              <w:spacing w:after="40" w:before="40"/>
            </w:pPr>
            <w:r>
              <w:rPr>
                <w:rFonts w:ascii="Calibri" w:hAnsi="Calibri"/>
                <w:b/>
                <w:color w:val="000000"/>
                <w:sz w:val="20"/>
              </w:rPr>
              <w:t>Recent Activity</w:t>
            </w:r>
          </w:p>
        </w:tc>
        <w:tc>
          <w:tcPr>
            <w:tcW w:type="dxa" w:w="3120"/>
            <w:shd w:val="clear" w:color="auto" w:fill="F2F5FA"/>
          </w:tcPr>
          <w:p>
            <w:pPr>
              <w:spacing w:after="40" w:before="40"/>
            </w:pPr>
            <w:r>
              <w:rPr>
                <w:rFonts w:ascii="Calibri" w:hAnsi="Calibri"/>
                <w:b w:val="0"/>
                <w:color w:val="000000"/>
                <w:sz w:val="20"/>
              </w:rPr>
              <w:t>Latest reviews and QA events</w:t>
            </w:r>
          </w:p>
        </w:tc>
        <w:tc>
          <w:tcPr>
            <w:tcW w:type="dxa" w:w="3120"/>
            <w:shd w:val="clear" w:color="auto" w:fill="F2F5FA"/>
          </w:tcPr>
          <w:p>
            <w:pPr>
              <w:spacing w:after="40" w:before="40"/>
            </w:pPr>
            <w:r>
              <w:rPr>
                <w:rFonts w:ascii="Calibri" w:hAnsi="Calibri"/>
                <w:b w:val="0"/>
                <w:color w:val="000000"/>
                <w:sz w:val="20"/>
              </w:rPr>
              <w:t>Confirms work is flowing</w:t>
            </w:r>
          </w:p>
        </w:tc>
      </w:tr>
      <w:tr>
        <w:tc>
          <w:tcPr>
            <w:tcW w:type="dxa" w:w="3120"/>
          </w:tcPr>
          <w:p>
            <w:pPr>
              <w:spacing w:after="40" w:before="40"/>
            </w:pPr>
            <w:r>
              <w:rPr>
                <w:rFonts w:ascii="Calibri" w:hAnsi="Calibri"/>
                <w:b/>
                <w:color w:val="000000"/>
                <w:sz w:val="20"/>
              </w:rPr>
              <w:t>Notifications</w:t>
            </w:r>
          </w:p>
        </w:tc>
        <w:tc>
          <w:tcPr>
            <w:tcW w:type="dxa" w:w="3120"/>
          </w:tcPr>
          <w:p>
            <w:pPr>
              <w:spacing w:after="40" w:before="40"/>
            </w:pPr>
            <w:r>
              <w:rPr>
                <w:rFonts w:ascii="Calibri" w:hAnsi="Calibri"/>
                <w:b w:val="0"/>
                <w:color w:val="000000"/>
                <w:sz w:val="20"/>
              </w:rPr>
              <w:t>Real failing signals only</w:t>
            </w:r>
          </w:p>
        </w:tc>
        <w:tc>
          <w:tcPr>
            <w:tcW w:type="dxa" w:w="3120"/>
          </w:tcPr>
          <w:p>
            <w:pPr>
              <w:spacing w:after="40" w:before="40"/>
            </w:pPr>
            <w:r>
              <w:rPr>
                <w:rFonts w:ascii="Calibri" w:hAnsi="Calibri"/>
                <w:b w:val="0"/>
                <w:color w:val="000000"/>
                <w:sz w:val="20"/>
              </w:rPr>
              <w:t>Empty is good. "No failing QA checks, connector outages, or SLA breaches" means exactly that</w:t>
            </w:r>
          </w:p>
        </w:tc>
      </w:tr>
      <w:tr>
        <w:tc>
          <w:tcPr>
            <w:tcW w:type="dxa" w:w="3120"/>
            <w:shd w:val="clear" w:color="auto" w:fill="F2F5FA"/>
          </w:tcPr>
          <w:p>
            <w:pPr>
              <w:spacing w:after="40" w:before="40"/>
            </w:pPr>
            <w:r>
              <w:rPr>
                <w:rFonts w:ascii="Calibri" w:hAnsi="Calibri"/>
                <w:b/>
                <w:color w:val="000000"/>
                <w:sz w:val="20"/>
              </w:rPr>
              <w:t>Quick Actions</w:t>
            </w:r>
          </w:p>
        </w:tc>
        <w:tc>
          <w:tcPr>
            <w:tcW w:type="dxa" w:w="3120"/>
            <w:shd w:val="clear" w:color="auto" w:fill="F2F5FA"/>
          </w:tcPr>
          <w:p>
            <w:pPr>
              <w:spacing w:after="40" w:before="40"/>
            </w:pPr>
            <w:r>
              <w:rPr>
                <w:rFonts w:ascii="Calibri" w:hAnsi="Calibri"/>
                <w:b w:val="0"/>
                <w:color w:val="000000"/>
                <w:sz w:val="20"/>
              </w:rPr>
              <w:t>Navigation shortcuts</w:t>
            </w:r>
          </w:p>
        </w:tc>
        <w:tc>
          <w:tcPr>
            <w:tcW w:type="dxa" w:w="3120"/>
            <w:shd w:val="clear" w:color="auto" w:fill="F2F5FA"/>
          </w:tcPr>
          <w:p>
            <w:pPr>
              <w:spacing w:after="40" w:before="40"/>
            </w:pPr>
            <w:r>
              <w:rPr>
                <w:rFonts w:ascii="Calibri" w:hAnsi="Calibri"/>
                <w:b w:val="0"/>
                <w:color w:val="000000"/>
                <w:sz w:val="20"/>
              </w:rPr>
              <w:t>Convenience only</w:t>
            </w:r>
          </w:p>
        </w:tc>
      </w:tr>
      <w:tr>
        <w:tc>
          <w:tcPr>
            <w:tcW w:type="dxa" w:w="3120"/>
          </w:tcPr>
          <w:p>
            <w:pPr>
              <w:spacing w:after="40" w:before="40"/>
            </w:pPr>
            <w:r>
              <w:rPr>
                <w:rFonts w:ascii="Calibri" w:hAnsi="Calibri"/>
                <w:b/>
                <w:color w:val="000000"/>
                <w:sz w:val="20"/>
              </w:rPr>
              <w:t>Connector Health</w:t>
            </w:r>
          </w:p>
        </w:tc>
        <w:tc>
          <w:tcPr>
            <w:tcW w:type="dxa" w:w="3120"/>
          </w:tcPr>
          <w:p>
            <w:pPr>
              <w:spacing w:after="40" w:before="40"/>
            </w:pPr>
            <w:r>
              <w:rPr>
                <w:rFonts w:ascii="Calibri" w:hAnsi="Calibri"/>
                <w:b w:val="0"/>
                <w:color w:val="000000"/>
                <w:sz w:val="20"/>
              </w:rPr>
              <w:t>Status read from the API only</w:t>
            </w:r>
          </w:p>
        </w:tc>
        <w:tc>
          <w:tcPr>
            <w:tcW w:type="dxa" w:w="3120"/>
          </w:tcPr>
          <w:p>
            <w:pPr>
              <w:spacing w:after="40" w:before="40"/>
            </w:pPr>
            <w:r>
              <w:rPr>
                <w:rFonts w:ascii="Calibri" w:hAnsi="Calibri"/>
                <w:b w:val="0"/>
                <w:color w:val="000000"/>
                <w:sz w:val="20"/>
              </w:rPr>
              <w:t>Confirm your sources before trusting a result</w:t>
            </w:r>
          </w:p>
        </w:tc>
      </w:tr>
    </w:tbl>
    <w:p>
      <w:pPr>
        <w:spacing w:after="80"/>
      </w:pPr>
    </w:p>
    <w:p>
      <w:pPr>
        <w:pStyle w:val="Heading2"/>
        <w:keepNext/>
        <w:spacing w:before="200" w:after="120"/>
        <w:outlineLvl w:val="1"/>
      </w:pPr>
      <w:r>
        <w:rPr>
          <w:rFonts w:ascii="Calibri" w:hAnsi="Calibri"/>
          <w:b/>
          <w:color w:val="003087"/>
          <w:sz w:val="25"/>
        </w:rPr>
        <w:t>8.2 The System Health Summary</w:t>
      </w:r>
    </w:p>
    <w:p>
      <w:pPr>
        <w:spacing w:after="120" w:before="0"/>
      </w:pPr>
      <w:r>
        <w:rPr>
          <w:rFonts w:ascii="Calibri" w:hAnsi="Calibri"/>
          <w:b w:val="0"/>
          <w:color w:val="000000"/>
          <w:sz w:val="22"/>
        </w:rPr>
        <w:t>Above the work area sit three collapsed cards. Each expands to show its detail.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Card</w:t>
            </w:r>
          </w:p>
        </w:tc>
        <w:tc>
          <w:tcPr>
            <w:tcW w:type="dxa" w:w="3120"/>
            <w:shd w:val="clear" w:color="auto" w:fill="003087"/>
          </w:tcPr>
          <w:p>
            <w:pPr>
              <w:spacing w:after="40" w:before="40"/>
            </w:pPr>
            <w:r>
              <w:rPr>
                <w:rFonts w:ascii="Calibri" w:hAnsi="Calibri"/>
                <w:b/>
                <w:color w:val="FFFFFF"/>
                <w:sz w:val="20"/>
              </w:rPr>
              <w:t>Counts</w:t>
            </w:r>
          </w:p>
        </w:tc>
        <w:tc>
          <w:tcPr>
            <w:tcW w:type="dxa" w:w="3120"/>
            <w:shd w:val="clear" w:color="auto" w:fill="003087"/>
          </w:tcPr>
          <w:p>
            <w:pPr>
              <w:spacing w:after="40" w:before="40"/>
            </w:pPr>
            <w:r>
              <w:rPr>
                <w:rFonts w:ascii="Calibri" w:hAnsi="Calibri"/>
                <w:b/>
                <w:color w:val="FFFFFF"/>
                <w:sz w:val="20"/>
              </w:rPr>
              <w:t>What it means</w:t>
            </w:r>
          </w:p>
        </w:tc>
      </w:tr>
      <w:tr>
        <w:tc>
          <w:tcPr>
            <w:tcW w:type="dxa" w:w="3120"/>
          </w:tcPr>
          <w:p>
            <w:pPr>
              <w:spacing w:after="40" w:before="40"/>
            </w:pPr>
            <w:r>
              <w:rPr>
                <w:rFonts w:ascii="Calibri" w:hAnsi="Calibri"/>
                <w:b/>
                <w:color w:val="000000"/>
                <w:sz w:val="20"/>
              </w:rPr>
              <w:t>Compliance</w:t>
            </w:r>
          </w:p>
        </w:tc>
        <w:tc>
          <w:tcPr>
            <w:tcW w:type="dxa" w:w="3120"/>
          </w:tcPr>
          <w:p>
            <w:pPr>
              <w:spacing w:after="40" w:before="40"/>
            </w:pPr>
            <w:r>
              <w:rPr>
                <w:rFonts w:ascii="Calibri" w:hAnsi="Calibri"/>
                <w:b w:val="0"/>
                <w:color w:val="000000"/>
                <w:sz w:val="20"/>
              </w:rPr>
              <w:t>Active / Pending</w:t>
            </w:r>
          </w:p>
        </w:tc>
        <w:tc>
          <w:tcPr>
            <w:tcW w:type="dxa" w:w="3120"/>
          </w:tcPr>
          <w:p>
            <w:pPr>
              <w:spacing w:after="40" w:before="40"/>
            </w:pPr>
            <w:r>
              <w:rPr>
                <w:rFonts w:ascii="Calibri" w:hAnsi="Calibri"/>
                <w:b w:val="0"/>
                <w:color w:val="000000"/>
                <w:sz w:val="20"/>
              </w:rPr>
              <w:t>Organizational and framework posture — see the caution below</w:t>
            </w:r>
          </w:p>
        </w:tc>
      </w:tr>
      <w:tr>
        <w:tc>
          <w:tcPr>
            <w:tcW w:type="dxa" w:w="3120"/>
            <w:shd w:val="clear" w:color="auto" w:fill="F2F5FA"/>
          </w:tcPr>
          <w:p>
            <w:pPr>
              <w:spacing w:after="40" w:before="40"/>
            </w:pPr>
            <w:r>
              <w:rPr>
                <w:rFonts w:ascii="Calibri" w:hAnsi="Calibri"/>
                <w:b/>
                <w:color w:val="000000"/>
                <w:sz w:val="20"/>
              </w:rPr>
              <w:t>Connectors</w:t>
            </w:r>
          </w:p>
        </w:tc>
        <w:tc>
          <w:tcPr>
            <w:tcW w:type="dxa" w:w="3120"/>
            <w:shd w:val="clear" w:color="auto" w:fill="F2F5FA"/>
          </w:tcPr>
          <w:p>
            <w:pPr>
              <w:spacing w:after="40" w:before="40"/>
            </w:pPr>
            <w:r>
              <w:rPr>
                <w:rFonts w:ascii="Calibri" w:hAnsi="Calibri"/>
                <w:b w:val="0"/>
                <w:color w:val="000000"/>
                <w:sz w:val="20"/>
              </w:rPr>
              <w:t>Live / Error / Unavailable</w:t>
            </w:r>
          </w:p>
        </w:tc>
        <w:tc>
          <w:tcPr>
            <w:tcW w:type="dxa" w:w="3120"/>
            <w:shd w:val="clear" w:color="auto" w:fill="F2F5FA"/>
          </w:tcPr>
          <w:p>
            <w:pPr>
              <w:spacing w:after="40" w:before="40"/>
            </w:pPr>
            <w:r>
              <w:rPr>
                <w:rFonts w:ascii="Calibri" w:hAnsi="Calibri"/>
                <w:b w:val="0"/>
                <w:color w:val="000000"/>
                <w:sz w:val="20"/>
              </w:rPr>
              <w:t>Runtime state of the external data sources</w:t>
            </w:r>
          </w:p>
        </w:tc>
      </w:tr>
      <w:tr>
        <w:tc>
          <w:tcPr>
            <w:tcW w:type="dxa" w:w="3120"/>
          </w:tcPr>
          <w:p>
            <w:pPr>
              <w:spacing w:after="40" w:before="40"/>
            </w:pPr>
            <w:r>
              <w:rPr>
                <w:rFonts w:ascii="Calibri" w:hAnsi="Calibri"/>
                <w:b/>
                <w:color w:val="000000"/>
                <w:sz w:val="20"/>
              </w:rPr>
              <w:t>Verifications</w:t>
            </w:r>
          </w:p>
        </w:tc>
        <w:tc>
          <w:tcPr>
            <w:tcW w:type="dxa" w:w="3120"/>
          </w:tcPr>
          <w:p>
            <w:pPr>
              <w:spacing w:after="40" w:before="40"/>
            </w:pPr>
            <w:r>
              <w:rPr>
                <w:rFonts w:ascii="Calibri" w:hAnsi="Calibri"/>
                <w:b w:val="0"/>
                <w:color w:val="000000"/>
                <w:sz w:val="20"/>
              </w:rPr>
              <w:t>Active / Partial</w:t>
            </w:r>
          </w:p>
        </w:tc>
        <w:tc>
          <w:tcPr>
            <w:tcW w:type="dxa" w:w="3120"/>
          </w:tcPr>
          <w:p>
            <w:pPr>
              <w:spacing w:after="40" w:before="40"/>
            </w:pPr>
            <w:r>
              <w:rPr>
                <w:rFonts w:ascii="Calibri" w:hAnsi="Calibri"/>
                <w:b w:val="0"/>
                <w:color w:val="000000"/>
                <w:sz w:val="20"/>
              </w:rPr>
              <w:t>Which verification capabilities are operating</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READ THE COMPLIANCE CARD CAREFULLY</w:t>
            </w:r>
          </w:p>
          <w:p>
            <w:pPr>
              <w:spacing w:after="0" w:before="0"/>
            </w:pPr>
            <w:r>
              <w:rPr>
                <w:rFonts w:ascii="Calibri" w:hAnsi="Calibri"/>
                <w:b w:val="0"/>
                <w:color w:val="000000"/>
                <w:sz w:val="21"/>
              </w:rPr>
              <w:t xml:space="preserve">The Compliance card mixes several different kinds of claim under one Active/Pending vocabulary: application security controls, security categorization, government authorization status, and organizational certifications held by AGT as a company. These are not equivalent. In particular, an "Active" corporate certification such as ISO 27001 or CMMI Level 3 is an </w:t>
            </w:r>
            <w:r>
              <w:rPr>
                <w:rFonts w:ascii="Calibri" w:hAnsi="Calibri"/>
                <w:b/>
                <w:color w:val="000000"/>
                <w:sz w:val="21"/>
              </w:rPr>
              <w:t>organizational</w:t>
            </w:r>
            <w:r>
              <w:rPr>
                <w:rFonts w:ascii="Calibri" w:hAnsi="Calibri"/>
                <w:b w:val="0"/>
                <w:color w:val="000000"/>
                <w:sz w:val="21"/>
              </w:rPr>
              <w:t xml:space="preserve"> credential and is </w:t>
            </w:r>
            <w:r>
              <w:rPr>
                <w:rFonts w:ascii="Calibri" w:hAnsi="Calibri"/>
                <w:b/>
                <w:color w:val="000000"/>
                <w:sz w:val="21"/>
              </w:rPr>
              <w:t>not</w:t>
            </w:r>
            <w:r>
              <w:rPr>
                <w:rFonts w:ascii="Calibri" w:hAnsi="Calibri"/>
                <w:b w:val="0"/>
                <w:color w:val="000000"/>
                <w:sz w:val="21"/>
              </w:rPr>
              <w:t xml:space="preserve"> a statement that this application has been certified, assessed, or authorized. Section 19 states each item precisely. Do not cite the Compliance card as evidence of application compliance.</w:t>
            </w:r>
          </w:p>
        </w:tc>
      </w:tr>
    </w:tbl>
    <w:p>
      <w:pPr>
        <w:spacing w:after="80"/>
      </w:pPr>
    </w:p>
    <w:p>
      <w:pPr>
        <w:spacing w:after="120" w:before="0"/>
      </w:pPr>
      <w:r>
        <w:rPr>
          <w:rFonts w:ascii="Calibri" w:hAnsi="Calibri"/>
          <w:b/>
          <w:color w:val="000000"/>
          <w:sz w:val="22"/>
        </w:rPr>
        <w:t>Connector states you will see.</w:t>
      </w:r>
      <w:r>
        <w:rPr>
          <w:rFonts w:ascii="Calibri" w:hAnsi="Calibri"/>
          <w:b w:val="0"/>
          <w:color w:val="000000"/>
          <w:sz w:val="22"/>
        </w:rPr>
        <w:t xml:space="preserve"> The platform resolves connector health fail-closed — a source is shown as Live only when the health check affirmatively reports it healthy.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Badge</w:t>
            </w:r>
          </w:p>
        </w:tc>
        <w:tc>
          <w:tcPr>
            <w:tcW w:type="dxa" w:w="4680"/>
            <w:shd w:val="clear" w:color="auto" w:fill="003087"/>
          </w:tcPr>
          <w:p>
            <w:pPr>
              <w:spacing w:after="40" w:before="40"/>
            </w:pPr>
            <w:r>
              <w:rPr>
                <w:rFonts w:ascii="Calibri" w:hAnsi="Calibri"/>
                <w:b/>
                <w:color w:val="FFFFFF"/>
                <w:sz w:val="20"/>
              </w:rPr>
              <w:t>Meaning</w:t>
            </w:r>
          </w:p>
        </w:tc>
      </w:tr>
      <w:tr>
        <w:tc>
          <w:tcPr>
            <w:tcW w:type="dxa" w:w="4680"/>
          </w:tcPr>
          <w:p>
            <w:pPr>
              <w:spacing w:after="40" w:before="40"/>
            </w:pPr>
            <w:r>
              <w:rPr>
                <w:rFonts w:ascii="Calibri" w:hAnsi="Calibri"/>
                <w:b/>
                <w:color w:val="000000"/>
                <w:sz w:val="20"/>
              </w:rPr>
              <w:t>Live</w:t>
            </w:r>
          </w:p>
        </w:tc>
        <w:tc>
          <w:tcPr>
            <w:tcW w:type="dxa" w:w="4680"/>
          </w:tcPr>
          <w:p>
            <w:pPr>
              <w:spacing w:after="40" w:before="40"/>
            </w:pPr>
            <w:r>
              <w:rPr>
                <w:rFonts w:ascii="Calibri" w:hAnsi="Calibri"/>
                <w:b w:val="0"/>
                <w:color w:val="000000"/>
                <w:sz w:val="20"/>
              </w:rPr>
              <w:t>The source responded and is healthy</w:t>
            </w:r>
          </w:p>
        </w:tc>
      </w:tr>
      <w:tr>
        <w:tc>
          <w:tcPr>
            <w:tcW w:type="dxa" w:w="4680"/>
            <w:shd w:val="clear" w:color="auto" w:fill="F2F5FA"/>
          </w:tcPr>
          <w:p>
            <w:pPr>
              <w:spacing w:after="40" w:before="40"/>
            </w:pPr>
            <w:r>
              <w:rPr>
                <w:rFonts w:ascii="Calibri" w:hAnsi="Calibri"/>
                <w:b/>
                <w:color w:val="000000"/>
                <w:sz w:val="20"/>
              </w:rPr>
              <w:t>Unavailable</w:t>
            </w:r>
          </w:p>
        </w:tc>
        <w:tc>
          <w:tcPr>
            <w:tcW w:type="dxa" w:w="4680"/>
            <w:shd w:val="clear" w:color="auto" w:fill="F2F5FA"/>
          </w:tcPr>
          <w:p>
            <w:pPr>
              <w:spacing w:after="40" w:before="40"/>
            </w:pPr>
            <w:r>
              <w:rPr>
                <w:rFonts w:ascii="Calibri" w:hAnsi="Calibri"/>
                <w:b w:val="0"/>
                <w:color w:val="000000"/>
                <w:sz w:val="20"/>
              </w:rPr>
              <w:t>Not configured or not reachable. Amber, not red — this is "needs configuration or is not answering", not necessarily a fault</w:t>
            </w:r>
          </w:p>
        </w:tc>
      </w:tr>
      <w:tr>
        <w:tc>
          <w:tcPr>
            <w:tcW w:type="dxa" w:w="4680"/>
          </w:tcPr>
          <w:p>
            <w:pPr>
              <w:spacing w:after="40" w:before="40"/>
            </w:pPr>
            <w:r>
              <w:rPr>
                <w:rFonts w:ascii="Calibri" w:hAnsi="Calibri"/>
                <w:b/>
                <w:color w:val="000000"/>
                <w:sz w:val="20"/>
              </w:rPr>
              <w:t>Error</w:t>
            </w:r>
          </w:p>
        </w:tc>
        <w:tc>
          <w:tcPr>
            <w:tcW w:type="dxa" w:w="4680"/>
          </w:tcPr>
          <w:p>
            <w:pPr>
              <w:spacing w:after="40" w:before="40"/>
            </w:pPr>
            <w:r>
              <w:rPr>
                <w:rFonts w:ascii="Calibri" w:hAnsi="Calibri"/>
                <w:b w:val="0"/>
                <w:color w:val="000000"/>
                <w:sz w:val="20"/>
              </w:rPr>
              <w:t>A source that normally answers has failed. Red</w:t>
            </w:r>
          </w:p>
        </w:tc>
      </w:tr>
      <w:tr>
        <w:tc>
          <w:tcPr>
            <w:tcW w:type="dxa" w:w="4680"/>
            <w:shd w:val="clear" w:color="auto" w:fill="F2F5FA"/>
          </w:tcPr>
          <w:p>
            <w:pPr>
              <w:spacing w:after="40" w:before="40"/>
            </w:pPr>
            <w:r>
              <w:rPr>
                <w:rFonts w:ascii="Calibri" w:hAnsi="Calibri"/>
                <w:b/>
                <w:color w:val="000000"/>
                <w:sz w:val="20"/>
              </w:rPr>
              <w:t>Unable to Verify</w:t>
            </w:r>
          </w:p>
        </w:tc>
        <w:tc>
          <w:tcPr>
            <w:tcW w:type="dxa" w:w="4680"/>
            <w:shd w:val="clear" w:color="auto" w:fill="F2F5FA"/>
          </w:tcPr>
          <w:p>
            <w:pPr>
              <w:spacing w:after="40" w:before="40"/>
            </w:pPr>
            <w:r>
              <w:rPr>
                <w:rFonts w:ascii="Calibri" w:hAnsi="Calibri"/>
                <w:b w:val="0"/>
                <w:color w:val="000000"/>
                <w:sz w:val="20"/>
              </w:rPr>
              <w:t>Health could not be established at all. Never treated as healthy</w:t>
            </w:r>
          </w:p>
        </w:tc>
      </w:tr>
      <w:tr>
        <w:tc>
          <w:tcPr>
            <w:tcW w:type="dxa" w:w="4680"/>
          </w:tcPr>
          <w:p>
            <w:pPr>
              <w:spacing w:after="40" w:before="40"/>
            </w:pPr>
            <w:r>
              <w:rPr>
                <w:rFonts w:ascii="Calibri" w:hAnsi="Calibri"/>
                <w:b/>
                <w:color w:val="000000"/>
                <w:sz w:val="20"/>
              </w:rPr>
              <w:t>Mock</w:t>
            </w:r>
          </w:p>
        </w:tc>
        <w:tc>
          <w:tcPr>
            <w:tcW w:type="dxa" w:w="4680"/>
          </w:tcPr>
          <w:p>
            <w:pPr>
              <w:spacing w:after="40" w:before="40"/>
            </w:pPr>
            <w:r>
              <w:rPr>
                <w:rFonts w:ascii="Calibri" w:hAnsi="Calibri"/>
                <w:b w:val="0"/>
                <w:color w:val="000000"/>
                <w:sz w:val="20"/>
              </w:rPr>
              <w:t>The connector is declared as not wired to a live source</w:t>
            </w:r>
          </w:p>
        </w:tc>
      </w:tr>
    </w:tbl>
    <w:p>
      <w:pPr>
        <w:spacing w:after="80"/>
      </w:pPr>
    </w:p>
    <w:p>
      <w:pPr>
        <w:pStyle w:val="Heading2"/>
        <w:keepNext/>
        <w:spacing w:before="200" w:after="120"/>
        <w:outlineLvl w:val="1"/>
      </w:pPr>
      <w:r>
        <w:rPr>
          <w:rFonts w:ascii="Calibri" w:hAnsi="Calibri"/>
          <w:b/>
          <w:color w:val="003087"/>
          <w:sz w:val="25"/>
        </w:rPr>
        <w:t>8.3 Other views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Page</w:t>
            </w:r>
          </w:p>
        </w:tc>
        <w:tc>
          <w:tcPr>
            <w:tcW w:type="dxa" w:w="3120"/>
            <w:shd w:val="clear" w:color="auto" w:fill="003087"/>
          </w:tcPr>
          <w:p>
            <w:pPr>
              <w:spacing w:after="40" w:before="40"/>
            </w:pPr>
            <w:r>
              <w:rPr>
                <w:rFonts w:ascii="Calibri" w:hAnsi="Calibri"/>
                <w:b/>
                <w:color w:val="FFFFFF"/>
                <w:sz w:val="20"/>
              </w:rPr>
              <w:t>Path</w:t>
            </w:r>
          </w:p>
        </w:tc>
        <w:tc>
          <w:tcPr>
            <w:tcW w:type="dxa" w:w="3120"/>
            <w:shd w:val="clear" w:color="auto" w:fill="003087"/>
          </w:tcPr>
          <w:p>
            <w:pPr>
              <w:spacing w:after="40" w:before="40"/>
            </w:pPr>
            <w:r>
              <w:rPr>
                <w:rFonts w:ascii="Calibri" w:hAnsi="Calibri"/>
                <w:b/>
                <w:color w:val="FFFFFF"/>
                <w:sz w:val="20"/>
              </w:rPr>
              <w:t>Purpose</w:t>
            </w:r>
          </w:p>
        </w:tc>
      </w:tr>
      <w:tr>
        <w:tc>
          <w:tcPr>
            <w:tcW w:type="dxa" w:w="3120"/>
          </w:tcPr>
          <w:p>
            <w:pPr>
              <w:spacing w:after="40" w:before="40"/>
            </w:pPr>
            <w:r>
              <w:rPr>
                <w:rFonts w:ascii="Calibri" w:hAnsi="Calibri"/>
                <w:b w:val="0"/>
                <w:color w:val="000000"/>
                <w:sz w:val="20"/>
              </w:rPr>
              <w:t>Data Import</w:t>
            </w:r>
          </w:p>
        </w:tc>
        <w:tc>
          <w:tcPr>
            <w:tcW w:type="dxa" w:w="3120"/>
          </w:tcPr>
          <w:p>
            <w:pPr>
              <w:spacing w:after="40" w:before="40"/>
            </w:pPr>
            <w:r>
              <w:rPr>
                <w:rFonts w:ascii="Consolas" w:hAnsi="Consolas"/>
                <w:color w:val="000000"/>
                <w:sz w:val="20"/>
              </w:rPr>
              <w:t>/tefca-arc/import</w:t>
            </w:r>
          </w:p>
        </w:tc>
        <w:tc>
          <w:tcPr>
            <w:tcW w:type="dxa" w:w="3120"/>
          </w:tcPr>
          <w:p>
            <w:pPr>
              <w:spacing w:after="40" w:before="40"/>
            </w:pPr>
            <w:r>
              <w:rPr>
                <w:rFonts w:ascii="Calibri" w:hAnsi="Calibri"/>
                <w:b w:val="0"/>
                <w:color w:val="000000"/>
                <w:sz w:val="20"/>
              </w:rPr>
              <w:t>Upload entity files; view import history</w:t>
            </w:r>
          </w:p>
        </w:tc>
      </w:tr>
      <w:tr>
        <w:tc>
          <w:tcPr>
            <w:tcW w:type="dxa" w:w="3120"/>
            <w:shd w:val="clear" w:color="auto" w:fill="F2F5FA"/>
          </w:tcPr>
          <w:p>
            <w:pPr>
              <w:spacing w:after="40" w:before="40"/>
            </w:pPr>
            <w:r>
              <w:rPr>
                <w:rFonts w:ascii="Calibri" w:hAnsi="Calibri"/>
                <w:b w:val="0"/>
                <w:color w:val="000000"/>
                <w:sz w:val="20"/>
              </w:rPr>
              <w:t>Review Cycles</w:t>
            </w:r>
          </w:p>
        </w:tc>
        <w:tc>
          <w:tcPr>
            <w:tcW w:type="dxa" w:w="3120"/>
            <w:shd w:val="clear" w:color="auto" w:fill="F2F5FA"/>
          </w:tcPr>
          <w:p>
            <w:pPr>
              <w:spacing w:after="40" w:before="40"/>
            </w:pPr>
            <w:r>
              <w:rPr>
                <w:rFonts w:ascii="Consolas" w:hAnsi="Consolas"/>
                <w:color w:val="000000"/>
                <w:sz w:val="20"/>
              </w:rPr>
              <w:t>/tefca-arc/cycles</w:t>
            </w:r>
          </w:p>
        </w:tc>
        <w:tc>
          <w:tcPr>
            <w:tcW w:type="dxa" w:w="3120"/>
            <w:shd w:val="clear" w:color="auto" w:fill="F2F5FA"/>
          </w:tcPr>
          <w:p>
            <w:pPr>
              <w:spacing w:after="40" w:before="40"/>
            </w:pPr>
            <w:r>
              <w:rPr>
                <w:rFonts w:ascii="Calibri" w:hAnsi="Calibri"/>
                <w:b w:val="0"/>
                <w:color w:val="000000"/>
                <w:sz w:val="20"/>
              </w:rPr>
              <w:t>Cycle creation and progress</w:t>
            </w:r>
          </w:p>
        </w:tc>
      </w:tr>
      <w:tr>
        <w:tc>
          <w:tcPr>
            <w:tcW w:type="dxa" w:w="3120"/>
          </w:tcPr>
          <w:p>
            <w:pPr>
              <w:spacing w:after="40" w:before="40"/>
            </w:pPr>
            <w:r>
              <w:rPr>
                <w:rFonts w:ascii="Calibri" w:hAnsi="Calibri"/>
                <w:b w:val="0"/>
                <w:color w:val="000000"/>
                <w:sz w:val="20"/>
              </w:rPr>
              <w:t>Entity Reviews</w:t>
            </w:r>
          </w:p>
        </w:tc>
        <w:tc>
          <w:tcPr>
            <w:tcW w:type="dxa" w:w="3120"/>
          </w:tcPr>
          <w:p>
            <w:pPr>
              <w:spacing w:after="40" w:before="40"/>
            </w:pPr>
            <w:r>
              <w:rPr>
                <w:rFonts w:ascii="Consolas" w:hAnsi="Consolas"/>
                <w:color w:val="000000"/>
                <w:sz w:val="20"/>
              </w:rPr>
              <w:t>/tefca-arc/reviews</w:t>
            </w:r>
          </w:p>
        </w:tc>
        <w:tc>
          <w:tcPr>
            <w:tcW w:type="dxa" w:w="3120"/>
          </w:tcPr>
          <w:p>
            <w:pPr>
              <w:spacing w:after="40" w:before="40"/>
            </w:pPr>
            <w:r>
              <w:rPr>
                <w:rFonts w:ascii="Calibri" w:hAnsi="Calibri"/>
                <w:b w:val="0"/>
                <w:color w:val="000000"/>
                <w:sz w:val="20"/>
              </w:rPr>
              <w:t>The main reviewer queue</w:t>
            </w:r>
          </w:p>
        </w:tc>
      </w:tr>
      <w:tr>
        <w:tc>
          <w:tcPr>
            <w:tcW w:type="dxa" w:w="3120"/>
            <w:shd w:val="clear" w:color="auto" w:fill="F2F5FA"/>
          </w:tcPr>
          <w:p>
            <w:pPr>
              <w:spacing w:after="40" w:before="40"/>
            </w:pPr>
            <w:r>
              <w:rPr>
                <w:rFonts w:ascii="Calibri" w:hAnsi="Calibri"/>
                <w:b w:val="0"/>
                <w:color w:val="000000"/>
                <w:sz w:val="20"/>
              </w:rPr>
              <w:t>Validation Queue</w:t>
            </w:r>
          </w:p>
        </w:tc>
        <w:tc>
          <w:tcPr>
            <w:tcW w:type="dxa" w:w="3120"/>
            <w:shd w:val="clear" w:color="auto" w:fill="F2F5FA"/>
          </w:tcPr>
          <w:p>
            <w:pPr>
              <w:spacing w:after="40" w:before="40"/>
            </w:pPr>
            <w:r>
              <w:rPr>
                <w:rFonts w:ascii="Consolas" w:hAnsi="Consolas"/>
                <w:color w:val="000000"/>
                <w:sz w:val="20"/>
              </w:rPr>
              <w:t>/tefca-arc/validation</w:t>
            </w:r>
          </w:p>
        </w:tc>
        <w:tc>
          <w:tcPr>
            <w:tcW w:type="dxa" w:w="3120"/>
            <w:shd w:val="clear" w:color="auto" w:fill="F2F5FA"/>
          </w:tcPr>
          <w:p>
            <w:pPr>
              <w:spacing w:after="40" w:before="40"/>
            </w:pPr>
            <w:r>
              <w:rPr>
                <w:rFonts w:ascii="Calibri" w:hAnsi="Calibri"/>
                <w:b w:val="0"/>
                <w:color w:val="000000"/>
                <w:sz w:val="20"/>
              </w:rPr>
              <w:t>Entities awaiting validation against sources</w:t>
            </w:r>
          </w:p>
        </w:tc>
      </w:tr>
      <w:tr>
        <w:tc>
          <w:tcPr>
            <w:tcW w:type="dxa" w:w="3120"/>
          </w:tcPr>
          <w:p>
            <w:pPr>
              <w:spacing w:after="40" w:before="40"/>
            </w:pPr>
            <w:r>
              <w:rPr>
                <w:rFonts w:ascii="Calibri" w:hAnsi="Calibri"/>
                <w:b w:val="0"/>
                <w:color w:val="000000"/>
                <w:sz w:val="20"/>
              </w:rPr>
              <w:t>Priority Reviews</w:t>
            </w:r>
          </w:p>
        </w:tc>
        <w:tc>
          <w:tcPr>
            <w:tcW w:type="dxa" w:w="3120"/>
          </w:tcPr>
          <w:p>
            <w:pPr>
              <w:spacing w:after="40" w:before="40"/>
            </w:pPr>
            <w:r>
              <w:rPr>
                <w:rFonts w:ascii="Consolas" w:hAnsi="Consolas"/>
                <w:color w:val="000000"/>
                <w:sz w:val="20"/>
              </w:rPr>
              <w:t>/tefca-arc/priority</w:t>
            </w:r>
          </w:p>
        </w:tc>
        <w:tc>
          <w:tcPr>
            <w:tcW w:type="dxa" w:w="3120"/>
          </w:tcPr>
          <w:p>
            <w:pPr>
              <w:spacing w:after="40" w:before="40"/>
            </w:pPr>
            <w:r>
              <w:rPr>
                <w:rFonts w:ascii="Calibri" w:hAnsi="Calibri"/>
                <w:b w:val="0"/>
                <w:color w:val="000000"/>
                <w:sz w:val="20"/>
              </w:rPr>
              <w:t>COR-directed cases</w:t>
            </w:r>
          </w:p>
        </w:tc>
      </w:tr>
      <w:tr>
        <w:tc>
          <w:tcPr>
            <w:tcW w:type="dxa" w:w="3120"/>
            <w:shd w:val="clear" w:color="auto" w:fill="F2F5FA"/>
          </w:tcPr>
          <w:p>
            <w:pPr>
              <w:spacing w:after="40" w:before="40"/>
            </w:pPr>
            <w:r>
              <w:rPr>
                <w:rFonts w:ascii="Calibri" w:hAnsi="Calibri"/>
                <w:b w:val="0"/>
                <w:color w:val="000000"/>
                <w:sz w:val="20"/>
              </w:rPr>
              <w:t>Findings</w:t>
            </w:r>
          </w:p>
        </w:tc>
        <w:tc>
          <w:tcPr>
            <w:tcW w:type="dxa" w:w="3120"/>
            <w:shd w:val="clear" w:color="auto" w:fill="F2F5FA"/>
          </w:tcPr>
          <w:p>
            <w:pPr>
              <w:spacing w:after="40" w:before="40"/>
            </w:pPr>
            <w:r>
              <w:rPr>
                <w:rFonts w:ascii="Consolas" w:hAnsi="Consolas"/>
                <w:color w:val="000000"/>
                <w:sz w:val="20"/>
              </w:rPr>
              <w:t>/tefca-arc/findings</w:t>
            </w:r>
          </w:p>
        </w:tc>
        <w:tc>
          <w:tcPr>
            <w:tcW w:type="dxa" w:w="3120"/>
            <w:shd w:val="clear" w:color="auto" w:fill="F2F5FA"/>
          </w:tcPr>
          <w:p>
            <w:pPr>
              <w:spacing w:after="40" w:before="40"/>
            </w:pPr>
            <w:r>
              <w:rPr>
                <w:rFonts w:ascii="Calibri" w:hAnsi="Calibri"/>
                <w:b w:val="0"/>
                <w:color w:val="000000"/>
                <w:sz w:val="20"/>
              </w:rPr>
              <w:t>All findings, filterable</w:t>
            </w:r>
          </w:p>
        </w:tc>
      </w:tr>
      <w:tr>
        <w:tc>
          <w:tcPr>
            <w:tcW w:type="dxa" w:w="3120"/>
          </w:tcPr>
          <w:p>
            <w:pPr>
              <w:spacing w:after="40" w:before="40"/>
            </w:pPr>
            <w:r>
              <w:rPr>
                <w:rFonts w:ascii="Calibri" w:hAnsi="Calibri"/>
                <w:b w:val="0"/>
                <w:color w:val="000000"/>
                <w:sz w:val="20"/>
              </w:rPr>
              <w:t>Reports</w:t>
            </w:r>
          </w:p>
        </w:tc>
        <w:tc>
          <w:tcPr>
            <w:tcW w:type="dxa" w:w="3120"/>
          </w:tcPr>
          <w:p>
            <w:pPr>
              <w:spacing w:after="40" w:before="40"/>
            </w:pPr>
            <w:r>
              <w:rPr>
                <w:rFonts w:ascii="Consolas" w:hAnsi="Consolas"/>
                <w:color w:val="000000"/>
                <w:sz w:val="20"/>
              </w:rPr>
              <w:t>/tefca-arc/reports</w:t>
            </w:r>
          </w:p>
        </w:tc>
        <w:tc>
          <w:tcPr>
            <w:tcW w:type="dxa" w:w="3120"/>
          </w:tcPr>
          <w:p>
            <w:pPr>
              <w:spacing w:after="40" w:before="40"/>
            </w:pPr>
            <w:r>
              <w:rPr>
                <w:rFonts w:ascii="Calibri" w:hAnsi="Calibri"/>
                <w:b w:val="0"/>
                <w:color w:val="000000"/>
                <w:sz w:val="20"/>
              </w:rPr>
              <w:t>Generate and download deliverables</w:t>
            </w:r>
          </w:p>
        </w:tc>
      </w:tr>
      <w:tr>
        <w:tc>
          <w:tcPr>
            <w:tcW w:type="dxa" w:w="3120"/>
            <w:shd w:val="clear" w:color="auto" w:fill="F2F5FA"/>
          </w:tcPr>
          <w:p>
            <w:pPr>
              <w:spacing w:after="40" w:before="40"/>
            </w:pPr>
            <w:r>
              <w:rPr>
                <w:rFonts w:ascii="Calibri" w:hAnsi="Calibri"/>
                <w:b w:val="0"/>
                <w:color w:val="000000"/>
                <w:sz w:val="20"/>
              </w:rPr>
              <w:t>QA Operations</w:t>
            </w:r>
          </w:p>
        </w:tc>
        <w:tc>
          <w:tcPr>
            <w:tcW w:type="dxa" w:w="3120"/>
            <w:shd w:val="clear" w:color="auto" w:fill="F2F5FA"/>
          </w:tcPr>
          <w:p>
            <w:pPr>
              <w:spacing w:after="40" w:before="40"/>
            </w:pPr>
            <w:r>
              <w:rPr>
                <w:rFonts w:ascii="Consolas" w:hAnsi="Consolas"/>
                <w:color w:val="000000"/>
                <w:sz w:val="20"/>
              </w:rPr>
              <w:t>/tefca-arc/qa</w:t>
            </w:r>
          </w:p>
        </w:tc>
        <w:tc>
          <w:tcPr>
            <w:tcW w:type="dxa" w:w="3120"/>
            <w:shd w:val="clear" w:color="auto" w:fill="F2F5FA"/>
          </w:tcPr>
          <w:p>
            <w:pPr>
              <w:spacing w:after="40" w:before="40"/>
            </w:pPr>
            <w:r>
              <w:rPr>
                <w:rFonts w:ascii="Calibri" w:hAnsi="Calibri"/>
                <w:b w:val="0"/>
                <w:color w:val="000000"/>
                <w:sz w:val="20"/>
              </w:rPr>
              <w:t>QA gates, scores, and alerts</w:t>
            </w:r>
          </w:p>
        </w:tc>
      </w:tr>
      <w:tr>
        <w:tc>
          <w:tcPr>
            <w:tcW w:type="dxa" w:w="3120"/>
          </w:tcPr>
          <w:p>
            <w:pPr>
              <w:spacing w:after="40" w:before="40"/>
            </w:pPr>
            <w:r>
              <w:rPr>
                <w:rFonts w:ascii="Calibri" w:hAnsi="Calibri"/>
                <w:b w:val="0"/>
                <w:color w:val="000000"/>
                <w:sz w:val="20"/>
              </w:rPr>
              <w:t>Connectors</w:t>
            </w:r>
          </w:p>
        </w:tc>
        <w:tc>
          <w:tcPr>
            <w:tcW w:type="dxa" w:w="3120"/>
          </w:tcPr>
          <w:p>
            <w:pPr>
              <w:spacing w:after="40" w:before="40"/>
            </w:pPr>
            <w:r>
              <w:rPr>
                <w:rFonts w:ascii="Consolas" w:hAnsi="Consolas"/>
                <w:color w:val="000000"/>
                <w:sz w:val="20"/>
              </w:rPr>
              <w:t>/tefca-arc/connectors</w:t>
            </w:r>
          </w:p>
        </w:tc>
        <w:tc>
          <w:tcPr>
            <w:tcW w:type="dxa" w:w="3120"/>
          </w:tcPr>
          <w:p>
            <w:pPr>
              <w:spacing w:after="40" w:before="40"/>
            </w:pPr>
            <w:r>
              <w:rPr>
                <w:rFonts w:ascii="Calibri" w:hAnsi="Calibri"/>
                <w:b w:val="0"/>
                <w:color w:val="000000"/>
                <w:sz w:val="20"/>
              </w:rPr>
              <w:t>Per-source health detail</w:t>
            </w:r>
          </w:p>
        </w:tc>
      </w:tr>
      <w:tr>
        <w:tc>
          <w:tcPr>
            <w:tcW w:type="dxa" w:w="3120"/>
            <w:shd w:val="clear" w:color="auto" w:fill="F2F5FA"/>
          </w:tcPr>
          <w:p>
            <w:pPr>
              <w:spacing w:after="40" w:before="40"/>
            </w:pPr>
            <w:r>
              <w:rPr>
                <w:rFonts w:ascii="Calibri" w:hAnsi="Calibri"/>
                <w:b w:val="0"/>
                <w:color w:val="000000"/>
                <w:sz w:val="20"/>
              </w:rPr>
              <w:t>Analytics</w:t>
            </w:r>
          </w:p>
        </w:tc>
        <w:tc>
          <w:tcPr>
            <w:tcW w:type="dxa" w:w="3120"/>
            <w:shd w:val="clear" w:color="auto" w:fill="F2F5FA"/>
          </w:tcPr>
          <w:p>
            <w:pPr>
              <w:spacing w:after="40" w:before="40"/>
            </w:pPr>
            <w:r>
              <w:rPr>
                <w:rFonts w:ascii="Consolas" w:hAnsi="Consolas"/>
                <w:color w:val="000000"/>
                <w:sz w:val="20"/>
              </w:rPr>
              <w:t>/tefca-arc/analytics</w:t>
            </w:r>
          </w:p>
        </w:tc>
        <w:tc>
          <w:tcPr>
            <w:tcW w:type="dxa" w:w="3120"/>
            <w:shd w:val="clear" w:color="auto" w:fill="F2F5FA"/>
          </w:tcPr>
          <w:p>
            <w:pPr>
              <w:spacing w:after="40" w:before="40"/>
            </w:pPr>
            <w:r>
              <w:rPr>
                <w:rFonts w:ascii="Calibri" w:hAnsi="Calibri"/>
                <w:b w:val="0"/>
                <w:color w:val="000000"/>
                <w:sz w:val="20"/>
              </w:rPr>
              <w:t>Trends and distributions</w:t>
            </w:r>
          </w:p>
        </w:tc>
      </w:tr>
      <w:tr>
        <w:tc>
          <w:tcPr>
            <w:tcW w:type="dxa" w:w="3120"/>
          </w:tcPr>
          <w:p>
            <w:pPr>
              <w:spacing w:after="40" w:before="40"/>
            </w:pPr>
            <w:r>
              <w:rPr>
                <w:rFonts w:ascii="Calibri" w:hAnsi="Calibri"/>
                <w:b w:val="0"/>
                <w:color w:val="000000"/>
                <w:sz w:val="20"/>
              </w:rPr>
              <w:t>Search</w:t>
            </w:r>
          </w:p>
        </w:tc>
        <w:tc>
          <w:tcPr>
            <w:tcW w:type="dxa" w:w="3120"/>
          </w:tcPr>
          <w:p>
            <w:pPr>
              <w:spacing w:after="40" w:before="40"/>
            </w:pPr>
            <w:r>
              <w:rPr>
                <w:rFonts w:ascii="Consolas" w:hAnsi="Consolas"/>
                <w:color w:val="000000"/>
                <w:sz w:val="20"/>
              </w:rPr>
              <w:t>/tefca-arc/search</w:t>
            </w:r>
          </w:p>
        </w:tc>
        <w:tc>
          <w:tcPr>
            <w:tcW w:type="dxa" w:w="3120"/>
          </w:tcPr>
          <w:p>
            <w:pPr>
              <w:spacing w:after="40" w:before="40"/>
            </w:pPr>
            <w:r>
              <w:rPr>
                <w:rFonts w:ascii="Calibri" w:hAnsi="Calibri"/>
                <w:b w:val="0"/>
                <w:color w:val="000000"/>
                <w:sz w:val="20"/>
              </w:rPr>
              <w:t>Search by NPI, name, or QHIN</w:t>
            </w:r>
          </w:p>
        </w:tc>
      </w:tr>
      <w:tr>
        <w:tc>
          <w:tcPr>
            <w:tcW w:type="dxa" w:w="3120"/>
            <w:shd w:val="clear" w:color="auto" w:fill="F2F5FA"/>
          </w:tcPr>
          <w:p>
            <w:pPr>
              <w:spacing w:after="40" w:before="40"/>
            </w:pPr>
            <w:r>
              <w:rPr>
                <w:rFonts w:ascii="Calibri" w:hAnsi="Calibri"/>
                <w:b w:val="0"/>
                <w:color w:val="000000"/>
                <w:sz w:val="20"/>
              </w:rPr>
              <w:t>Trust Center</w:t>
            </w:r>
          </w:p>
        </w:tc>
        <w:tc>
          <w:tcPr>
            <w:tcW w:type="dxa" w:w="3120"/>
            <w:shd w:val="clear" w:color="auto" w:fill="F2F5FA"/>
          </w:tcPr>
          <w:p>
            <w:pPr>
              <w:spacing w:after="40" w:before="40"/>
            </w:pPr>
            <w:r>
              <w:rPr>
                <w:rFonts w:ascii="Consolas" w:hAnsi="Consolas"/>
                <w:color w:val="000000"/>
                <w:sz w:val="20"/>
              </w:rPr>
              <w:t>/tefca-arc/trust-center</w:t>
            </w:r>
          </w:p>
        </w:tc>
        <w:tc>
          <w:tcPr>
            <w:tcW w:type="dxa" w:w="3120"/>
            <w:shd w:val="clear" w:color="auto" w:fill="F2F5FA"/>
          </w:tcPr>
          <w:p>
            <w:pPr>
              <w:spacing w:after="40" w:before="40"/>
            </w:pPr>
            <w:r>
              <w:rPr>
                <w:rFonts w:ascii="Calibri" w:hAnsi="Calibri"/>
                <w:b w:val="0"/>
                <w:color w:val="000000"/>
                <w:sz w:val="20"/>
              </w:rPr>
              <w:t>Security posture, data classification, session info</w:t>
            </w:r>
          </w:p>
        </w:tc>
      </w:tr>
      <w:tr>
        <w:tc>
          <w:tcPr>
            <w:tcW w:type="dxa" w:w="3120"/>
          </w:tcPr>
          <w:p>
            <w:pPr>
              <w:spacing w:after="40" w:before="40"/>
            </w:pPr>
            <w:r>
              <w:rPr>
                <w:rFonts w:ascii="Calibri" w:hAnsi="Calibri"/>
                <w:b w:val="0"/>
                <w:color w:val="000000"/>
                <w:sz w:val="20"/>
              </w:rPr>
              <w:t>Audit</w:t>
            </w:r>
          </w:p>
        </w:tc>
        <w:tc>
          <w:tcPr>
            <w:tcW w:type="dxa" w:w="3120"/>
          </w:tcPr>
          <w:p>
            <w:pPr>
              <w:spacing w:after="40" w:before="40"/>
            </w:pPr>
            <w:r>
              <w:rPr>
                <w:rFonts w:ascii="Consolas" w:hAnsi="Consolas"/>
                <w:color w:val="000000"/>
                <w:sz w:val="20"/>
              </w:rPr>
              <w:t>/tefca-arc/audit</w:t>
            </w:r>
          </w:p>
        </w:tc>
        <w:tc>
          <w:tcPr>
            <w:tcW w:type="dxa" w:w="3120"/>
          </w:tcPr>
          <w:p>
            <w:pPr>
              <w:spacing w:after="40" w:before="40"/>
            </w:pPr>
            <w:r>
              <w:rPr>
                <w:rFonts w:ascii="Calibri" w:hAnsi="Calibri"/>
                <w:b w:val="0"/>
                <w:color w:val="000000"/>
                <w:sz w:val="20"/>
              </w:rPr>
              <w:t>Chronological activity view</w:t>
            </w:r>
          </w:p>
        </w:tc>
      </w:tr>
      <w:tr>
        <w:tc>
          <w:tcPr>
            <w:tcW w:type="dxa" w:w="3120"/>
            <w:shd w:val="clear" w:color="auto" w:fill="F2F5FA"/>
          </w:tcPr>
          <w:p>
            <w:pPr>
              <w:spacing w:after="40" w:before="40"/>
            </w:pPr>
            <w:r>
              <w:rPr>
                <w:rFonts w:ascii="Calibri" w:hAnsi="Calibri"/>
                <w:b w:val="0"/>
                <w:color w:val="000000"/>
                <w:sz w:val="20"/>
              </w:rPr>
              <w:t>Help</w:t>
            </w:r>
          </w:p>
        </w:tc>
        <w:tc>
          <w:tcPr>
            <w:tcW w:type="dxa" w:w="3120"/>
            <w:shd w:val="clear" w:color="auto" w:fill="F2F5FA"/>
          </w:tcPr>
          <w:p>
            <w:pPr>
              <w:spacing w:after="40" w:before="40"/>
            </w:pPr>
            <w:r>
              <w:rPr>
                <w:rFonts w:ascii="Consolas" w:hAnsi="Consolas"/>
                <w:color w:val="000000"/>
                <w:sz w:val="20"/>
              </w:rPr>
              <w:t>/tefca-arc/help</w:t>
            </w:r>
          </w:p>
        </w:tc>
        <w:tc>
          <w:tcPr>
            <w:tcW w:type="dxa" w:w="3120"/>
            <w:shd w:val="clear" w:color="auto" w:fill="F2F5FA"/>
          </w:tcPr>
          <w:p>
            <w:pPr>
              <w:spacing w:after="40" w:before="40"/>
            </w:pPr>
            <w:r>
              <w:rPr>
                <w:rFonts w:ascii="Calibri" w:hAnsi="Calibri"/>
                <w:b w:val="0"/>
                <w:color w:val="000000"/>
                <w:sz w:val="20"/>
              </w:rPr>
              <w:t>In-application reference</w:t>
            </w:r>
          </w:p>
        </w:tc>
      </w:tr>
    </w:tbl>
    <w:p>
      <w:pPr>
        <w:spacing w:after="80"/>
      </w:pPr>
    </w:p>
    <w:p>
      <w:pPr>
        <w:spacing w:after="120" w:before="0"/>
      </w:pPr>
      <w:r>
        <w:rPr>
          <w:rFonts w:ascii="Calibri" w:hAnsi="Calibri"/>
          <w:b w:val="0"/>
          <w:color w:val="000000"/>
          <w:sz w:val="22"/>
        </w:rPr>
        <w:t xml:space="preserve">Registry pages — QHIN Overview, Entities, Verification, Issues — sit in the separate </w:t>
      </w:r>
      <w:r>
        <w:rPr>
          <w:rFonts w:ascii="Calibri" w:hAnsi="Calibri"/>
          <w:b/>
          <w:color w:val="000000"/>
          <w:sz w:val="22"/>
        </w:rPr>
        <w:t>TEFCA REGISTRY</w:t>
      </w:r>
      <w:r>
        <w:rPr>
          <w:rFonts w:ascii="Calibri" w:hAnsi="Calibri"/>
          <w:b w:val="0"/>
          <w:color w:val="000000"/>
          <w:sz w:val="22"/>
        </w:rPr>
        <w:t xml:space="preserve"> navigation section. Remember that Registry verification does not query external sources (Section 3.4).</w:t>
      </w:r>
    </w:p>
    <w:p>
      <w:r>
        <w:br w:type="page"/>
      </w:r>
    </w:p>
    <w:p>
      <w:pPr>
        <w:pStyle w:val="Heading1"/>
        <w:keepNext/>
        <w:spacing w:before="280" w:after="120"/>
        <w:outlineLvl w:val="0"/>
      </w:pPr>
      <w:r>
        <w:rPr>
          <w:rFonts w:ascii="Calibri" w:hAnsi="Calibri"/>
          <w:b/>
          <w:color w:val="003087"/>
          <w:sz w:val="28"/>
        </w:rPr>
        <w:t>9. Daily Operating Procedure</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PRE-PRODUCTION DEMONSTRATION MODE</w:t>
            </w:r>
          </w:p>
          <w:p>
            <w:pPr>
              <w:spacing w:after="0" w:before="0"/>
            </w:pPr>
            <w:r>
              <w:rPr>
                <w:rFonts w:ascii="Calibri" w:hAnsi="Calibri"/>
                <w:b w:val="0"/>
                <w:color w:val="000000"/>
                <w:sz w:val="21"/>
              </w:rPr>
              <w:t>The procedure below is the correct operational routine, and it is the routine that will apply unchanged once ONC entity data is received. Today it runs against synthetic demonstration data on both environments. Work performed under this procedure now is operational readiness demonstration; it is not official production verification. Every report carries the stamp "MOCK — demonstration data only. Do not use for operational decisions."</w:t>
            </w:r>
          </w:p>
        </w:tc>
      </w:tr>
    </w:tbl>
    <w:p>
      <w:pPr>
        <w:spacing w:after="80"/>
      </w:pPr>
    </w:p>
    <w:p>
      <w:pPr>
        <w:pStyle w:val="Heading2"/>
        <w:keepNext/>
        <w:spacing w:before="200" w:after="120"/>
        <w:outlineLvl w:val="1"/>
      </w:pPr>
      <w:r>
        <w:rPr>
          <w:rFonts w:ascii="Calibri" w:hAnsi="Calibri"/>
          <w:b/>
          <w:color w:val="003087"/>
          <w:sz w:val="25"/>
        </w:rPr>
        <w:t>9.1 The daily cycle</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START OF DAY</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LOG IN</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REVIEW DASHBOARD  -- Mission Control: KPIs, notifications, connector health</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CHECK ASSIGNED WORK  -- Entity Reviews and Priority Reviews</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REVIEW ALERTS AND EXCEPTIONS  -- Notifications panel, Validation Queue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PROCESS ENTITIES  -- open, read, verify, judge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REVIEW VERIFICATION EVIDENCE  -- every source, individually</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RESOLVE OR DOCUMENT EXCEPTIONS  -- rationale is mandatory</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SUBMIT, APPROVE, OR ESCALATE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END-OF-DAY REVIEW  -- nothing left overdue or unrecorded</w:t>
            </w:r>
          </w:p>
        </w:tc>
      </w:tr>
    </w:tbl>
    <w:p>
      <w:pPr>
        <w:spacing w:after="80"/>
      </w:pPr>
    </w:p>
    <w:p>
      <w:pPr>
        <w:pStyle w:val="Heading2"/>
        <w:keepNext/>
        <w:spacing w:before="200" w:after="120"/>
        <w:outlineLvl w:val="1"/>
      </w:pPr>
      <w:r>
        <w:rPr>
          <w:rFonts w:ascii="Calibri" w:hAnsi="Calibri"/>
          <w:b/>
          <w:color w:val="003087"/>
          <w:sz w:val="25"/>
        </w:rPr>
        <w:t>9.2 Reviewer — step by step</w:t>
      </w:r>
    </w:p>
    <w:p>
      <w:pPr>
        <w:pStyle w:val="Heading3"/>
        <w:keepNext/>
        <w:spacing w:before="200" w:after="120"/>
        <w:outlineLvl w:val="2"/>
      </w:pPr>
      <w:r>
        <w:rPr>
          <w:rFonts w:ascii="Calibri" w:hAnsi="Calibri"/>
          <w:b/>
          <w:color w:val="003087"/>
          <w:sz w:val="23"/>
        </w:rPr>
        <w:t>Step 1 — Log in</w:t>
      </w:r>
    </w:p>
    <w:p>
      <w:pPr>
        <w:spacing w:after="120" w:before="0"/>
      </w:pPr>
      <w:r>
        <w:rPr>
          <w:rFonts w:ascii="Calibri" w:hAnsi="Calibri"/>
          <w:b/>
          <w:color w:val="000000"/>
          <w:sz w:val="22"/>
        </w:rPr>
        <w:t>Where:</w:t>
      </w:r>
      <w:r>
        <w:rPr>
          <w:rFonts w:ascii="Calibri" w:hAnsi="Calibri"/>
          <w:b w:val="0"/>
          <w:color w:val="000000"/>
          <w:sz w:val="22"/>
        </w:rPr>
        <w:t xml:space="preserve"> the login page for your environment.</w:t>
      </w:r>
    </w:p>
    <w:p>
      <w:pPr>
        <w:spacing w:after="120" w:before="0"/>
      </w:pPr>
      <w:r>
        <w:rPr>
          <w:rFonts w:ascii="Calibri" w:hAnsi="Calibri"/>
          <w:b/>
          <w:color w:val="000000"/>
          <w:sz w:val="22"/>
        </w:rPr>
        <w:t>Action:</w:t>
      </w:r>
      <w:r>
        <w:rPr>
          <w:rFonts w:ascii="Calibri" w:hAnsi="Calibri"/>
          <w:b w:val="0"/>
          <w:color w:val="000000"/>
          <w:sz w:val="22"/>
        </w:rPr>
        <w:t xml:space="preserve"> sign in.</w:t>
      </w:r>
    </w:p>
    <w:p>
      <w:pPr>
        <w:spacing w:after="120" w:before="0"/>
      </w:pPr>
      <w:r>
        <w:rPr>
          <w:rFonts w:ascii="Calibri" w:hAnsi="Calibri"/>
          <w:b/>
          <w:color w:val="000000"/>
          <w:sz w:val="22"/>
        </w:rPr>
        <w:t>Expected result:</w:t>
      </w:r>
      <w:r>
        <w:rPr>
          <w:rFonts w:ascii="Calibri" w:hAnsi="Calibri"/>
          <w:b w:val="0"/>
          <w:color w:val="000000"/>
          <w:sz w:val="22"/>
        </w:rPr>
        <w:t xml:space="preserve"> you land on Mission Control and see the demonstration-mode banner while the platform is in pre-production mode.</w:t>
      </w:r>
    </w:p>
    <w:p>
      <w:pPr>
        <w:spacing w:after="120" w:before="0"/>
      </w:pPr>
      <w:r>
        <w:rPr>
          <w:rFonts w:ascii="Calibri" w:hAnsi="Calibri"/>
          <w:b/>
          <w:color w:val="000000"/>
          <w:sz w:val="22"/>
        </w:rPr>
        <w:t>If something is wrong:</w:t>
      </w:r>
      <w:r>
        <w:rPr>
          <w:rFonts w:ascii="Calibri" w:hAnsi="Calibri"/>
          <w:b w:val="0"/>
          <w:color w:val="000000"/>
          <w:sz w:val="22"/>
        </w:rPr>
        <w:t xml:space="preserve"> an unapproved or disabled account cannot sign in. Contact your administrator.</w:t>
      </w:r>
    </w:p>
    <w:p>
      <w:pPr>
        <w:pStyle w:val="Heading3"/>
        <w:keepNext/>
        <w:spacing w:before="200" w:after="120"/>
        <w:outlineLvl w:val="2"/>
      </w:pPr>
      <w:r>
        <w:rPr>
          <w:rFonts w:ascii="Calibri" w:hAnsi="Calibri"/>
          <w:b/>
          <w:color w:val="003087"/>
          <w:sz w:val="23"/>
        </w:rPr>
        <w:t>Step 2 — Read the dashboard before touching any work</w:t>
      </w:r>
    </w:p>
    <w:p>
      <w:pPr>
        <w:spacing w:after="120" w:before="0"/>
      </w:pPr>
      <w:r>
        <w:rPr>
          <w:rFonts w:ascii="Calibri" w:hAnsi="Calibri"/>
          <w:b/>
          <w:color w:val="000000"/>
          <w:sz w:val="22"/>
        </w:rPr>
        <w:t>Where:</w:t>
      </w:r>
      <w:r>
        <w:rPr>
          <w:rFonts w:ascii="Calibri" w:hAnsi="Calibri"/>
          <w:b w:val="0"/>
          <w:color w:val="000000"/>
          <w:sz w:val="22"/>
        </w:rPr>
        <w:t xml:space="preserve"> Mission Control.</w:t>
      </w:r>
    </w:p>
    <w:p>
      <w:pPr>
        <w:spacing w:after="120" w:before="0"/>
      </w:pPr>
      <w:r>
        <w:rPr>
          <w:rFonts w:ascii="Calibri" w:hAnsi="Calibri"/>
          <w:b/>
          <w:color w:val="000000"/>
          <w:sz w:val="22"/>
        </w:rPr>
        <w:t>Action:</w:t>
      </w:r>
      <w:r>
        <w:rPr>
          <w:rFonts w:ascii="Calibri" w:hAnsi="Calibri"/>
          <w:b w:val="0"/>
          <w:color w:val="000000"/>
          <w:sz w:val="22"/>
        </w:rPr>
        <w:t xml:space="preserve"> read the Notifications panel and expand the </w:t>
      </w:r>
      <w:r>
        <w:rPr>
          <w:rFonts w:ascii="Calibri" w:hAnsi="Calibri"/>
          <w:b/>
          <w:color w:val="000000"/>
          <w:sz w:val="22"/>
        </w:rPr>
        <w:t>Connectors</w:t>
      </w:r>
      <w:r>
        <w:rPr>
          <w:rFonts w:ascii="Calibri" w:hAnsi="Calibri"/>
          <w:b w:val="0"/>
          <w:color w:val="000000"/>
          <w:sz w:val="22"/>
        </w:rPr>
        <w:t xml:space="preserve"> card in the System Health Summary.</w:t>
      </w:r>
    </w:p>
    <w:p>
      <w:pPr>
        <w:spacing w:after="120" w:before="0"/>
      </w:pPr>
      <w:r>
        <w:rPr>
          <w:rFonts w:ascii="Calibri" w:hAnsi="Calibri"/>
          <w:b/>
          <w:color w:val="000000"/>
          <w:sz w:val="22"/>
        </w:rPr>
        <w:t>Expected result:</w:t>
      </w:r>
      <w:r>
        <w:rPr>
          <w:rFonts w:ascii="Calibri" w:hAnsi="Calibri"/>
          <w:b w:val="0"/>
          <w:color w:val="000000"/>
          <w:sz w:val="22"/>
        </w:rPr>
        <w:t xml:space="preserve"> Notifications shows "No active alerts". Connectors shows which sources are live.</w:t>
      </w:r>
    </w:p>
    <w:p>
      <w:pPr>
        <w:spacing w:after="120" w:before="0"/>
      </w:pPr>
      <w:r>
        <w:rPr>
          <w:rFonts w:ascii="Calibri" w:hAnsi="Calibri"/>
          <w:b/>
          <w:color w:val="000000"/>
          <w:sz w:val="22"/>
        </w:rPr>
        <w:t>If something is wrong:</w:t>
      </w:r>
      <w:r>
        <w:rPr>
          <w:rFonts w:ascii="Calibri" w:hAnsi="Calibri"/>
          <w:b w:val="0"/>
          <w:color w:val="000000"/>
          <w:sz w:val="22"/>
        </w:rPr>
        <w:t xml:space="preserve"> if a source you depend on is Unavailable or Error, note it before you start. Results produced while a required source is down will be Indeterminate, and that is correct behaviour, not a fault. Do not attempt to close those records as clean.</w:t>
      </w:r>
    </w:p>
    <w:p>
      <w:pPr>
        <w:pStyle w:val="Heading3"/>
        <w:keepNext/>
        <w:spacing w:before="200" w:after="120"/>
        <w:outlineLvl w:val="2"/>
      </w:pPr>
      <w:r>
        <w:rPr>
          <w:rFonts w:ascii="Calibri" w:hAnsi="Calibri"/>
          <w:b/>
          <w:color w:val="003087"/>
          <w:sz w:val="23"/>
        </w:rPr>
        <w:t>Step 3 — Check your assigned work</w:t>
      </w:r>
    </w:p>
    <w:p>
      <w:pPr>
        <w:spacing w:after="120" w:before="0"/>
      </w:pPr>
      <w:r>
        <w:rPr>
          <w:rFonts w:ascii="Calibri" w:hAnsi="Calibri"/>
          <w:b/>
          <w:color w:val="000000"/>
          <w:sz w:val="22"/>
        </w:rPr>
        <w:t>Where:</w:t>
      </w:r>
      <w:r>
        <w:rPr>
          <w:rFonts w:ascii="Calibri" w:hAnsi="Calibri"/>
          <w:b w:val="0"/>
          <w:color w:val="000000"/>
          <w:sz w:val="22"/>
        </w:rPr>
        <w:t xml:space="preserve"> Entity Reviews (</w:t>
      </w:r>
      <w:r>
        <w:rPr>
          <w:rFonts w:ascii="Consolas" w:hAnsi="Consolas"/>
          <w:color w:val="000000"/>
          <w:sz w:val="22"/>
        </w:rPr>
        <w:t>/tefca-arc/reviews</w:t>
      </w:r>
      <w:r>
        <w:rPr>
          <w:rFonts w:ascii="Calibri" w:hAnsi="Calibri"/>
          <w:b w:val="0"/>
          <w:color w:val="000000"/>
          <w:sz w:val="22"/>
        </w:rPr>
        <w:t>); then Priority Reviews (</w:t>
      </w:r>
      <w:r>
        <w:rPr>
          <w:rFonts w:ascii="Consolas" w:hAnsi="Consolas"/>
          <w:color w:val="000000"/>
          <w:sz w:val="22"/>
        </w:rPr>
        <w:t>/tefca-arc/priority</w:t>
      </w:r>
      <w:r>
        <w:rPr>
          <w:rFonts w:ascii="Calibri" w:hAnsi="Calibri"/>
          <w:b w:val="0"/>
          <w:color w:val="000000"/>
          <w:sz w:val="22"/>
        </w:rPr>
        <w:t>).</w:t>
      </w:r>
    </w:p>
    <w:p>
      <w:pPr>
        <w:spacing w:after="120" w:before="0"/>
      </w:pPr>
      <w:r>
        <w:rPr>
          <w:rFonts w:ascii="Calibri" w:hAnsi="Calibri"/>
          <w:b/>
          <w:color w:val="000000"/>
          <w:sz w:val="22"/>
        </w:rPr>
        <w:t>Action:</w:t>
      </w:r>
      <w:r>
        <w:rPr>
          <w:rFonts w:ascii="Calibri" w:hAnsi="Calibri"/>
          <w:b w:val="0"/>
          <w:color w:val="000000"/>
          <w:sz w:val="22"/>
        </w:rPr>
        <w:t xml:space="preserve"> sort by SLA band. Work </w:t>
      </w:r>
      <w:r>
        <w:rPr>
          <w:rFonts w:ascii="Calibri" w:hAnsi="Calibri"/>
          <w:b/>
          <w:color w:val="000000"/>
          <w:sz w:val="22"/>
        </w:rPr>
        <w:t>overdue</w:t>
      </w:r>
      <w:r>
        <w:rPr>
          <w:rFonts w:ascii="Calibri" w:hAnsi="Calibri"/>
          <w:b w:val="0"/>
          <w:color w:val="000000"/>
          <w:sz w:val="22"/>
        </w:rPr>
        <w:t xml:space="preserve"> first, then </w:t>
      </w:r>
      <w:r>
        <w:rPr>
          <w:rFonts w:ascii="Calibri" w:hAnsi="Calibri"/>
          <w:b/>
          <w:color w:val="000000"/>
          <w:sz w:val="22"/>
        </w:rPr>
        <w:t>at risk</w:t>
      </w:r>
      <w:r>
        <w:rPr>
          <w:rFonts w:ascii="Calibri" w:hAnsi="Calibri"/>
          <w:b w:val="0"/>
          <w:color w:val="000000"/>
          <w:sz w:val="22"/>
        </w:rPr>
        <w:t xml:space="preserve">, then </w:t>
      </w:r>
      <w:r>
        <w:rPr>
          <w:rFonts w:ascii="Calibri" w:hAnsi="Calibri"/>
          <w:b/>
          <w:color w:val="000000"/>
          <w:sz w:val="22"/>
        </w:rPr>
        <w:t>on track</w:t>
      </w:r>
      <w:r>
        <w:rPr>
          <w:rFonts w:ascii="Calibri" w:hAnsi="Calibri"/>
          <w:b w:val="0"/>
          <w:color w:val="000000"/>
          <w:sz w:val="22"/>
        </w:rPr>
        <w:t>. Priority Reviews are COR-directed and take precedence over routine queue work.</w:t>
      </w:r>
    </w:p>
    <w:p>
      <w:pPr>
        <w:spacing w:after="120" w:before="0"/>
      </w:pPr>
      <w:r>
        <w:rPr>
          <w:rFonts w:ascii="Calibri" w:hAnsi="Calibri"/>
          <w:b/>
          <w:color w:val="000000"/>
          <w:sz w:val="22"/>
        </w:rPr>
        <w:t>Expected result:</w:t>
      </w:r>
      <w:r>
        <w:rPr>
          <w:rFonts w:ascii="Calibri" w:hAnsi="Calibri"/>
          <w:b w:val="0"/>
          <w:color w:val="000000"/>
          <w:sz w:val="22"/>
        </w:rPr>
        <w:t xml:space="preserve"> a prioritized list of entities awaiting your disposition.</w:t>
      </w:r>
    </w:p>
    <w:p>
      <w:pPr>
        <w:spacing w:after="120" w:before="0"/>
      </w:pPr>
      <w:r>
        <w:rPr>
          <w:rFonts w:ascii="Calibri" w:hAnsi="Calibri"/>
          <w:b/>
          <w:color w:val="000000"/>
          <w:sz w:val="22"/>
        </w:rPr>
        <w:t>If something is wrong:</w:t>
      </w:r>
      <w:r>
        <w:rPr>
          <w:rFonts w:ascii="Calibri" w:hAnsi="Calibri"/>
          <w:b w:val="0"/>
          <w:color w:val="000000"/>
          <w:sz w:val="22"/>
        </w:rPr>
        <w:t xml:space="preserve"> an empty queue when you expect work usually means the sample has not been drawn for this cycle. Ask the programme manager or a contributor.</w:t>
      </w:r>
    </w:p>
    <w:p>
      <w:pPr>
        <w:pStyle w:val="Heading3"/>
        <w:keepNext/>
        <w:spacing w:before="200" w:after="120"/>
        <w:outlineLvl w:val="2"/>
      </w:pPr>
      <w:r>
        <w:rPr>
          <w:rFonts w:ascii="Calibri" w:hAnsi="Calibri"/>
          <w:b/>
          <w:color w:val="003087"/>
          <w:sz w:val="23"/>
        </w:rPr>
        <w:t>Step 4 — Review alerts and exceptions</w:t>
      </w:r>
    </w:p>
    <w:p>
      <w:pPr>
        <w:spacing w:after="120" w:before="0"/>
      </w:pPr>
      <w:r>
        <w:rPr>
          <w:rFonts w:ascii="Calibri" w:hAnsi="Calibri"/>
          <w:b/>
          <w:color w:val="000000"/>
          <w:sz w:val="22"/>
        </w:rPr>
        <w:t>Where:</w:t>
      </w:r>
      <w:r>
        <w:rPr>
          <w:rFonts w:ascii="Calibri" w:hAnsi="Calibri"/>
          <w:b w:val="0"/>
          <w:color w:val="000000"/>
          <w:sz w:val="22"/>
        </w:rPr>
        <w:t xml:space="preserve"> Validation Queue (</w:t>
      </w:r>
      <w:r>
        <w:rPr>
          <w:rFonts w:ascii="Consolas" w:hAnsi="Consolas"/>
          <w:color w:val="000000"/>
          <w:sz w:val="22"/>
        </w:rPr>
        <w:t>/tefca-arc/validation</w:t>
      </w:r>
      <w:r>
        <w:rPr>
          <w:rFonts w:ascii="Calibri" w:hAnsi="Calibri"/>
          <w:b w:val="0"/>
          <w:color w:val="000000"/>
          <w:sz w:val="22"/>
        </w:rPr>
        <w:t>).</w:t>
      </w:r>
    </w:p>
    <w:p>
      <w:pPr>
        <w:spacing w:after="120" w:before="0"/>
      </w:pPr>
      <w:r>
        <w:rPr>
          <w:rFonts w:ascii="Calibri" w:hAnsi="Calibri"/>
          <w:b/>
          <w:color w:val="000000"/>
          <w:sz w:val="22"/>
        </w:rPr>
        <w:t>Action:</w:t>
      </w:r>
      <w:r>
        <w:rPr>
          <w:rFonts w:ascii="Calibri" w:hAnsi="Calibri"/>
          <w:b w:val="0"/>
          <w:color w:val="000000"/>
          <w:sz w:val="22"/>
        </w:rPr>
        <w:t xml:space="preserve"> identify entities not yet validated against the authoritative sources, and any records showing conflicting evidence.</w:t>
      </w:r>
    </w:p>
    <w:p>
      <w:pPr>
        <w:spacing w:after="120" w:before="0"/>
      </w:pPr>
      <w:r>
        <w:rPr>
          <w:rFonts w:ascii="Calibri" w:hAnsi="Calibri"/>
          <w:b/>
          <w:color w:val="000000"/>
          <w:sz w:val="22"/>
        </w:rPr>
        <w:t>Expected result:</w:t>
      </w:r>
      <w:r>
        <w:rPr>
          <w:rFonts w:ascii="Calibri" w:hAnsi="Calibri"/>
          <w:b w:val="0"/>
          <w:color w:val="000000"/>
          <w:sz w:val="22"/>
        </w:rPr>
        <w:t xml:space="preserve"> you know which records need source verification run before they can be judged.</w:t>
      </w:r>
    </w:p>
    <w:p>
      <w:pPr>
        <w:pStyle w:val="Heading3"/>
        <w:keepNext/>
        <w:spacing w:before="200" w:after="120"/>
        <w:outlineLvl w:val="2"/>
      </w:pPr>
      <w:r>
        <w:rPr>
          <w:rFonts w:ascii="Calibri" w:hAnsi="Calibri"/>
          <w:b/>
          <w:color w:val="003087"/>
          <w:sz w:val="23"/>
        </w:rPr>
        <w:t>Step 5 — Process each entity</w:t>
      </w:r>
    </w:p>
    <w:p>
      <w:pPr>
        <w:spacing w:after="120" w:before="0"/>
      </w:pPr>
      <w:r>
        <w:rPr>
          <w:rFonts w:ascii="Calibri" w:hAnsi="Calibri"/>
          <w:b w:val="0"/>
          <w:color w:val="000000"/>
          <w:sz w:val="22"/>
        </w:rPr>
        <w:t>Follow Section 10 for the full walkthrough. In summary: open the record, read the submitted data, run or review the verification, read each source result individually, judge the classification, and record your rationale.</w:t>
      </w:r>
    </w:p>
    <w:p>
      <w:pPr>
        <w:pStyle w:val="Heading3"/>
        <w:keepNext/>
        <w:spacing w:before="200" w:after="120"/>
        <w:outlineLvl w:val="2"/>
      </w:pPr>
      <w:r>
        <w:rPr>
          <w:rFonts w:ascii="Calibri" w:hAnsi="Calibri"/>
          <w:b/>
          <w:color w:val="003087"/>
          <w:sz w:val="23"/>
        </w:rPr>
        <w:t>Step 6 — Review the verification evidence properly</w:t>
      </w:r>
    </w:p>
    <w:p>
      <w:pPr>
        <w:spacing w:after="120" w:before="0"/>
      </w:pPr>
      <w:r>
        <w:rPr>
          <w:rFonts w:ascii="Calibri" w:hAnsi="Calibri"/>
          <w:b/>
          <w:color w:val="000000"/>
          <w:sz w:val="22"/>
        </w:rPr>
        <w:t>Where:</w:t>
      </w:r>
      <w:r>
        <w:rPr>
          <w:rFonts w:ascii="Calibri" w:hAnsi="Calibri"/>
          <w:b w:val="0"/>
          <w:color w:val="000000"/>
          <w:sz w:val="22"/>
        </w:rPr>
        <w:t xml:space="preserve"> the entity detail view.</w:t>
      </w:r>
    </w:p>
    <w:p>
      <w:pPr>
        <w:spacing w:after="120" w:before="0"/>
      </w:pPr>
      <w:r>
        <w:rPr>
          <w:rFonts w:ascii="Calibri" w:hAnsi="Calibri"/>
          <w:b/>
          <w:color w:val="000000"/>
          <w:sz w:val="22"/>
        </w:rPr>
        <w:t>Action:</w:t>
      </w:r>
      <w:r>
        <w:rPr>
          <w:rFonts w:ascii="Calibri" w:hAnsi="Calibri"/>
          <w:b w:val="0"/>
          <w:color w:val="000000"/>
          <w:sz w:val="22"/>
        </w:rPr>
        <w:t xml:space="preserve"> for every source, read the state and the reason — not just the summary.</w:t>
      </w:r>
    </w:p>
    <w:p>
      <w:pPr>
        <w:spacing w:after="120" w:before="0"/>
      </w:pPr>
      <w:r>
        <w:rPr>
          <w:rFonts w:ascii="Calibri" w:hAnsi="Calibri"/>
          <w:b/>
          <w:color w:val="000000"/>
          <w:sz w:val="22"/>
        </w:rPr>
        <w:t>Expected result:</w:t>
      </w:r>
      <w:r>
        <w:rPr>
          <w:rFonts w:ascii="Calibri" w:hAnsi="Calibri"/>
          <w:b w:val="0"/>
          <w:color w:val="000000"/>
          <w:sz w:val="22"/>
        </w:rPr>
        <w:t xml:space="preserve"> you can state, in one sentence, which sources answered and what each said.</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A summary that looks clean is not evidence of a clean entity if a required source did not answer. Always confirm coverage before accepting a favourable result. The coverage note tells you how many implemented sources were actually checked.</w:t>
            </w:r>
          </w:p>
        </w:tc>
      </w:tr>
    </w:tbl>
    <w:p>
      <w:pPr>
        <w:spacing w:after="80"/>
      </w:pPr>
    </w:p>
    <w:p>
      <w:pPr>
        <w:pStyle w:val="Heading3"/>
        <w:keepNext/>
        <w:spacing w:before="200" w:after="120"/>
        <w:outlineLvl w:val="2"/>
      </w:pPr>
      <w:r>
        <w:rPr>
          <w:rFonts w:ascii="Calibri" w:hAnsi="Calibri"/>
          <w:b/>
          <w:color w:val="003087"/>
          <w:sz w:val="23"/>
        </w:rPr>
        <w:t>Step 7 — Resolve or document exceptions</w:t>
      </w:r>
    </w:p>
    <w:p>
      <w:pPr>
        <w:spacing w:after="120" w:before="0"/>
      </w:pPr>
      <w:r>
        <w:rPr>
          <w:rFonts w:ascii="Calibri" w:hAnsi="Calibri"/>
          <w:b/>
          <w:color w:val="000000"/>
          <w:sz w:val="22"/>
        </w:rPr>
        <w:t>Where:</w:t>
      </w:r>
      <w:r>
        <w:rPr>
          <w:rFonts w:ascii="Calibri" w:hAnsi="Calibri"/>
          <w:b w:val="0"/>
          <w:color w:val="000000"/>
          <w:sz w:val="22"/>
        </w:rPr>
        <w:t xml:space="preserve"> the entity detail view, Resolution section.</w:t>
      </w:r>
    </w:p>
    <w:p>
      <w:pPr>
        <w:spacing w:after="120" w:before="0"/>
      </w:pPr>
      <w:r>
        <w:rPr>
          <w:rFonts w:ascii="Calibri" w:hAnsi="Calibri"/>
          <w:b/>
          <w:color w:val="000000"/>
          <w:sz w:val="22"/>
        </w:rPr>
        <w:t>Action:</w:t>
      </w:r>
      <w:r>
        <w:rPr>
          <w:rFonts w:ascii="Calibri" w:hAnsi="Calibri"/>
          <w:b w:val="0"/>
          <w:color w:val="000000"/>
          <w:sz w:val="22"/>
        </w:rPr>
        <w:t xml:space="preserve"> confirm the classification, or reclassify it to B1, B2, B3, or B4. Enter a rationale — this is mandatory and cannot be skipped.</w:t>
      </w:r>
    </w:p>
    <w:p>
      <w:pPr>
        <w:spacing w:after="120" w:before="0"/>
      </w:pPr>
      <w:r>
        <w:rPr>
          <w:rFonts w:ascii="Calibri" w:hAnsi="Calibri"/>
          <w:b/>
          <w:color w:val="000000"/>
          <w:sz w:val="22"/>
        </w:rPr>
        <w:t>Expected result:</w:t>
      </w:r>
      <w:r>
        <w:rPr>
          <w:rFonts w:ascii="Calibri" w:hAnsi="Calibri"/>
          <w:b w:val="0"/>
          <w:color w:val="000000"/>
          <w:sz w:val="22"/>
        </w:rPr>
        <w:t xml:space="preserve"> the review is marked reviewed, the effective bucket updates, and an audit entry is written with your identity, the timestamp, the resolution, and your rationale.</w:t>
      </w:r>
    </w:p>
    <w:p>
      <w:pPr>
        <w:spacing w:after="120" w:before="0"/>
      </w:pPr>
      <w:r>
        <w:rPr>
          <w:rFonts w:ascii="Calibri" w:hAnsi="Calibri"/>
          <w:b/>
          <w:color w:val="000000"/>
          <w:sz w:val="22"/>
        </w:rPr>
        <w:t>If something is wrong:</w:t>
      </w:r>
      <w:r>
        <w:rPr>
          <w:rFonts w:ascii="Calibri" w:hAnsi="Calibri"/>
          <w:b w:val="0"/>
          <w:color w:val="000000"/>
          <w:sz w:val="22"/>
        </w:rPr>
        <w:t xml:space="preserve"> if you cannot form a defensible rationale, do not resolve the record. Escalate it.</w:t>
      </w:r>
    </w:p>
    <w:p>
      <w:pPr>
        <w:pStyle w:val="Heading3"/>
        <w:keepNext/>
        <w:spacing w:before="200" w:after="120"/>
        <w:outlineLvl w:val="2"/>
      </w:pPr>
      <w:r>
        <w:rPr>
          <w:rFonts w:ascii="Calibri" w:hAnsi="Calibri"/>
          <w:b/>
          <w:color w:val="003087"/>
          <w:sz w:val="23"/>
        </w:rPr>
        <w:t>Step 8 — Submit or escalate</w:t>
      </w:r>
    </w:p>
    <w:p>
      <w:pPr>
        <w:spacing w:after="120" w:before="0"/>
      </w:pPr>
      <w:r>
        <w:rPr>
          <w:rFonts w:ascii="Calibri" w:hAnsi="Calibri"/>
          <w:b/>
          <w:color w:val="000000"/>
          <w:sz w:val="22"/>
        </w:rPr>
        <w:t>Action:</w:t>
      </w:r>
      <w:r>
        <w:rPr>
          <w:rFonts w:ascii="Calibri" w:hAnsi="Calibri"/>
          <w:b w:val="0"/>
          <w:color w:val="000000"/>
          <w:sz w:val="22"/>
        </w:rPr>
        <w:t xml:space="preserve"> escalate B4 findings and active exclusions to senior analyst or Tier 3. Escalate anything outside your authority or your confidence.</w:t>
      </w:r>
    </w:p>
    <w:p>
      <w:pPr>
        <w:spacing w:after="120" w:before="0"/>
      </w:pPr>
      <w:r>
        <w:rPr>
          <w:rFonts w:ascii="Calibri" w:hAnsi="Calibri"/>
          <w:b/>
          <w:color w:val="000000"/>
          <w:sz w:val="22"/>
        </w:rPr>
        <w:t>Expected result:</w:t>
      </w:r>
      <w:r>
        <w:rPr>
          <w:rFonts w:ascii="Calibri" w:hAnsi="Calibri"/>
          <w:b w:val="0"/>
          <w:color w:val="000000"/>
          <w:sz w:val="22"/>
        </w:rPr>
        <w:t xml:space="preserve"> the record moves to the escalation queue and leaves your list.</w:t>
      </w:r>
    </w:p>
    <w:p>
      <w:pPr>
        <w:pStyle w:val="Heading3"/>
        <w:keepNext/>
        <w:spacing w:before="200" w:after="120"/>
        <w:outlineLvl w:val="2"/>
      </w:pPr>
      <w:r>
        <w:rPr>
          <w:rFonts w:ascii="Calibri" w:hAnsi="Calibri"/>
          <w:b/>
          <w:color w:val="003087"/>
          <w:sz w:val="23"/>
        </w:rPr>
        <w:t>Step 9 — End-of-day review</w:t>
      </w:r>
    </w:p>
    <w:p>
      <w:pPr>
        <w:spacing w:after="120" w:before="0"/>
      </w:pPr>
      <w:r>
        <w:rPr>
          <w:rFonts w:ascii="Calibri" w:hAnsi="Calibri"/>
          <w:b/>
          <w:color w:val="000000"/>
          <w:sz w:val="22"/>
        </w:rPr>
        <w:t>Where:</w:t>
      </w:r>
      <w:r>
        <w:rPr>
          <w:rFonts w:ascii="Calibri" w:hAnsi="Calibri"/>
          <w:b w:val="0"/>
          <w:color w:val="000000"/>
          <w:sz w:val="22"/>
        </w:rPr>
        <w:t xml:space="preserve"> Mission Control.</w:t>
      </w:r>
    </w:p>
    <w:p>
      <w:pPr>
        <w:spacing w:after="120" w:before="0"/>
      </w:pPr>
      <w:r>
        <w:rPr>
          <w:rFonts w:ascii="Calibri" w:hAnsi="Calibri"/>
          <w:b/>
          <w:color w:val="000000"/>
          <w:sz w:val="22"/>
        </w:rPr>
        <w:t>Action:</w:t>
      </w:r>
      <w:r>
        <w:rPr>
          <w:rFonts w:ascii="Calibri" w:hAnsi="Calibri"/>
          <w:b w:val="0"/>
          <w:color w:val="000000"/>
          <w:sz w:val="22"/>
        </w:rPr>
        <w:t xml:space="preserve"> confirm nothing you touched is left half-finished, and check whether anything became overdue during the day.</w:t>
      </w:r>
    </w:p>
    <w:p>
      <w:pPr>
        <w:spacing w:after="120" w:before="0"/>
      </w:pPr>
      <w:r>
        <w:rPr>
          <w:rFonts w:ascii="Calibri" w:hAnsi="Calibri"/>
          <w:b/>
          <w:color w:val="000000"/>
          <w:sz w:val="22"/>
        </w:rPr>
        <w:t>Expected result:</w:t>
      </w:r>
      <w:r>
        <w:rPr>
          <w:rFonts w:ascii="Calibri" w:hAnsi="Calibri"/>
          <w:b w:val="0"/>
          <w:color w:val="000000"/>
          <w:sz w:val="22"/>
        </w:rPr>
        <w:t xml:space="preserve"> your queue reflects the day's work and every decision carries a rationale.</w:t>
      </w:r>
    </w:p>
    <w:p>
      <w:pPr>
        <w:pStyle w:val="Heading2"/>
        <w:keepNext/>
        <w:spacing w:before="200" w:after="120"/>
        <w:outlineLvl w:val="1"/>
      </w:pPr>
      <w:r>
        <w:rPr>
          <w:rFonts w:ascii="Calibri" w:hAnsi="Calibri"/>
          <w:b/>
          <w:color w:val="003087"/>
          <w:sz w:val="25"/>
        </w:rPr>
        <w:t>9.3 Senior analyst — daily</w:t>
      </w:r>
    </w:p>
    <w:p>
      <w:pPr>
        <w:pStyle w:val="ListNumber"/>
        <w:spacing w:after="40"/>
      </w:pPr>
      <w:r>
        <w:rPr>
          <w:rFonts w:ascii="Calibri" w:hAnsi="Calibri"/>
          <w:b w:val="0"/>
          <w:color w:val="000000"/>
          <w:sz w:val="21"/>
        </w:rPr>
        <w:t>Clear the B3 escalation queue first; these are the records the rules could not explain.</w:t>
      </w:r>
    </w:p>
    <w:p>
      <w:pPr>
        <w:pStyle w:val="ListNumber"/>
        <w:spacing w:after="40"/>
      </w:pPr>
      <w:r>
        <w:rPr>
          <w:rFonts w:ascii="Calibri" w:hAnsi="Calibri"/>
          <w:b w:val="0"/>
          <w:color w:val="000000"/>
          <w:sz w:val="21"/>
        </w:rPr>
        <w:t>Adjudicate bucket disputes raised by reviewers.</w:t>
      </w:r>
    </w:p>
    <w:p>
      <w:pPr>
        <w:pStyle w:val="ListNumber"/>
        <w:spacing w:after="40"/>
      </w:pPr>
      <w:r>
        <w:rPr>
          <w:rFonts w:ascii="Calibri" w:hAnsi="Calibri"/>
          <w:b w:val="0"/>
          <w:color w:val="000000"/>
          <w:sz w:val="21"/>
        </w:rPr>
        <w:t>Review inter-rater agreement in QA Operations; raise systematic divergence with the QA lead rather than correcting reviewers case by case.</w:t>
      </w:r>
    </w:p>
    <w:p>
      <w:pPr>
        <w:pStyle w:val="ListNumber"/>
        <w:spacing w:after="40"/>
      </w:pPr>
      <w:r>
        <w:rPr>
          <w:rFonts w:ascii="Calibri" w:hAnsi="Calibri"/>
          <w:b w:val="0"/>
          <w:color w:val="000000"/>
          <w:sz w:val="21"/>
        </w:rPr>
        <w:t>Apply bucket overrides only with a recorded rationale.</w:t>
      </w:r>
    </w:p>
    <w:p>
      <w:pPr>
        <w:pStyle w:val="Heading2"/>
        <w:keepNext/>
        <w:spacing w:before="200" w:after="120"/>
        <w:outlineLvl w:val="1"/>
      </w:pPr>
      <w:r>
        <w:rPr>
          <w:rFonts w:ascii="Calibri" w:hAnsi="Calibri"/>
          <w:b/>
          <w:color w:val="003087"/>
          <w:sz w:val="25"/>
        </w:rPr>
        <w:t>9.4 QA lead — daily</w:t>
      </w:r>
    </w:p>
    <w:p>
      <w:pPr>
        <w:pStyle w:val="ListNumber"/>
        <w:spacing w:after="40"/>
      </w:pPr>
      <w:r>
        <w:rPr>
          <w:rFonts w:ascii="Calibri" w:hAnsi="Calibri"/>
          <w:b w:val="0"/>
          <w:color w:val="000000"/>
          <w:sz w:val="21"/>
        </w:rPr>
        <w:t>Open QA Operations and read the QA score and alerts.</w:t>
      </w:r>
    </w:p>
    <w:p>
      <w:pPr>
        <w:pStyle w:val="ListNumber"/>
        <w:spacing w:after="40"/>
      </w:pPr>
      <w:r>
        <w:rPr>
          <w:rFonts w:ascii="Calibri" w:hAnsi="Calibri"/>
          <w:b w:val="0"/>
          <w:color w:val="000000"/>
          <w:sz w:val="21"/>
        </w:rPr>
        <w:t>Run the gates that apply to today's stage: evidence completeness, internal consistency, sampling validation, inter-rater agreement, SLA.</w:t>
      </w:r>
    </w:p>
    <w:p>
      <w:pPr>
        <w:pStyle w:val="ListNumber"/>
        <w:spacing w:after="40"/>
      </w:pPr>
      <w:r>
        <w:rPr>
          <w:rFonts w:ascii="Calibri" w:hAnsi="Calibri"/>
          <w:b w:val="0"/>
          <w:color w:val="000000"/>
          <w:sz w:val="21"/>
        </w:rPr>
        <w:t>Investigate every failed gate before the deliverable stage is reached.</w:t>
      </w:r>
    </w:p>
    <w:p>
      <w:pPr>
        <w:pStyle w:val="ListNumber"/>
        <w:spacing w:after="40"/>
      </w:pPr>
      <w:r>
        <w:rPr>
          <w:rFonts w:ascii="Calibri" w:hAnsi="Calibri"/>
          <w:b w:val="0"/>
          <w:color w:val="000000"/>
          <w:sz w:val="21"/>
        </w:rPr>
        <w:t xml:space="preserve">Run the </w:t>
      </w:r>
      <w:r>
        <w:rPr>
          <w:rFonts w:ascii="Calibri" w:hAnsi="Calibri"/>
          <w:b/>
          <w:color w:val="000000"/>
          <w:sz w:val="21"/>
        </w:rPr>
        <w:t>report gate</w:t>
      </w:r>
      <w:r>
        <w:rPr>
          <w:rFonts w:ascii="Calibri" w:hAnsi="Calibri"/>
          <w:b w:val="0"/>
          <w:color w:val="000000"/>
          <w:sz w:val="21"/>
        </w:rPr>
        <w:t xml:space="preserve"> before any deliverable is generated. A failed report gate blocks the deliverable — that is the gate working correctly.</w:t>
      </w:r>
    </w:p>
    <w:p>
      <w:pPr>
        <w:pStyle w:val="Heading2"/>
        <w:keepNext/>
        <w:spacing w:before="200" w:after="120"/>
        <w:outlineLvl w:val="1"/>
      </w:pPr>
      <w:r>
        <w:rPr>
          <w:rFonts w:ascii="Calibri" w:hAnsi="Calibri"/>
          <w:b/>
          <w:color w:val="003087"/>
          <w:sz w:val="25"/>
        </w:rPr>
        <w:t>9.5 Programme manager — daily</w:t>
      </w:r>
    </w:p>
    <w:p>
      <w:pPr>
        <w:pStyle w:val="ListNumber"/>
        <w:spacing w:after="40"/>
      </w:pPr>
      <w:r>
        <w:rPr>
          <w:rFonts w:ascii="Calibri" w:hAnsi="Calibri"/>
          <w:b w:val="0"/>
          <w:color w:val="000000"/>
          <w:sz w:val="21"/>
        </w:rPr>
        <w:t>Confirm cycle progress against schedule on Mission Control.</w:t>
      </w:r>
    </w:p>
    <w:p>
      <w:pPr>
        <w:pStyle w:val="ListNumber"/>
        <w:spacing w:after="40"/>
      </w:pPr>
      <w:r>
        <w:rPr>
          <w:rFonts w:ascii="Calibri" w:hAnsi="Calibri"/>
          <w:b w:val="0"/>
          <w:color w:val="000000"/>
          <w:sz w:val="21"/>
        </w:rPr>
        <w:t>Review overdue volume and its trend.</w:t>
      </w:r>
    </w:p>
    <w:p>
      <w:pPr>
        <w:pStyle w:val="ListNumber"/>
        <w:spacing w:after="40"/>
      </w:pPr>
      <w:r>
        <w:rPr>
          <w:rFonts w:ascii="Calibri" w:hAnsi="Calibri"/>
          <w:b w:val="0"/>
          <w:color w:val="000000"/>
          <w:sz w:val="21"/>
        </w:rPr>
        <w:t>Confirm the QA report gate has passed before generating any deliverable.</w:t>
      </w:r>
    </w:p>
    <w:p>
      <w:pPr>
        <w:pStyle w:val="ListNumber"/>
        <w:spacing w:after="40"/>
      </w:pPr>
      <w:r>
        <w:rPr>
          <w:rFonts w:ascii="Calibri" w:hAnsi="Calibri"/>
          <w:b w:val="0"/>
          <w:color w:val="000000"/>
          <w:sz w:val="21"/>
        </w:rPr>
        <w:t>Handle COR-directed priority reviews the day they arrive.</w:t>
      </w:r>
    </w:p>
    <w:p>
      <w:pPr>
        <w:pStyle w:val="Heading2"/>
        <w:keepNext/>
        <w:spacing w:before="200" w:after="120"/>
        <w:outlineLvl w:val="1"/>
      </w:pPr>
      <w:r>
        <w:rPr>
          <w:rFonts w:ascii="Calibri" w:hAnsi="Calibri"/>
          <w:b/>
          <w:color w:val="003087"/>
          <w:sz w:val="25"/>
        </w:rPr>
        <w:t>9.6 Administrator — daily</w:t>
      </w:r>
    </w:p>
    <w:p>
      <w:pPr>
        <w:spacing w:after="120" w:before="0"/>
      </w:pPr>
      <w:r>
        <w:rPr>
          <w:rFonts w:ascii="Calibri" w:hAnsi="Calibri"/>
          <w:b w:val="0"/>
          <w:color w:val="000000"/>
          <w:sz w:val="22"/>
        </w:rPr>
        <w:t>See Section 18.</w:t>
      </w:r>
    </w:p>
    <w:p>
      <w:r>
        <w:br w:type="page"/>
      </w:r>
    </w:p>
    <w:p>
      <w:pPr>
        <w:pStyle w:val="Heading1"/>
        <w:keepNext/>
        <w:spacing w:before="280" w:after="120"/>
        <w:outlineLvl w:val="0"/>
      </w:pPr>
      <w:r>
        <w:rPr>
          <w:rFonts w:ascii="Calibri" w:hAnsi="Calibri"/>
          <w:b/>
          <w:color w:val="003087"/>
          <w:sz w:val="28"/>
        </w:rPr>
        <w:t>10. Entity Review — Step-by-Step</w:t>
      </w:r>
    </w:p>
    <w:p>
      <w:pPr>
        <w:pStyle w:val="Heading2"/>
        <w:keepNext/>
        <w:spacing w:before="200" w:after="120"/>
        <w:outlineLvl w:val="1"/>
      </w:pPr>
      <w:r>
        <w:rPr>
          <w:rFonts w:ascii="Calibri" w:hAnsi="Calibri"/>
          <w:b/>
          <w:color w:val="003087"/>
          <w:sz w:val="25"/>
        </w:rPr>
        <w:t>10.1 Opening a review</w:t>
      </w:r>
    </w:p>
    <w:p>
      <w:pPr>
        <w:spacing w:after="120" w:before="0"/>
      </w:pPr>
      <w:r>
        <w:rPr>
          <w:rFonts w:ascii="Calibri" w:hAnsi="Calibri"/>
          <w:b/>
          <w:color w:val="000000"/>
          <w:sz w:val="22"/>
        </w:rPr>
        <w:t>Where:</w:t>
      </w:r>
      <w:r>
        <w:rPr>
          <w:rFonts w:ascii="Calibri" w:hAnsi="Calibri"/>
          <w:b w:val="0"/>
          <w:color w:val="000000"/>
          <w:sz w:val="22"/>
        </w:rPr>
        <w:t xml:space="preserve"> Entity Reviews (</w:t>
      </w:r>
      <w:r>
        <w:rPr>
          <w:rFonts w:ascii="Consolas" w:hAnsi="Consolas"/>
          <w:color w:val="000000"/>
          <w:sz w:val="22"/>
        </w:rPr>
        <w:t>/tefca-arc/reviews</w:t>
      </w:r>
      <w:r>
        <w:rPr>
          <w:rFonts w:ascii="Calibri" w:hAnsi="Calibri"/>
          <w:b w:val="0"/>
          <w:color w:val="000000"/>
          <w:sz w:val="22"/>
        </w:rPr>
        <w:t>) → click the entity row.</w:t>
      </w:r>
    </w:p>
    <w:p>
      <w:pPr>
        <w:spacing w:after="120" w:before="0"/>
      </w:pPr>
      <w:r>
        <w:rPr>
          <w:rFonts w:ascii="Calibri" w:hAnsi="Calibri"/>
          <w:b w:val="0"/>
          <w:color w:val="000000"/>
          <w:sz w:val="22"/>
        </w:rPr>
        <w:t>The detail view presents four things: the entity as submitted, the verification results per source, the classification the engine produced, and the resolution controls.</w:t>
      </w:r>
    </w:p>
    <w:p>
      <w:pPr>
        <w:pStyle w:val="Heading2"/>
        <w:keepNext/>
        <w:spacing w:before="200" w:after="120"/>
        <w:outlineLvl w:val="1"/>
      </w:pPr>
      <w:r>
        <w:rPr>
          <w:rFonts w:ascii="Calibri" w:hAnsi="Calibri"/>
          <w:b/>
          <w:color w:val="003087"/>
          <w:sz w:val="25"/>
        </w:rPr>
        <w:t>10.2 Reading the submitted entity</w:t>
      </w:r>
    </w:p>
    <w:p>
      <w:pPr>
        <w:spacing w:after="120" w:before="0"/>
      </w:pPr>
      <w:r>
        <w:rPr>
          <w:rFonts w:ascii="Calibri" w:hAnsi="Calibri"/>
          <w:b w:val="0"/>
          <w:color w:val="000000"/>
          <w:sz w:val="22"/>
        </w:rPr>
        <w:t>Check these fields first, because they determine what can be verified at all: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Field</w:t>
            </w:r>
          </w:p>
        </w:tc>
        <w:tc>
          <w:tcPr>
            <w:tcW w:type="dxa" w:w="4680"/>
            <w:shd w:val="clear" w:color="auto" w:fill="003087"/>
          </w:tcPr>
          <w:p>
            <w:pPr>
              <w:spacing w:after="40" w:before="40"/>
            </w:pPr>
            <w:r>
              <w:rPr>
                <w:rFonts w:ascii="Calibri" w:hAnsi="Calibri"/>
                <w:b/>
                <w:color w:val="FFFFFF"/>
                <w:sz w:val="20"/>
              </w:rPr>
              <w:t>Why it matters</w:t>
            </w:r>
          </w:p>
        </w:tc>
      </w:tr>
      <w:tr>
        <w:tc>
          <w:tcPr>
            <w:tcW w:type="dxa" w:w="4680"/>
          </w:tcPr>
          <w:p>
            <w:pPr>
              <w:spacing w:after="40" w:before="40"/>
            </w:pPr>
            <w:r>
              <w:rPr>
                <w:rFonts w:ascii="Calibri" w:hAnsi="Calibri"/>
                <w:b/>
                <w:color w:val="000000"/>
                <w:sz w:val="20"/>
              </w:rPr>
              <w:t>Legal name</w:t>
            </w:r>
          </w:p>
        </w:tc>
        <w:tc>
          <w:tcPr>
            <w:tcW w:type="dxa" w:w="4680"/>
          </w:tcPr>
          <w:p>
            <w:pPr>
              <w:spacing w:after="40" w:before="40"/>
            </w:pPr>
            <w:r>
              <w:rPr>
                <w:rFonts w:ascii="Calibri" w:hAnsi="Calibri"/>
                <w:b w:val="0"/>
                <w:color w:val="000000"/>
                <w:sz w:val="20"/>
              </w:rPr>
              <w:t>The basis of name matching against NPPES</w:t>
            </w:r>
          </w:p>
        </w:tc>
      </w:tr>
      <w:tr>
        <w:tc>
          <w:tcPr>
            <w:tcW w:type="dxa" w:w="4680"/>
            <w:shd w:val="clear" w:color="auto" w:fill="F2F5FA"/>
          </w:tcPr>
          <w:p>
            <w:pPr>
              <w:spacing w:after="40" w:before="40"/>
            </w:pPr>
            <w:r>
              <w:rPr>
                <w:rFonts w:ascii="Calibri" w:hAnsi="Calibri"/>
                <w:b/>
                <w:color w:val="000000"/>
                <w:sz w:val="20"/>
              </w:rPr>
              <w:t>NPI</w:t>
            </w:r>
          </w:p>
        </w:tc>
        <w:tc>
          <w:tcPr>
            <w:tcW w:type="dxa" w:w="4680"/>
            <w:shd w:val="clear" w:color="auto" w:fill="F2F5FA"/>
          </w:tcPr>
          <w:p>
            <w:pPr>
              <w:spacing w:after="40" w:before="40"/>
            </w:pPr>
            <w:r>
              <w:rPr>
                <w:rFonts w:ascii="Calibri" w:hAnsi="Calibri"/>
                <w:b w:val="0"/>
                <w:color w:val="000000"/>
                <w:sz w:val="20"/>
              </w:rPr>
              <w:t>The primary key for every source lookup. Missing NPI means most checks cannot run</w:t>
            </w:r>
          </w:p>
        </w:tc>
      </w:tr>
      <w:tr>
        <w:tc>
          <w:tcPr>
            <w:tcW w:type="dxa" w:w="4680"/>
          </w:tcPr>
          <w:p>
            <w:pPr>
              <w:spacing w:after="40" w:before="40"/>
            </w:pPr>
            <w:r>
              <w:rPr>
                <w:rFonts w:ascii="Calibri" w:hAnsi="Calibri"/>
                <w:b/>
                <w:color w:val="000000"/>
                <w:sz w:val="20"/>
              </w:rPr>
              <w:t>Address</w:t>
            </w:r>
          </w:p>
        </w:tc>
        <w:tc>
          <w:tcPr>
            <w:tcW w:type="dxa" w:w="4680"/>
          </w:tcPr>
          <w:p>
            <w:pPr>
              <w:spacing w:after="40" w:before="40"/>
            </w:pPr>
            <w:r>
              <w:rPr>
                <w:rFonts w:ascii="Calibri" w:hAnsi="Calibri"/>
                <w:b w:val="0"/>
                <w:color w:val="000000"/>
                <w:sz w:val="20"/>
              </w:rPr>
              <w:t>Cross-referenced against NPPES; normalized before comparison</w:t>
            </w:r>
          </w:p>
        </w:tc>
      </w:tr>
      <w:tr>
        <w:tc>
          <w:tcPr>
            <w:tcW w:type="dxa" w:w="4680"/>
            <w:shd w:val="clear" w:color="auto" w:fill="F2F5FA"/>
          </w:tcPr>
          <w:p>
            <w:pPr>
              <w:spacing w:after="40" w:before="40"/>
            </w:pPr>
            <w:r>
              <w:rPr>
                <w:rFonts w:ascii="Calibri" w:hAnsi="Calibri"/>
                <w:b/>
                <w:color w:val="000000"/>
                <w:sz w:val="20"/>
              </w:rPr>
              <w:t>Entity type</w:t>
            </w:r>
          </w:p>
        </w:tc>
        <w:tc>
          <w:tcPr>
            <w:tcW w:type="dxa" w:w="4680"/>
            <w:shd w:val="clear" w:color="auto" w:fill="F2F5FA"/>
          </w:tcPr>
          <w:p>
            <w:pPr>
              <w:spacing w:after="40" w:before="40"/>
            </w:pPr>
            <w:r>
              <w:rPr>
                <w:rFonts w:ascii="Calibri" w:hAnsi="Calibri"/>
                <w:b w:val="0"/>
                <w:color w:val="000000"/>
                <w:sz w:val="20"/>
              </w:rPr>
              <w:t>Compared against the NPPES taxonomy classification</w:t>
            </w:r>
          </w:p>
        </w:tc>
      </w:tr>
      <w:tr>
        <w:tc>
          <w:tcPr>
            <w:tcW w:type="dxa" w:w="4680"/>
          </w:tcPr>
          <w:p>
            <w:pPr>
              <w:spacing w:after="40" w:before="40"/>
            </w:pPr>
            <w:r>
              <w:rPr>
                <w:rFonts w:ascii="Calibri" w:hAnsi="Calibri"/>
                <w:b/>
                <w:color w:val="000000"/>
                <w:sz w:val="20"/>
              </w:rPr>
              <w:t>TEFCA identifiers</w:t>
            </w:r>
          </w:p>
        </w:tc>
        <w:tc>
          <w:tcPr>
            <w:tcW w:type="dxa" w:w="4680"/>
          </w:tcPr>
          <w:p>
            <w:pPr>
              <w:spacing w:after="40" w:before="40"/>
            </w:pPr>
            <w:r>
              <w:rPr>
                <w:rFonts w:ascii="Calibri" w:hAnsi="Calibri"/>
                <w:b w:val="0"/>
                <w:color w:val="000000"/>
                <w:sz w:val="20"/>
              </w:rPr>
              <w:t>TEFCAID and HCID; used for registry integrity</w:t>
            </w:r>
          </w:p>
        </w:tc>
      </w:tr>
      <w:tr>
        <w:tc>
          <w:tcPr>
            <w:tcW w:type="dxa" w:w="4680"/>
            <w:shd w:val="clear" w:color="auto" w:fill="F2F5FA"/>
          </w:tcPr>
          <w:p>
            <w:pPr>
              <w:spacing w:after="40" w:before="40"/>
            </w:pPr>
            <w:r>
              <w:rPr>
                <w:rFonts w:ascii="Calibri" w:hAnsi="Calibri"/>
                <w:b/>
                <w:color w:val="000000"/>
                <w:sz w:val="20"/>
              </w:rPr>
              <w:t>Entity level</w:t>
            </w:r>
          </w:p>
        </w:tc>
        <w:tc>
          <w:tcPr>
            <w:tcW w:type="dxa" w:w="4680"/>
            <w:shd w:val="clear" w:color="auto" w:fill="F2F5FA"/>
          </w:tcPr>
          <w:p>
            <w:pPr>
              <w:spacing w:after="40" w:before="40"/>
            </w:pPr>
            <w:r>
              <w:rPr>
                <w:rFonts w:ascii="Calibri" w:hAnsi="Calibri"/>
                <w:b w:val="0"/>
                <w:color w:val="000000"/>
                <w:sz w:val="20"/>
              </w:rPr>
              <w:t>QHIN, Participant, Subparticipant — determines hierarchy expectations</w:t>
            </w:r>
          </w:p>
        </w:tc>
      </w:tr>
    </w:tbl>
    <w:p>
      <w:pPr>
        <w:spacing w:after="80"/>
      </w:pPr>
    </w:p>
    <w:p>
      <w:pPr>
        <w:pStyle w:val="Heading2"/>
        <w:keepNext/>
        <w:spacing w:before="200" w:after="120"/>
        <w:outlineLvl w:val="1"/>
      </w:pPr>
      <w:r>
        <w:rPr>
          <w:rFonts w:ascii="Calibri" w:hAnsi="Calibri"/>
          <w:b/>
          <w:color w:val="003087"/>
          <w:sz w:val="25"/>
        </w:rPr>
        <w:t>10.3 Running verification</w:t>
      </w:r>
    </w:p>
    <w:p>
      <w:pPr>
        <w:spacing w:after="120" w:before="0"/>
      </w:pPr>
      <w:r>
        <w:rPr>
          <w:rFonts w:ascii="Calibri" w:hAnsi="Calibri"/>
          <w:b/>
          <w:color w:val="000000"/>
          <w:sz w:val="22"/>
        </w:rPr>
        <w:t>Action:</w:t>
      </w:r>
      <w:r>
        <w:rPr>
          <w:rFonts w:ascii="Calibri" w:hAnsi="Calibri"/>
          <w:b w:val="0"/>
          <w:color w:val="000000"/>
          <w:sz w:val="22"/>
        </w:rPr>
        <w:t xml:space="preserve"> use the verify control on the entity.</w:t>
      </w:r>
    </w:p>
    <w:p>
      <w:pPr>
        <w:spacing w:after="120" w:before="0"/>
      </w:pPr>
      <w:r>
        <w:rPr>
          <w:rFonts w:ascii="Calibri" w:hAnsi="Calibri"/>
          <w:b/>
          <w:color w:val="000000"/>
          <w:sz w:val="22"/>
        </w:rPr>
        <w:t>What happens:</w:t>
      </w:r>
      <w:r>
        <w:rPr>
          <w:rFonts w:ascii="Calibri" w:hAnsi="Calibri"/>
          <w:b w:val="0"/>
          <w:color w:val="000000"/>
          <w:sz w:val="22"/>
        </w:rPr>
        <w:t xml:space="preserve"> the platform queries NPPES, the Medicare enrollment indicator, and OIG LEIE concurrently, with per-source timeouts and bounded retries. SAM.gov is attempted but is currently non-functional upstream.</w:t>
      </w:r>
    </w:p>
    <w:p>
      <w:pPr>
        <w:spacing w:after="120" w:before="0"/>
      </w:pPr>
      <w:r>
        <w:rPr>
          <w:rFonts w:ascii="Calibri" w:hAnsi="Calibri"/>
          <w:b/>
          <w:color w:val="000000"/>
          <w:sz w:val="22"/>
        </w:rPr>
        <w:t>Expected result:</w:t>
      </w:r>
      <w:r>
        <w:rPr>
          <w:rFonts w:ascii="Calibri" w:hAnsi="Calibri"/>
          <w:b w:val="0"/>
          <w:color w:val="000000"/>
          <w:sz w:val="22"/>
        </w:rPr>
        <w:t xml:space="preserve"> a five-state result for every source, plus a coverage note.</w:t>
      </w:r>
    </w:p>
    <w:p>
      <w:pPr>
        <w:pStyle w:val="Heading2"/>
        <w:keepNext/>
        <w:spacing w:before="200" w:after="120"/>
        <w:outlineLvl w:val="1"/>
      </w:pPr>
      <w:r>
        <w:rPr>
          <w:rFonts w:ascii="Calibri" w:hAnsi="Calibri"/>
          <w:b/>
          <w:color w:val="003087"/>
          <w:sz w:val="25"/>
        </w:rPr>
        <w:t>10.4 Reading the evidence — the part that matters most</w:t>
      </w:r>
    </w:p>
    <w:p>
      <w:pPr>
        <w:spacing w:after="120" w:before="0"/>
      </w:pPr>
      <w:r>
        <w:rPr>
          <w:rFonts w:ascii="Calibri" w:hAnsi="Calibri"/>
          <w:b w:val="0"/>
          <w:color w:val="000000"/>
          <w:sz w:val="22"/>
        </w:rPr>
        <w:t>For each source you will see one of five states: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State</w:t>
            </w:r>
          </w:p>
        </w:tc>
        <w:tc>
          <w:tcPr>
            <w:tcW w:type="dxa" w:w="3120"/>
            <w:shd w:val="clear" w:color="auto" w:fill="003087"/>
          </w:tcPr>
          <w:p>
            <w:pPr>
              <w:spacing w:after="40" w:before="40"/>
            </w:pPr>
            <w:r>
              <w:rPr>
                <w:rFonts w:ascii="Calibri" w:hAnsi="Calibri"/>
                <w:b/>
                <w:color w:val="FFFFFF"/>
                <w:sz w:val="20"/>
              </w:rPr>
              <w:t>Meaning</w:t>
            </w:r>
          </w:p>
        </w:tc>
        <w:tc>
          <w:tcPr>
            <w:tcW w:type="dxa" w:w="3120"/>
            <w:shd w:val="clear" w:color="auto" w:fill="003087"/>
          </w:tcPr>
          <w:p>
            <w:pPr>
              <w:spacing w:after="40" w:before="40"/>
            </w:pPr>
            <w:r>
              <w:rPr>
                <w:rFonts w:ascii="Calibri" w:hAnsi="Calibri"/>
                <w:b/>
                <w:color w:val="FFFFFF"/>
                <w:sz w:val="20"/>
              </w:rPr>
              <w:t>Counts against the entity?</w:t>
            </w:r>
          </w:p>
        </w:tc>
      </w:tr>
      <w:tr>
        <w:tc>
          <w:tcPr>
            <w:tcW w:type="dxa" w:w="3120"/>
          </w:tcPr>
          <w:p>
            <w:pPr>
              <w:spacing w:after="40" w:before="40"/>
            </w:pPr>
            <w:r>
              <w:rPr>
                <w:rFonts w:ascii="Calibri" w:hAnsi="Calibri"/>
                <w:b/>
                <w:color w:val="000000"/>
                <w:sz w:val="20"/>
              </w:rPr>
              <w:t>verified</w:t>
            </w:r>
          </w:p>
        </w:tc>
        <w:tc>
          <w:tcPr>
            <w:tcW w:type="dxa" w:w="3120"/>
          </w:tcPr>
          <w:p>
            <w:pPr>
              <w:spacing w:after="40" w:before="40"/>
            </w:pPr>
            <w:r>
              <w:rPr>
                <w:rFonts w:ascii="Calibri" w:hAnsi="Calibri"/>
                <w:b w:val="0"/>
                <w:color w:val="000000"/>
                <w:sz w:val="20"/>
              </w:rPr>
              <w:t>The source has the record and it matches</w:t>
            </w:r>
          </w:p>
        </w:tc>
        <w:tc>
          <w:tcPr>
            <w:tcW w:type="dxa" w:w="3120"/>
          </w:tcPr>
          <w:p>
            <w:pPr>
              <w:spacing w:after="40" w:before="40"/>
            </w:pPr>
            <w:r>
              <w:rPr>
                <w:rFonts w:ascii="Calibri" w:hAnsi="Calibri"/>
                <w:b w:val="0"/>
                <w:color w:val="000000"/>
                <w:sz w:val="20"/>
              </w:rPr>
              <w:t>No — this is the good outcome</w:t>
            </w:r>
          </w:p>
        </w:tc>
      </w:tr>
      <w:tr>
        <w:tc>
          <w:tcPr>
            <w:tcW w:type="dxa" w:w="3120"/>
            <w:shd w:val="clear" w:color="auto" w:fill="F2F5FA"/>
          </w:tcPr>
          <w:p>
            <w:pPr>
              <w:spacing w:after="40" w:before="40"/>
            </w:pPr>
            <w:r>
              <w:rPr>
                <w:rFonts w:ascii="Calibri" w:hAnsi="Calibri"/>
                <w:b/>
                <w:color w:val="000000"/>
                <w:sz w:val="20"/>
              </w:rPr>
              <w:t>not_found</w:t>
            </w:r>
          </w:p>
        </w:tc>
        <w:tc>
          <w:tcPr>
            <w:tcW w:type="dxa" w:w="3120"/>
            <w:shd w:val="clear" w:color="auto" w:fill="F2F5FA"/>
          </w:tcPr>
          <w:p>
            <w:pPr>
              <w:spacing w:after="40" w:before="40"/>
            </w:pPr>
            <w:r>
              <w:rPr>
                <w:rFonts w:ascii="Calibri" w:hAnsi="Calibri"/>
                <w:b w:val="0"/>
                <w:color w:val="000000"/>
                <w:sz w:val="20"/>
              </w:rPr>
              <w:t>The source answered, and does not have this record</w:t>
            </w:r>
          </w:p>
        </w:tc>
        <w:tc>
          <w:tcPr>
            <w:tcW w:type="dxa" w:w="3120"/>
            <w:shd w:val="clear" w:color="auto" w:fill="F2F5FA"/>
          </w:tcPr>
          <w:p>
            <w:pPr>
              <w:spacing w:after="40" w:before="40"/>
            </w:pPr>
            <w:r>
              <w:rPr>
                <w:rFonts w:ascii="Calibri" w:hAnsi="Calibri"/>
                <w:b/>
                <w:color w:val="000000"/>
                <w:sz w:val="20"/>
              </w:rPr>
              <w:t>Yes</w:t>
            </w:r>
            <w:r>
              <w:rPr>
                <w:rFonts w:ascii="Calibri" w:hAnsi="Calibri"/>
                <w:b w:val="0"/>
                <w:color w:val="000000"/>
                <w:sz w:val="20"/>
              </w:rPr>
              <w:t xml:space="preserve"> — this is a statement about the entity</w:t>
            </w:r>
          </w:p>
        </w:tc>
      </w:tr>
      <w:tr>
        <w:tc>
          <w:tcPr>
            <w:tcW w:type="dxa" w:w="3120"/>
          </w:tcPr>
          <w:p>
            <w:pPr>
              <w:spacing w:after="40" w:before="40"/>
            </w:pPr>
            <w:r>
              <w:rPr>
                <w:rFonts w:ascii="Calibri" w:hAnsi="Calibri"/>
                <w:b/>
                <w:color w:val="000000"/>
                <w:sz w:val="20"/>
              </w:rPr>
              <w:t>unavailable</w:t>
            </w:r>
          </w:p>
        </w:tc>
        <w:tc>
          <w:tcPr>
            <w:tcW w:type="dxa" w:w="3120"/>
          </w:tcPr>
          <w:p>
            <w:pPr>
              <w:spacing w:after="40" w:before="40"/>
            </w:pPr>
            <w:r>
              <w:rPr>
                <w:rFonts w:ascii="Calibri" w:hAnsi="Calibri"/>
                <w:b w:val="0"/>
                <w:color w:val="000000"/>
                <w:sz w:val="20"/>
              </w:rPr>
              <w:t>The source did not answer</w:t>
            </w:r>
          </w:p>
        </w:tc>
        <w:tc>
          <w:tcPr>
            <w:tcW w:type="dxa" w:w="3120"/>
          </w:tcPr>
          <w:p>
            <w:pPr>
              <w:spacing w:after="40" w:before="40"/>
            </w:pPr>
            <w:r>
              <w:rPr>
                <w:rFonts w:ascii="Calibri" w:hAnsi="Calibri"/>
                <w:b/>
                <w:color w:val="000000"/>
                <w:sz w:val="20"/>
              </w:rPr>
              <w:t>No</w:t>
            </w:r>
            <w:r>
              <w:rPr>
                <w:rFonts w:ascii="Calibri" w:hAnsi="Calibri"/>
                <w:b w:val="0"/>
                <w:color w:val="000000"/>
                <w:sz w:val="20"/>
              </w:rPr>
              <w:t xml:space="preserve"> — this is a statement about the source</w:t>
            </w:r>
          </w:p>
        </w:tc>
      </w:tr>
      <w:tr>
        <w:tc>
          <w:tcPr>
            <w:tcW w:type="dxa" w:w="3120"/>
            <w:shd w:val="clear" w:color="auto" w:fill="F2F5FA"/>
          </w:tcPr>
          <w:p>
            <w:pPr>
              <w:spacing w:after="40" w:before="40"/>
            </w:pPr>
            <w:r>
              <w:rPr>
                <w:rFonts w:ascii="Calibri" w:hAnsi="Calibri"/>
                <w:b/>
                <w:color w:val="000000"/>
                <w:sz w:val="20"/>
              </w:rPr>
              <w:t>not_checked</w:t>
            </w:r>
          </w:p>
        </w:tc>
        <w:tc>
          <w:tcPr>
            <w:tcW w:type="dxa" w:w="3120"/>
            <w:shd w:val="clear" w:color="auto" w:fill="F2F5FA"/>
          </w:tcPr>
          <w:p>
            <w:pPr>
              <w:spacing w:after="40" w:before="40"/>
            </w:pPr>
            <w:r>
              <w:rPr>
                <w:rFonts w:ascii="Calibri" w:hAnsi="Calibri"/>
                <w:b w:val="0"/>
                <w:color w:val="000000"/>
                <w:sz w:val="20"/>
              </w:rPr>
              <w:t>No connector, or the connector is not operational, with a stated reason</w:t>
            </w:r>
          </w:p>
        </w:tc>
        <w:tc>
          <w:tcPr>
            <w:tcW w:type="dxa" w:w="3120"/>
            <w:shd w:val="clear" w:color="auto" w:fill="F2F5FA"/>
          </w:tcPr>
          <w:p>
            <w:pPr>
              <w:spacing w:after="40" w:before="40"/>
            </w:pPr>
            <w:r>
              <w:rPr>
                <w:rFonts w:ascii="Calibri" w:hAnsi="Calibri"/>
                <w:b w:val="0"/>
                <w:color w:val="000000"/>
                <w:sz w:val="20"/>
              </w:rPr>
              <w:t>No — a disclosed gap</w:t>
            </w:r>
          </w:p>
        </w:tc>
      </w:tr>
      <w:tr>
        <w:tc>
          <w:tcPr>
            <w:tcW w:type="dxa" w:w="3120"/>
          </w:tcPr>
          <w:p>
            <w:pPr>
              <w:spacing w:after="40" w:before="40"/>
            </w:pPr>
            <w:r>
              <w:rPr>
                <w:rFonts w:ascii="Calibri" w:hAnsi="Calibri"/>
                <w:b/>
                <w:color w:val="000000"/>
                <w:sz w:val="20"/>
              </w:rPr>
              <w:t>failed</w:t>
            </w:r>
          </w:p>
        </w:tc>
        <w:tc>
          <w:tcPr>
            <w:tcW w:type="dxa" w:w="3120"/>
          </w:tcPr>
          <w:p>
            <w:pPr>
              <w:spacing w:after="40" w:before="40"/>
            </w:pPr>
            <w:r>
              <w:rPr>
                <w:rFonts w:ascii="Calibri" w:hAnsi="Calibri"/>
                <w:b w:val="0"/>
                <w:color w:val="000000"/>
                <w:sz w:val="20"/>
              </w:rPr>
              <w:t>The call errored</w:t>
            </w:r>
          </w:p>
        </w:tc>
        <w:tc>
          <w:tcPr>
            <w:tcW w:type="dxa" w:w="3120"/>
          </w:tcPr>
          <w:p>
            <w:pPr>
              <w:spacing w:after="40" w:before="40"/>
            </w:pPr>
            <w:r>
              <w:rPr>
                <w:rFonts w:ascii="Calibri" w:hAnsi="Calibri"/>
                <w:b w:val="0"/>
                <w:color w:val="000000"/>
                <w:sz w:val="20"/>
              </w:rPr>
              <w:t>No — investigate the platform</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THE DISTINCTION THAT MATTERS MOST</w:t>
            </w:r>
          </w:p>
          <w:p>
            <w:pPr>
              <w:spacing w:after="0" w:before="0"/>
            </w:pPr>
            <w:r>
              <w:rPr>
                <w:rFonts w:ascii="Consolas" w:hAnsi="Consolas"/>
                <w:color w:val="000000"/>
                <w:sz w:val="21"/>
              </w:rPr>
              <w:t>not_found</w:t>
            </w:r>
            <w:r>
              <w:rPr>
                <w:rFonts w:ascii="Calibri" w:hAnsi="Calibri"/>
                <w:b w:val="0"/>
                <w:color w:val="000000"/>
                <w:sz w:val="21"/>
              </w:rPr>
              <w:t xml:space="preserve"> and </w:t>
            </w:r>
            <w:r>
              <w:rPr>
                <w:rFonts w:ascii="Consolas" w:hAnsi="Consolas"/>
                <w:color w:val="000000"/>
                <w:sz w:val="21"/>
              </w:rPr>
              <w:t>unavailable</w:t>
            </w:r>
            <w:r>
              <w:rPr>
                <w:rFonts w:ascii="Calibri" w:hAnsi="Calibri"/>
                <w:b w:val="0"/>
                <w:color w:val="000000"/>
                <w:sz w:val="21"/>
              </w:rPr>
              <w:t xml:space="preserve"> look similar and mean opposite things. </w:t>
            </w:r>
            <w:r>
              <w:rPr>
                <w:rFonts w:ascii="Consolas" w:hAnsi="Consolas"/>
                <w:color w:val="000000"/>
                <w:sz w:val="21"/>
              </w:rPr>
              <w:t>not_found</w:t>
            </w:r>
            <w:r>
              <w:rPr>
                <w:rFonts w:ascii="Calibri" w:hAnsi="Calibri"/>
                <w:b w:val="0"/>
                <w:color w:val="000000"/>
                <w:sz w:val="21"/>
              </w:rPr>
              <w:t xml:space="preserve"> means the federal source answered and does not have this organization — that is evidence against the entity. </w:t>
            </w:r>
            <w:r>
              <w:rPr>
                <w:rFonts w:ascii="Consolas" w:hAnsi="Consolas"/>
                <w:color w:val="000000"/>
                <w:sz w:val="21"/>
              </w:rPr>
              <w:t>unavailable</w:t>
            </w:r>
            <w:r>
              <w:rPr>
                <w:rFonts w:ascii="Calibri" w:hAnsi="Calibri"/>
                <w:b w:val="0"/>
                <w:color w:val="000000"/>
                <w:sz w:val="21"/>
              </w:rPr>
              <w:t xml:space="preserve"> means the federal source did not answer — that is a gap in your evidence and says nothing about the entity. Never treat </w:t>
            </w:r>
            <w:r>
              <w:rPr>
                <w:rFonts w:ascii="Consolas" w:hAnsi="Consolas"/>
                <w:color w:val="000000"/>
                <w:sz w:val="21"/>
              </w:rPr>
              <w:t>unavailable</w:t>
            </w:r>
            <w:r>
              <w:rPr>
                <w:rFonts w:ascii="Calibri" w:hAnsi="Calibri"/>
                <w:b w:val="0"/>
                <w:color w:val="000000"/>
                <w:sz w:val="21"/>
              </w:rPr>
              <w:t xml:space="preserve"> as </w:t>
            </w:r>
            <w:r>
              <w:rPr>
                <w:rFonts w:ascii="Consolas" w:hAnsi="Consolas"/>
                <w:color w:val="000000"/>
                <w:sz w:val="21"/>
              </w:rPr>
              <w:t>not_found</w:t>
            </w:r>
            <w:r>
              <w:rPr>
                <w:rFonts w:ascii="Calibri" w:hAnsi="Calibri"/>
                <w:b w:val="0"/>
                <w:color w:val="000000"/>
                <w:sz w:val="21"/>
              </w:rPr>
              <w:t>, and never treat either as verified.</w:t>
            </w:r>
          </w:p>
        </w:tc>
      </w:tr>
    </w:tbl>
    <w:p>
      <w:pPr>
        <w:spacing w:after="80"/>
      </w:pPr>
    </w:p>
    <w:p>
      <w:pPr>
        <w:spacing w:after="120" w:before="0"/>
      </w:pPr>
      <w:r>
        <w:rPr>
          <w:rFonts w:ascii="Calibri" w:hAnsi="Calibri"/>
          <w:b w:val="0"/>
          <w:color w:val="000000"/>
          <w:sz w:val="22"/>
        </w:rPr>
        <w:t xml:space="preserve">Then read the </w:t>
      </w:r>
      <w:r>
        <w:rPr>
          <w:rFonts w:ascii="Calibri" w:hAnsi="Calibri"/>
          <w:b/>
          <w:color w:val="000000"/>
          <w:sz w:val="22"/>
        </w:rPr>
        <w:t>coverage note</w:t>
      </w:r>
      <w:r>
        <w:rPr>
          <w:rFonts w:ascii="Calibri" w:hAnsi="Calibri"/>
          <w:b w:val="0"/>
          <w:color w:val="000000"/>
          <w:sz w:val="22"/>
        </w:rPr>
        <w:t>, which states in plain language how many implemented sources were checked, which were unavailable, which were not checked and why, and which are not implemented at all. Only implemented connectors count toward coverage; roadmap gaps are reported separately so a review is never penalized for a connector that does not exist.</w:t>
      </w:r>
    </w:p>
    <w:p>
      <w:pPr>
        <w:pStyle w:val="Heading2"/>
        <w:keepNext/>
        <w:spacing w:before="200" w:after="120"/>
        <w:outlineLvl w:val="1"/>
      </w:pPr>
      <w:r>
        <w:rPr>
          <w:rFonts w:ascii="Calibri" w:hAnsi="Calibri"/>
          <w:b/>
          <w:color w:val="003087"/>
          <w:sz w:val="25"/>
        </w:rPr>
        <w:t>10.5 Understanding the classification</w:t>
      </w:r>
    </w:p>
    <w:p>
      <w:pPr>
        <w:spacing w:after="120" w:before="0"/>
      </w:pPr>
      <w:r>
        <w:rPr>
          <w:rFonts w:ascii="Calibri" w:hAnsi="Calibri"/>
          <w:b w:val="0"/>
          <w:color w:val="000000"/>
          <w:sz w:val="22"/>
        </w:rPr>
        <w:t xml:space="preserve">The engine compares fields, produces finding codes, and assigns a bucket. </w:t>
      </w:r>
      <w:r>
        <w:rPr>
          <w:rFonts w:ascii="Calibri" w:hAnsi="Calibri"/>
          <w:b/>
          <w:color w:val="000000"/>
          <w:sz w:val="22"/>
        </w:rPr>
        <w:t>The worst finding wins</w:t>
      </w:r>
      <w:r>
        <w:rPr>
          <w:rFonts w:ascii="Calibri" w:hAnsi="Calibri"/>
          <w:b w:val="0"/>
          <w:color w:val="000000"/>
          <w:sz w:val="22"/>
        </w:rPr>
        <w:t xml:space="preserve"> — a single B4 finding makes the entity B4 regardless of how many checks passed.</w:t>
      </w:r>
    </w:p>
    <w:p>
      <w:pPr>
        <w:spacing w:after="120" w:before="0"/>
      </w:pPr>
      <w:r>
        <w:rPr>
          <w:rFonts w:ascii="Calibri" w:hAnsi="Calibri"/>
          <w:b w:val="0"/>
          <w:color w:val="000000"/>
          <w:sz w:val="22"/>
        </w:rPr>
        <w:t xml:space="preserve">Then the coverage test runs. If any required source was unavailable, the record is marked </w:t>
      </w:r>
      <w:r>
        <w:rPr>
          <w:rFonts w:ascii="Calibri" w:hAnsi="Calibri"/>
          <w:b/>
          <w:color w:val="000000"/>
          <w:sz w:val="22"/>
        </w:rPr>
        <w:t>Indeterminate</w:t>
      </w:r>
      <w:r>
        <w:rPr>
          <w:rFonts w:ascii="Calibri" w:hAnsi="Calibri"/>
          <w:b w:val="0"/>
          <w:color w:val="000000"/>
          <w:sz w:val="22"/>
        </w:rPr>
        <w:t>, auto-classification is disabled, and the label becomes "Indeterminate — Source Unavailable" with the reason attached.</w:t>
      </w:r>
    </w:p>
    <w:p>
      <w:pPr>
        <w:spacing w:after="120" w:before="0"/>
      </w:pPr>
      <w:r>
        <w:rPr>
          <w:rFonts w:ascii="Calibri" w:hAnsi="Calibri"/>
          <w:b w:val="0"/>
          <w:color w:val="000000"/>
          <w:sz w:val="22"/>
        </w:rPr>
        <w:t>Finally the record is routed to a tier: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Tier</w:t>
            </w:r>
          </w:p>
        </w:tc>
        <w:tc>
          <w:tcPr>
            <w:tcW w:type="dxa" w:w="3120"/>
            <w:shd w:val="clear" w:color="auto" w:fill="003087"/>
          </w:tcPr>
          <w:p>
            <w:pPr>
              <w:spacing w:after="40" w:before="40"/>
            </w:pPr>
            <w:r>
              <w:rPr>
                <w:rFonts w:ascii="Calibri" w:hAnsi="Calibri"/>
                <w:b/>
                <w:color w:val="FFFFFF"/>
                <w:sz w:val="20"/>
              </w:rPr>
              <w:t>When</w:t>
            </w:r>
          </w:p>
        </w:tc>
        <w:tc>
          <w:tcPr>
            <w:tcW w:type="dxa" w:w="3120"/>
            <w:shd w:val="clear" w:color="auto" w:fill="003087"/>
          </w:tcPr>
          <w:p>
            <w:pPr>
              <w:spacing w:after="40" w:before="40"/>
            </w:pPr>
            <w:r>
              <w:rPr>
                <w:rFonts w:ascii="Calibri" w:hAnsi="Calibri"/>
                <w:b/>
                <w:color w:val="FFFFFF"/>
                <w:sz w:val="20"/>
              </w:rPr>
              <w:t>Meaning</w:t>
            </w:r>
          </w:p>
        </w:tc>
      </w:tr>
      <w:tr>
        <w:tc>
          <w:tcPr>
            <w:tcW w:type="dxa" w:w="3120"/>
          </w:tcPr>
          <w:p>
            <w:pPr>
              <w:spacing w:after="40" w:before="40"/>
            </w:pPr>
            <w:r>
              <w:rPr>
                <w:rFonts w:ascii="Calibri" w:hAnsi="Calibri"/>
                <w:b/>
                <w:color w:val="000000"/>
                <w:sz w:val="20"/>
              </w:rPr>
              <w:t>Tier 1</w:t>
            </w:r>
          </w:p>
        </w:tc>
        <w:tc>
          <w:tcPr>
            <w:tcW w:type="dxa" w:w="3120"/>
          </w:tcPr>
          <w:p>
            <w:pPr>
              <w:spacing w:after="40" w:before="40"/>
            </w:pPr>
            <w:r>
              <w:rPr>
                <w:rFonts w:ascii="Calibri" w:hAnsi="Calibri"/>
                <w:b w:val="0"/>
                <w:color w:val="000000"/>
                <w:sz w:val="20"/>
              </w:rPr>
              <w:t>B1, confidence 0.95 or above, full coverage</w:t>
            </w:r>
          </w:p>
        </w:tc>
        <w:tc>
          <w:tcPr>
            <w:tcW w:type="dxa" w:w="3120"/>
          </w:tcPr>
          <w:p>
            <w:pPr>
              <w:spacing w:after="40" w:before="40"/>
            </w:pPr>
            <w:r>
              <w:rPr>
                <w:rFonts w:ascii="Calibri" w:hAnsi="Calibri"/>
                <w:b w:val="0"/>
                <w:color w:val="000000"/>
                <w:sz w:val="20"/>
              </w:rPr>
              <w:t>Auto-complete — no human needed</w:t>
            </w:r>
          </w:p>
        </w:tc>
      </w:tr>
      <w:tr>
        <w:tc>
          <w:tcPr>
            <w:tcW w:type="dxa" w:w="3120"/>
            <w:shd w:val="clear" w:color="auto" w:fill="F2F5FA"/>
          </w:tcPr>
          <w:p>
            <w:pPr>
              <w:spacing w:after="40" w:before="40"/>
            </w:pPr>
            <w:r>
              <w:rPr>
                <w:rFonts w:ascii="Calibri" w:hAnsi="Calibri"/>
                <w:b/>
                <w:color w:val="000000"/>
                <w:sz w:val="20"/>
              </w:rPr>
              <w:t>Tier 2</w:t>
            </w:r>
          </w:p>
        </w:tc>
        <w:tc>
          <w:tcPr>
            <w:tcW w:type="dxa" w:w="3120"/>
            <w:shd w:val="clear" w:color="auto" w:fill="F2F5FA"/>
          </w:tcPr>
          <w:p>
            <w:pPr>
              <w:spacing w:after="40" w:before="40"/>
            </w:pPr>
            <w:r>
              <w:rPr>
                <w:rFonts w:ascii="Calibri" w:hAnsi="Calibri"/>
                <w:b w:val="0"/>
                <w:color w:val="000000"/>
                <w:sz w:val="20"/>
              </w:rPr>
              <w:t>B2, B3, Indeterminate, or B1 below the confidence threshold</w:t>
            </w:r>
          </w:p>
        </w:tc>
        <w:tc>
          <w:tcPr>
            <w:tcW w:type="dxa" w:w="3120"/>
            <w:shd w:val="clear" w:color="auto" w:fill="F2F5FA"/>
          </w:tcPr>
          <w:p>
            <w:pPr>
              <w:spacing w:after="40" w:before="40"/>
            </w:pPr>
            <w:r>
              <w:rPr>
                <w:rFonts w:ascii="Calibri" w:hAnsi="Calibri"/>
                <w:b w:val="0"/>
                <w:color w:val="000000"/>
                <w:sz w:val="20"/>
              </w:rPr>
              <w:t>Analyst review</w:t>
            </w:r>
          </w:p>
        </w:tc>
      </w:tr>
      <w:tr>
        <w:tc>
          <w:tcPr>
            <w:tcW w:type="dxa" w:w="3120"/>
          </w:tcPr>
          <w:p>
            <w:pPr>
              <w:spacing w:after="40" w:before="40"/>
            </w:pPr>
            <w:r>
              <w:rPr>
                <w:rFonts w:ascii="Calibri" w:hAnsi="Calibri"/>
                <w:b/>
                <w:color w:val="000000"/>
                <w:sz w:val="20"/>
              </w:rPr>
              <w:t>Tier 3</w:t>
            </w:r>
          </w:p>
        </w:tc>
        <w:tc>
          <w:tcPr>
            <w:tcW w:type="dxa" w:w="3120"/>
          </w:tcPr>
          <w:p>
            <w:pPr>
              <w:spacing w:after="40" w:before="40"/>
            </w:pPr>
            <w:r>
              <w:rPr>
                <w:rFonts w:ascii="Calibri" w:hAnsi="Calibri"/>
                <w:b w:val="0"/>
                <w:color w:val="000000"/>
                <w:sz w:val="20"/>
              </w:rPr>
              <w:t>B4</w:t>
            </w:r>
          </w:p>
        </w:tc>
        <w:tc>
          <w:tcPr>
            <w:tcW w:type="dxa" w:w="3120"/>
          </w:tcPr>
          <w:p>
            <w:pPr>
              <w:spacing w:after="40" w:before="40"/>
            </w:pPr>
            <w:r>
              <w:rPr>
                <w:rFonts w:ascii="Calibri" w:hAnsi="Calibri"/>
                <w:b w:val="0"/>
                <w:color w:val="000000"/>
                <w:sz w:val="20"/>
              </w:rPr>
              <w:t>Escalation</w:t>
            </w:r>
          </w:p>
        </w:tc>
      </w:tr>
    </w:tbl>
    <w:p>
      <w:pPr>
        <w:spacing w:after="80"/>
      </w:pPr>
    </w:p>
    <w:p>
      <w:pPr>
        <w:pStyle w:val="Heading2"/>
        <w:keepNext/>
        <w:spacing w:before="200" w:after="120"/>
        <w:outlineLvl w:val="1"/>
      </w:pPr>
      <w:r>
        <w:rPr>
          <w:rFonts w:ascii="Calibri" w:hAnsi="Calibri"/>
          <w:b/>
          <w:color w:val="003087"/>
          <w:sz w:val="25"/>
        </w:rPr>
        <w:t>10.6 Making your determination</w:t>
      </w:r>
    </w:p>
    <w:p>
      <w:pPr>
        <w:spacing w:after="120" w:before="0"/>
      </w:pPr>
      <w:r>
        <w:rPr>
          <w:rFonts w:ascii="Calibri" w:hAnsi="Calibri"/>
          <w:b/>
          <w:color w:val="000000"/>
          <w:sz w:val="22"/>
        </w:rPr>
        <w:t>Where:</w:t>
      </w:r>
      <w:r>
        <w:rPr>
          <w:rFonts w:ascii="Calibri" w:hAnsi="Calibri"/>
          <w:b w:val="0"/>
          <w:color w:val="000000"/>
          <w:sz w:val="22"/>
        </w:rPr>
        <w:t xml:space="preserve"> the Resolution section of the entity detail view.</w:t>
      </w:r>
    </w:p>
    <w:p>
      <w:pPr>
        <w:spacing w:after="120" w:before="0"/>
      </w:pPr>
      <w:r>
        <w:rPr>
          <w:rFonts w:ascii="Calibri" w:hAnsi="Calibri"/>
          <w:b w:val="0"/>
          <w:color w:val="000000"/>
          <w:sz w:val="22"/>
        </w:rPr>
        <w:t>Two outcomes are available:</w:t>
      </w:r>
    </w:p>
    <w:p>
      <w:pPr>
        <w:pStyle w:val="ListNumber"/>
        <w:spacing w:after="40"/>
      </w:pPr>
      <w:r>
        <w:rPr>
          <w:rFonts w:ascii="Calibri" w:hAnsi="Calibri"/>
          <w:b/>
          <w:color w:val="000000"/>
          <w:sz w:val="21"/>
        </w:rPr>
        <w:t>Confirm</w:t>
      </w:r>
      <w:r>
        <w:rPr>
          <w:rFonts w:ascii="Calibri" w:hAnsi="Calibri"/>
          <w:b w:val="0"/>
          <w:color w:val="000000"/>
          <w:sz w:val="21"/>
        </w:rPr>
        <w:t xml:space="preserve"> — you agree with the engine's classification. Confirming is itself a finding, not the absence of one, and it requires a rationale.</w:t>
      </w:r>
    </w:p>
    <w:p>
      <w:pPr>
        <w:pStyle w:val="ListNumber"/>
        <w:spacing w:after="40"/>
      </w:pPr>
      <w:r>
        <w:rPr>
          <w:rFonts w:ascii="Calibri" w:hAnsi="Calibri"/>
          <w:b/>
          <w:color w:val="000000"/>
          <w:sz w:val="21"/>
        </w:rPr>
        <w:t>Reclassify</w:t>
      </w:r>
      <w:r>
        <w:rPr>
          <w:rFonts w:ascii="Calibri" w:hAnsi="Calibri"/>
          <w:b w:val="0"/>
          <w:color w:val="000000"/>
          <w:sz w:val="21"/>
        </w:rPr>
        <w:t xml:space="preserve"> — you disagree. Select B1, B2, B3, or B4 and state why.</w:t>
      </w:r>
    </w:p>
    <w:p>
      <w:pPr>
        <w:spacing w:after="120" w:before="0"/>
      </w:pPr>
      <w:r>
        <w:rPr>
          <w:rFonts w:ascii="Calibri" w:hAnsi="Calibri"/>
          <w:b/>
          <w:color w:val="000000"/>
          <w:sz w:val="22"/>
        </w:rPr>
        <w:t>The rationale is mandatory in both cases.</w:t>
      </w:r>
      <w:r>
        <w:rPr>
          <w:rFonts w:ascii="Calibri" w:hAnsi="Calibri"/>
          <w:b w:val="0"/>
          <w:color w:val="000000"/>
          <w:sz w:val="22"/>
        </w:rPr>
        <w:t xml:space="preserve"> Write it for a reader a year from now who has none of today's context. State which sources you relied on, what they said, and why that leads to your conclusion.</w:t>
      </w:r>
    </w:p>
    <w:p>
      <w:pPr>
        <w:spacing w:after="120" w:before="0"/>
      </w:pPr>
      <w:r>
        <w:rPr>
          <w:rFonts w:ascii="Calibri" w:hAnsi="Calibri"/>
          <w:b/>
          <w:color w:val="000000"/>
          <w:sz w:val="22"/>
        </w:rPr>
        <w:t>What is recorded:</w:t>
      </w:r>
      <w:r>
        <w:rPr>
          <w:rFonts w:ascii="Calibri" w:hAnsi="Calibri"/>
          <w:b w:val="0"/>
          <w:color w:val="000000"/>
          <w:sz w:val="22"/>
        </w:rPr>
        <w:t xml:space="preserve"> your identity, your IP address, the timestamp, the resolution type, the reclassified bucket if any, and your rationale. The sampled entity's status becomes </w:t>
      </w:r>
      <w:r>
        <w:rPr>
          <w:rFonts w:ascii="Consolas" w:hAnsi="Consolas"/>
          <w:color w:val="000000"/>
          <w:sz w:val="22"/>
        </w:rPr>
        <w:t>reviewed</w:t>
      </w:r>
      <w:r>
        <w:rPr>
          <w:rFonts w:ascii="Calibri" w:hAnsi="Calibri"/>
          <w:b w:val="0"/>
          <w:color w:val="000000"/>
          <w:sz w:val="22"/>
        </w:rPr>
        <w:t xml:space="preserve"> and its effective bucket updates to your decision.</w:t>
      </w:r>
    </w:p>
    <w:p>
      <w:pPr>
        <w:pStyle w:val="Heading2"/>
        <w:keepNext/>
        <w:spacing w:before="200" w:after="120"/>
        <w:outlineLvl w:val="1"/>
      </w:pPr>
      <w:r>
        <w:rPr>
          <w:rFonts w:ascii="Calibri" w:hAnsi="Calibri"/>
          <w:b/>
          <w:color w:val="003087"/>
          <w:sz w:val="25"/>
        </w:rPr>
        <w:t>10.7 What good rationale looks like</w:t>
      </w:r>
    </w:p>
    <w:p>
      <w:pPr>
        <w:spacing w:after="120" w:before="0"/>
      </w:pPr>
      <w:r>
        <w:rPr>
          <w:rFonts w:ascii="Calibri" w:hAnsi="Calibri"/>
          <w:b/>
          <w:color w:val="000000"/>
          <w:sz w:val="22"/>
        </w:rPr>
        <w:t>Adequate:</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"NPPES confirms NPI 1234567893 active, Type 2, legal name 'Riverbend Regional Medical Center'. Submitted name 'Riverbend Regional Med Ctr' scores 0.94 after abbreviation normalization — an abbreviation difference, not a different organization. LEIE returned no exclusion. Address matches after Publication 28 normalization (suite designator only). SAM unavailable, so no federal registration evidence — noted, not counted against the entity. Confirming B2 on the abbreviation finding."</w:t>
            </w:r>
          </w:p>
        </w:tc>
      </w:tr>
    </w:tbl>
    <w:p>
      <w:pPr>
        <w:spacing w:after="80"/>
      </w:pPr>
    </w:p>
    <w:p>
      <w:pPr>
        <w:spacing w:after="120" w:before="0"/>
      </w:pPr>
      <w:r>
        <w:rPr>
          <w:rFonts w:ascii="Calibri" w:hAnsi="Calibri"/>
          <w:b/>
          <w:color w:val="000000"/>
          <w:sz w:val="22"/>
        </w:rPr>
        <w:t>Not adequate:</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"Looks fine." — states no evidence, names no source, and cannot be reviewed by QA.</w:t>
            </w:r>
          </w:p>
        </w:tc>
      </w:tr>
    </w:tbl>
    <w:p>
      <w:pPr>
        <w:spacing w:after="80"/>
      </w:pPr>
    </w:p>
    <w:p>
      <w:r>
        <w:br w:type="page"/>
      </w:r>
    </w:p>
    <w:p>
      <w:pPr>
        <w:pStyle w:val="Heading1"/>
        <w:keepNext/>
        <w:spacing w:before="280" w:after="120"/>
        <w:outlineLvl w:val="0"/>
      </w:pPr>
      <w:r>
        <w:rPr>
          <w:rFonts w:ascii="Calibri" w:hAnsi="Calibri"/>
          <w:b/>
          <w:color w:val="003087"/>
          <w:sz w:val="28"/>
        </w:rPr>
        <w:t>11. Verification Services and Data Sources</w:t>
      </w:r>
    </w:p>
    <w:p>
      <w:pPr>
        <w:pStyle w:val="Heading2"/>
        <w:keepNext/>
        <w:spacing w:before="200" w:after="120"/>
        <w:outlineLvl w:val="1"/>
      </w:pPr>
      <w:r>
        <w:rPr>
          <w:rFonts w:ascii="Calibri" w:hAnsi="Calibri"/>
          <w:b/>
          <w:color w:val="003087"/>
          <w:sz w:val="25"/>
        </w:rPr>
        <w:t>11.1 The verification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Service</w:t>
            </w:r>
          </w:p>
        </w:tc>
        <w:tc>
          <w:tcPr>
            <w:tcW w:type="dxa" w:w="3120"/>
            <w:shd w:val="clear" w:color="auto" w:fill="003087"/>
          </w:tcPr>
          <w:p>
            <w:pPr>
              <w:spacing w:after="40" w:before="40"/>
            </w:pPr>
            <w:r>
              <w:rPr>
                <w:rFonts w:ascii="Calibri" w:hAnsi="Calibri"/>
                <w:b/>
                <w:color w:val="FFFFFF"/>
                <w:sz w:val="20"/>
              </w:rPr>
              <w:t>Status</w:t>
            </w:r>
          </w:p>
        </w:tc>
        <w:tc>
          <w:tcPr>
            <w:tcW w:type="dxa" w:w="3120"/>
            <w:shd w:val="clear" w:color="auto" w:fill="003087"/>
          </w:tcPr>
          <w:p>
            <w:pPr>
              <w:spacing w:after="40" w:before="40"/>
            </w:pPr>
            <w:r>
              <w:rPr>
                <w:rFonts w:ascii="Calibri" w:hAnsi="Calibri"/>
                <w:b/>
                <w:color w:val="FFFFFF"/>
                <w:sz w:val="20"/>
              </w:rPr>
              <w:t>What it does</w:t>
            </w:r>
          </w:p>
        </w:tc>
      </w:tr>
      <w:tr>
        <w:tc>
          <w:tcPr>
            <w:tcW w:type="dxa" w:w="3120"/>
          </w:tcPr>
          <w:p>
            <w:pPr>
              <w:spacing w:after="40" w:before="40"/>
            </w:pPr>
            <w:r>
              <w:rPr>
                <w:rFonts w:ascii="Calibri" w:hAnsi="Calibri"/>
                <w:b/>
                <w:color w:val="000000"/>
                <w:sz w:val="20"/>
              </w:rPr>
              <w:t>NPI Verification</w:t>
            </w:r>
          </w:p>
        </w:tc>
        <w:tc>
          <w:tcPr>
            <w:tcW w:type="dxa" w:w="3120"/>
          </w:tcPr>
          <w:p>
            <w:pPr>
              <w:spacing w:after="40" w:before="40"/>
            </w:pPr>
            <w:r>
              <w:rPr>
                <w:rFonts w:ascii="Calibri" w:hAnsi="Calibri"/>
                <w:b/>
                <w:color w:val="000000"/>
                <w:sz w:val="20"/>
              </w:rPr>
              <w:t>Active</w:t>
            </w:r>
          </w:p>
        </w:tc>
        <w:tc>
          <w:tcPr>
            <w:tcW w:type="dxa" w:w="3120"/>
          </w:tcPr>
          <w:p>
            <w:pPr>
              <w:spacing w:after="40" w:before="40"/>
            </w:pPr>
            <w:r>
              <w:rPr>
                <w:rFonts w:ascii="Calibri" w:hAnsi="Calibri"/>
                <w:b w:val="0"/>
                <w:color w:val="000000"/>
                <w:sz w:val="20"/>
              </w:rPr>
              <w:t>Confirms the NPI exists in NPPES, is active rather than deactivated, is the correct type (Type 1 individual / Type 2 organization), and validates the check digit locally before querying</w:t>
            </w:r>
          </w:p>
        </w:tc>
      </w:tr>
      <w:tr>
        <w:tc>
          <w:tcPr>
            <w:tcW w:type="dxa" w:w="3120"/>
            <w:shd w:val="clear" w:color="auto" w:fill="F2F5FA"/>
          </w:tcPr>
          <w:p>
            <w:pPr>
              <w:spacing w:after="40" w:before="40"/>
            </w:pPr>
            <w:r>
              <w:rPr>
                <w:rFonts w:ascii="Calibri" w:hAnsi="Calibri"/>
                <w:b/>
                <w:color w:val="000000"/>
                <w:sz w:val="20"/>
              </w:rPr>
              <w:t>Name Matching</w:t>
            </w:r>
          </w:p>
        </w:tc>
        <w:tc>
          <w:tcPr>
            <w:tcW w:type="dxa" w:w="3120"/>
            <w:shd w:val="clear" w:color="auto" w:fill="F2F5FA"/>
          </w:tcPr>
          <w:p>
            <w:pPr>
              <w:spacing w:after="40" w:before="40"/>
            </w:pPr>
            <w:r>
              <w:rPr>
                <w:rFonts w:ascii="Calibri" w:hAnsi="Calibri"/>
                <w:b/>
                <w:color w:val="000000"/>
                <w:sz w:val="20"/>
              </w:rPr>
              <w:t>Active</w:t>
            </w:r>
          </w:p>
        </w:tc>
        <w:tc>
          <w:tcPr>
            <w:tcW w:type="dxa" w:w="3120"/>
            <w:shd w:val="clear" w:color="auto" w:fill="F2F5FA"/>
          </w:tcPr>
          <w:p>
            <w:pPr>
              <w:spacing w:after="40" w:before="40"/>
            </w:pPr>
            <w:r>
              <w:rPr>
                <w:rFonts w:ascii="Calibri" w:hAnsi="Calibri"/>
                <w:b w:val="0"/>
                <w:color w:val="000000"/>
                <w:sz w:val="20"/>
              </w:rPr>
              <w:t>Normalizes both names and scores their similarity; classifies any difference into an abbreviation, punctuation, DBA, or genuine-difference finding</w:t>
            </w:r>
          </w:p>
        </w:tc>
      </w:tr>
      <w:tr>
        <w:tc>
          <w:tcPr>
            <w:tcW w:type="dxa" w:w="3120"/>
          </w:tcPr>
          <w:p>
            <w:pPr>
              <w:spacing w:after="40" w:before="40"/>
            </w:pPr>
            <w:r>
              <w:rPr>
                <w:rFonts w:ascii="Calibri" w:hAnsi="Calibri"/>
                <w:b/>
                <w:color w:val="000000"/>
                <w:sz w:val="20"/>
              </w:rPr>
              <w:t>Address Cross-Reference</w:t>
            </w:r>
          </w:p>
        </w:tc>
        <w:tc>
          <w:tcPr>
            <w:tcW w:type="dxa" w:w="3120"/>
          </w:tcPr>
          <w:p>
            <w:pPr>
              <w:spacing w:after="40" w:before="40"/>
            </w:pPr>
            <w:r>
              <w:rPr>
                <w:rFonts w:ascii="Calibri" w:hAnsi="Calibri"/>
                <w:b/>
                <w:color w:val="000000"/>
                <w:sz w:val="20"/>
              </w:rPr>
              <w:t>Active</w:t>
            </w:r>
          </w:p>
        </w:tc>
        <w:tc>
          <w:tcPr>
            <w:tcW w:type="dxa" w:w="3120"/>
          </w:tcPr>
          <w:p>
            <w:pPr>
              <w:spacing w:after="40" w:before="40"/>
            </w:pPr>
            <w:r>
              <w:rPr>
                <w:rFonts w:ascii="Calibri" w:hAnsi="Calibri"/>
                <w:b w:val="0"/>
                <w:color w:val="000000"/>
                <w:sz w:val="20"/>
              </w:rPr>
              <w:t>Normalizes both addresses to USPS Publication 28 form and compares state, ZIP, and street core; optionally standardizes against the USPS API</w:t>
            </w:r>
          </w:p>
        </w:tc>
      </w:tr>
      <w:tr>
        <w:tc>
          <w:tcPr>
            <w:tcW w:type="dxa" w:w="3120"/>
            <w:shd w:val="clear" w:color="auto" w:fill="F2F5FA"/>
          </w:tcPr>
          <w:p>
            <w:pPr>
              <w:spacing w:after="40" w:before="40"/>
            </w:pPr>
            <w:r>
              <w:rPr>
                <w:rFonts w:ascii="Calibri" w:hAnsi="Calibri"/>
                <w:b/>
                <w:color w:val="000000"/>
                <w:sz w:val="20"/>
              </w:rPr>
              <w:t>Exclusion Screening</w:t>
            </w:r>
          </w:p>
        </w:tc>
        <w:tc>
          <w:tcPr>
            <w:tcW w:type="dxa" w:w="3120"/>
            <w:shd w:val="clear" w:color="auto" w:fill="F2F5FA"/>
          </w:tcPr>
          <w:p>
            <w:pPr>
              <w:spacing w:after="40" w:before="40"/>
            </w:pPr>
            <w:r>
              <w:rPr>
                <w:rFonts w:ascii="Calibri" w:hAnsi="Calibri"/>
                <w:b/>
                <w:color w:val="000000"/>
                <w:sz w:val="20"/>
              </w:rPr>
              <w:t>Active</w:t>
            </w:r>
          </w:p>
        </w:tc>
        <w:tc>
          <w:tcPr>
            <w:tcW w:type="dxa" w:w="3120"/>
            <w:shd w:val="clear" w:color="auto" w:fill="F2F5FA"/>
          </w:tcPr>
          <w:p>
            <w:pPr>
              <w:spacing w:after="40" w:before="40"/>
            </w:pPr>
            <w:r>
              <w:rPr>
                <w:rFonts w:ascii="Calibri" w:hAnsi="Calibri"/>
                <w:b w:val="0"/>
                <w:color w:val="000000"/>
                <w:sz w:val="20"/>
              </w:rPr>
              <w:t>Checks OIG LEIE for active exclusions and for historical exclusions with confirmed reinstatement</w:t>
            </w:r>
          </w:p>
        </w:tc>
      </w:tr>
      <w:tr>
        <w:tc>
          <w:tcPr>
            <w:tcW w:type="dxa" w:w="3120"/>
          </w:tcPr>
          <w:p>
            <w:pPr>
              <w:spacing w:after="40" w:before="40"/>
            </w:pPr>
            <w:r>
              <w:rPr>
                <w:rFonts w:ascii="Calibri" w:hAnsi="Calibri"/>
                <w:b/>
                <w:color w:val="000000"/>
                <w:sz w:val="20"/>
              </w:rPr>
              <w:t>Medicare Enrollment</w:t>
            </w:r>
          </w:p>
        </w:tc>
        <w:tc>
          <w:tcPr>
            <w:tcW w:type="dxa" w:w="3120"/>
          </w:tcPr>
          <w:p>
            <w:pPr>
              <w:spacing w:after="40" w:before="40"/>
            </w:pPr>
            <w:r>
              <w:rPr>
                <w:rFonts w:ascii="Calibri" w:hAnsi="Calibri"/>
                <w:b/>
                <w:color w:val="000000"/>
                <w:sz w:val="20"/>
              </w:rPr>
              <w:t>Partial</w:t>
            </w:r>
          </w:p>
        </w:tc>
        <w:tc>
          <w:tcPr>
            <w:tcW w:type="dxa" w:w="3120"/>
          </w:tcPr>
          <w:p>
            <w:pPr>
              <w:spacing w:after="40" w:before="40"/>
            </w:pPr>
            <w:r>
              <w:rPr>
                <w:rFonts w:ascii="Calibri" w:hAnsi="Calibri"/>
                <w:b w:val="0"/>
                <w:color w:val="000000"/>
                <w:sz w:val="20"/>
              </w:rPr>
              <w:t xml:space="preserve">Enrollment indicators are derived from CMS public data via the NPPES endpoint. Payment suspension is </w:t>
            </w:r>
            <w:r>
              <w:rPr>
                <w:rFonts w:ascii="Calibri" w:hAnsi="Calibri"/>
                <w:b/>
                <w:color w:val="000000"/>
                <w:sz w:val="20"/>
              </w:rPr>
              <w:t>not</w:t>
            </w:r>
            <w:r>
              <w:rPr>
                <w:rFonts w:ascii="Calibri" w:hAnsi="Calibri"/>
                <w:b w:val="0"/>
                <w:color w:val="000000"/>
                <w:sz w:val="20"/>
              </w:rPr>
              <w:t xml:space="preserve"> available and is reported as not provided, never as clean</w:t>
            </w:r>
          </w:p>
        </w:tc>
      </w:tr>
      <w:tr>
        <w:tc>
          <w:tcPr>
            <w:tcW w:type="dxa" w:w="3120"/>
            <w:shd w:val="clear" w:color="auto" w:fill="F2F5FA"/>
          </w:tcPr>
          <w:p>
            <w:pPr>
              <w:spacing w:after="40" w:before="40"/>
            </w:pPr>
            <w:r>
              <w:rPr>
                <w:rFonts w:ascii="Calibri" w:hAnsi="Calibri"/>
                <w:b/>
                <w:color w:val="000000"/>
                <w:sz w:val="20"/>
              </w:rPr>
              <w:t>Entity Import</w:t>
            </w:r>
          </w:p>
        </w:tc>
        <w:tc>
          <w:tcPr>
            <w:tcW w:type="dxa" w:w="3120"/>
            <w:shd w:val="clear" w:color="auto" w:fill="F2F5FA"/>
          </w:tcPr>
          <w:p>
            <w:pPr>
              <w:spacing w:after="40" w:before="40"/>
            </w:pPr>
            <w:r>
              <w:rPr>
                <w:rFonts w:ascii="Calibri" w:hAnsi="Calibri"/>
                <w:b/>
                <w:color w:val="000000"/>
                <w:sz w:val="20"/>
              </w:rPr>
              <w:t>Active</w:t>
            </w:r>
          </w:p>
        </w:tc>
        <w:tc>
          <w:tcPr>
            <w:tcW w:type="dxa" w:w="3120"/>
            <w:shd w:val="clear" w:color="auto" w:fill="F2F5FA"/>
          </w:tcPr>
          <w:p>
            <w:pPr>
              <w:spacing w:after="40" w:before="40"/>
            </w:pPr>
            <w:r>
              <w:rPr>
                <w:rFonts w:ascii="Calibri" w:hAnsi="Calibri"/>
                <w:b w:val="0"/>
                <w:color w:val="000000"/>
                <w:sz w:val="20"/>
              </w:rPr>
              <w:t>CSV, Excel, JSON, and FHIR R4 bundle upload with schema validation and duplicate detection</w:t>
            </w:r>
          </w:p>
        </w:tc>
      </w:tr>
    </w:tbl>
    <w:p>
      <w:pPr>
        <w:spacing w:after="80"/>
      </w:pPr>
    </w:p>
    <w:p>
      <w:pPr>
        <w:pStyle w:val="Heading2"/>
        <w:keepNext/>
        <w:spacing w:before="200" w:after="120"/>
        <w:outlineLvl w:val="1"/>
      </w:pPr>
      <w:r>
        <w:rPr>
          <w:rFonts w:ascii="Calibri" w:hAnsi="Calibri"/>
          <w:b/>
          <w:color w:val="003087"/>
          <w:sz w:val="25"/>
        </w:rPr>
        <w:t>11.2 Why Medicare Enrollment shows Partial</w:t>
      </w:r>
    </w:p>
    <w:p>
      <w:pPr>
        <w:spacing w:after="120" w:before="0"/>
      </w:pPr>
      <w:r>
        <w:rPr>
          <w:rFonts w:ascii="Calibri" w:hAnsi="Calibri"/>
          <w:b w:val="0"/>
          <w:color w:val="000000"/>
          <w:sz w:val="22"/>
        </w:rPr>
        <w:t xml:space="preserve">It is Partial for one specific, documented reason: </w:t>
      </w:r>
      <w:r>
        <w:rPr>
          <w:rFonts w:ascii="Calibri" w:hAnsi="Calibri"/>
          <w:b/>
          <w:color w:val="000000"/>
          <w:sz w:val="22"/>
        </w:rPr>
        <w:t>the payment-suspension data element is not obtainable from the source in use.</w:t>
      </w:r>
    </w:p>
    <w:p>
      <w:pPr>
        <w:spacing w:after="120" w:before="0"/>
      </w:pPr>
      <w:r>
        <w:rPr>
          <w:rFonts w:ascii="Calibri" w:hAnsi="Calibri"/>
          <w:b w:val="0"/>
          <w:color w:val="000000"/>
          <w:sz w:val="22"/>
        </w:rPr>
        <w:t>Medicare enrollment status is derived from CMS public data obtained through the NPPES registry endpoint. This provides enrollment indicators but is not a direct integration with the CMS PECOS system. A direct PECOS data feed requires COR-provisioned access.</w:t>
      </w:r>
    </w:p>
    <w:p>
      <w:pPr>
        <w:spacing w:after="120" w:before="0"/>
      </w:pPr>
      <w:r>
        <w:rPr>
          <w:rFonts w:ascii="Calibri" w:hAnsi="Calibri"/>
          <w:b w:val="0"/>
          <w:color w:val="000000"/>
          <w:sz w:val="22"/>
        </w:rPr>
        <w:t xml:space="preserve">The platform handles this honestly rather than by omission: the payment-suspension field is returned as "not provided by this source" with an explanatory note. It is never returned as a clean or passing value. Consequently the finding </w:t>
      </w:r>
      <w:r>
        <w:rPr>
          <w:rFonts w:ascii="Consolas" w:hAnsi="Consolas"/>
          <w:color w:val="000000"/>
          <w:sz w:val="22"/>
        </w:rPr>
        <w:t>PECOS_PAYMENT_SUSPENSION</w:t>
      </w:r>
      <w:r>
        <w:rPr>
          <w:rFonts w:ascii="Calibri" w:hAnsi="Calibri"/>
          <w:b w:val="0"/>
          <w:color w:val="000000"/>
          <w:sz w:val="22"/>
        </w:rPr>
        <w:t xml:space="preserve"> exists in the taxonomy but cannot currently be produced, and reviewers must not infer from its absence that an entity has no payment suspension.</w:t>
      </w:r>
    </w:p>
    <w:p>
      <w:pPr>
        <w:pStyle w:val="Heading2"/>
        <w:keepNext/>
        <w:spacing w:before="200" w:after="120"/>
        <w:outlineLvl w:val="1"/>
      </w:pPr>
      <w:r>
        <w:rPr>
          <w:rFonts w:ascii="Calibri" w:hAnsi="Calibri"/>
          <w:b/>
          <w:color w:val="003087"/>
          <w:sz w:val="25"/>
        </w:rPr>
        <w:t>11.3 NPI validation before any lookup</w:t>
      </w:r>
    </w:p>
    <w:p>
      <w:pPr>
        <w:spacing w:after="120" w:before="0"/>
      </w:pPr>
      <w:r>
        <w:rPr>
          <w:rFonts w:ascii="Calibri" w:hAnsi="Calibri"/>
          <w:b w:val="0"/>
          <w:color w:val="000000"/>
          <w:sz w:val="22"/>
        </w:rPr>
        <w:t xml:space="preserve">Every NPI is checked locally before a source is queried, using the CMS check-digit algorithm (a Luhn calculation over the prefix </w:t>
      </w:r>
      <w:r>
        <w:rPr>
          <w:rFonts w:ascii="Consolas" w:hAnsi="Consolas"/>
          <w:color w:val="000000"/>
          <w:sz w:val="22"/>
        </w:rPr>
        <w:t>80840</w:t>
      </w:r>
      <w:r>
        <w:rPr>
          <w:rFonts w:ascii="Calibri" w:hAnsi="Calibri"/>
          <w:b w:val="0"/>
          <w:color w:val="000000"/>
          <w:sz w:val="22"/>
        </w:rPr>
        <w:t xml:space="preserve"> plus the first nine digits). An NPI that fails this check is a malformed identifier, not a missing organization, and produces finding </w:t>
      </w:r>
      <w:r>
        <w:rPr>
          <w:rFonts w:ascii="Consolas" w:hAnsi="Consolas"/>
          <w:color w:val="000000"/>
          <w:sz w:val="22"/>
        </w:rPr>
        <w:t>NPI_INVALID</w:t>
      </w:r>
      <w:r>
        <w:rPr>
          <w:rFonts w:ascii="Calibri" w:hAnsi="Calibri"/>
          <w:b w:val="0"/>
          <w:color w:val="000000"/>
          <w:sz w:val="22"/>
        </w:rPr>
        <w:t xml:space="preserve"> in the Registry or </w:t>
      </w:r>
      <w:r>
        <w:rPr>
          <w:rFonts w:ascii="Consolas" w:hAnsi="Consolas"/>
          <w:color w:val="000000"/>
          <w:sz w:val="22"/>
        </w:rPr>
        <w:t>NPI_NOT_FOUND</w:t>
      </w:r>
      <w:r>
        <w:rPr>
          <w:rFonts w:ascii="Calibri" w:hAnsi="Calibri"/>
          <w:b w:val="0"/>
          <w:color w:val="000000"/>
          <w:sz w:val="22"/>
        </w:rPr>
        <w:t xml:space="preserve"> handling in ARC. Validating locally first avoids sending obviously bad identifiers to federal systems.</w:t>
      </w:r>
    </w:p>
    <w:p>
      <w:pPr>
        <w:pStyle w:val="Heading2"/>
        <w:keepNext/>
        <w:spacing w:before="200" w:after="120"/>
        <w:outlineLvl w:val="1"/>
      </w:pPr>
      <w:r>
        <w:rPr>
          <w:rFonts w:ascii="Calibri" w:hAnsi="Calibri"/>
          <w:b/>
          <w:color w:val="003087"/>
          <w:sz w:val="25"/>
        </w:rPr>
        <w:t>11.4 Registry structural checks</w:t>
      </w:r>
    </w:p>
    <w:p>
      <w:pPr>
        <w:spacing w:after="120" w:before="0"/>
      </w:pPr>
      <w:r>
        <w:rPr>
          <w:rFonts w:ascii="Calibri" w:hAnsi="Calibri"/>
          <w:b w:val="0"/>
          <w:color w:val="000000"/>
          <w:sz w:val="22"/>
        </w:rPr>
        <w:t>The Registry area runs a different and complementary set of checks. These are internal only.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Check</w:t>
            </w:r>
          </w:p>
        </w:tc>
        <w:tc>
          <w:tcPr>
            <w:tcW w:type="dxa" w:w="3120"/>
            <w:shd w:val="clear" w:color="auto" w:fill="003087"/>
          </w:tcPr>
          <w:p>
            <w:pPr>
              <w:spacing w:after="40" w:before="40"/>
            </w:pPr>
            <w:r>
              <w:rPr>
                <w:rFonts w:ascii="Calibri" w:hAnsi="Calibri"/>
                <w:b/>
                <w:color w:val="FFFFFF"/>
                <w:sz w:val="20"/>
              </w:rPr>
              <w:t>Severity</w:t>
            </w:r>
          </w:p>
        </w:tc>
        <w:tc>
          <w:tcPr>
            <w:tcW w:type="dxa" w:w="3120"/>
            <w:shd w:val="clear" w:color="auto" w:fill="003087"/>
          </w:tcPr>
          <w:p>
            <w:pPr>
              <w:spacing w:after="40" w:before="40"/>
            </w:pPr>
            <w:r>
              <w:rPr>
                <w:rFonts w:ascii="Calibri" w:hAnsi="Calibri"/>
                <w:b/>
                <w:color w:val="FFFFFF"/>
                <w:sz w:val="20"/>
              </w:rPr>
              <w:t>What it catches</w:t>
            </w:r>
          </w:p>
        </w:tc>
      </w:tr>
      <w:tr>
        <w:tc>
          <w:tcPr>
            <w:tcW w:type="dxa" w:w="3120"/>
          </w:tcPr>
          <w:p>
            <w:pPr>
              <w:spacing w:after="40" w:before="40"/>
            </w:pPr>
            <w:r>
              <w:rPr>
                <w:rFonts w:ascii="Calibri" w:hAnsi="Calibri"/>
                <w:b w:val="0"/>
                <w:color w:val="000000"/>
                <w:sz w:val="20"/>
              </w:rPr>
              <w:t>Missing mandatory TEFCAID</w:t>
            </w:r>
          </w:p>
        </w:tc>
        <w:tc>
          <w:tcPr>
            <w:tcW w:type="dxa" w:w="3120"/>
          </w:tcPr>
          <w:p>
            <w:pPr>
              <w:spacing w:after="40" w:before="40"/>
            </w:pPr>
            <w:r>
              <w:rPr>
                <w:rFonts w:ascii="Calibri" w:hAnsi="Calibri"/>
                <w:b w:val="0"/>
                <w:color w:val="000000"/>
                <w:sz w:val="20"/>
              </w:rPr>
              <w:t>Critical</w:t>
            </w:r>
          </w:p>
        </w:tc>
        <w:tc>
          <w:tcPr>
            <w:tcW w:type="dxa" w:w="3120"/>
          </w:tcPr>
          <w:p>
            <w:pPr>
              <w:spacing w:after="40" w:before="40"/>
            </w:pPr>
            <w:r>
              <w:rPr>
                <w:rFonts w:ascii="Calibri" w:hAnsi="Calibri"/>
                <w:b w:val="0"/>
                <w:color w:val="000000"/>
                <w:sz w:val="20"/>
              </w:rPr>
              <w:t>Entity has no TEFCA identifier</w:t>
            </w:r>
          </w:p>
        </w:tc>
      </w:tr>
      <w:tr>
        <w:tc>
          <w:tcPr>
            <w:tcW w:type="dxa" w:w="3120"/>
            <w:shd w:val="clear" w:color="auto" w:fill="F2F5FA"/>
          </w:tcPr>
          <w:p>
            <w:pPr>
              <w:spacing w:after="40" w:before="40"/>
            </w:pPr>
            <w:r>
              <w:rPr>
                <w:rFonts w:ascii="Calibri" w:hAnsi="Calibri"/>
                <w:b w:val="0"/>
                <w:color w:val="000000"/>
                <w:sz w:val="20"/>
              </w:rPr>
              <w:t>Missing mandatory HCID</w:t>
            </w:r>
          </w:p>
        </w:tc>
        <w:tc>
          <w:tcPr>
            <w:tcW w:type="dxa" w:w="3120"/>
            <w:shd w:val="clear" w:color="auto" w:fill="F2F5FA"/>
          </w:tcPr>
          <w:p>
            <w:pPr>
              <w:spacing w:after="40" w:before="40"/>
            </w:pPr>
            <w:r>
              <w:rPr>
                <w:rFonts w:ascii="Calibri" w:hAnsi="Calibri"/>
                <w:b w:val="0"/>
                <w:color w:val="000000"/>
                <w:sz w:val="20"/>
              </w:rPr>
              <w:t>Critical</w:t>
            </w:r>
          </w:p>
        </w:tc>
        <w:tc>
          <w:tcPr>
            <w:tcW w:type="dxa" w:w="3120"/>
            <w:shd w:val="clear" w:color="auto" w:fill="F2F5FA"/>
          </w:tcPr>
          <w:p>
            <w:pPr>
              <w:spacing w:after="40" w:before="40"/>
            </w:pPr>
            <w:r>
              <w:rPr>
                <w:rFonts w:ascii="Calibri" w:hAnsi="Calibri"/>
                <w:b w:val="0"/>
                <w:color w:val="000000"/>
                <w:sz w:val="20"/>
              </w:rPr>
              <w:t>Entity has no health care identifier</w:t>
            </w:r>
          </w:p>
        </w:tc>
      </w:tr>
      <w:tr>
        <w:tc>
          <w:tcPr>
            <w:tcW w:type="dxa" w:w="3120"/>
          </w:tcPr>
          <w:p>
            <w:pPr>
              <w:spacing w:after="40" w:before="40"/>
            </w:pPr>
            <w:r>
              <w:rPr>
                <w:rFonts w:ascii="Calibri" w:hAnsi="Calibri"/>
                <w:b w:val="0"/>
                <w:color w:val="000000"/>
                <w:sz w:val="20"/>
              </w:rPr>
              <w:t>Circular relationship</w:t>
            </w:r>
          </w:p>
        </w:tc>
        <w:tc>
          <w:tcPr>
            <w:tcW w:type="dxa" w:w="3120"/>
          </w:tcPr>
          <w:p>
            <w:pPr>
              <w:spacing w:after="40" w:before="40"/>
            </w:pPr>
            <w:r>
              <w:rPr>
                <w:rFonts w:ascii="Calibri" w:hAnsi="Calibri"/>
                <w:b w:val="0"/>
                <w:color w:val="000000"/>
                <w:sz w:val="20"/>
              </w:rPr>
              <w:t>Critical</w:t>
            </w:r>
          </w:p>
        </w:tc>
        <w:tc>
          <w:tcPr>
            <w:tcW w:type="dxa" w:w="3120"/>
          </w:tcPr>
          <w:p>
            <w:pPr>
              <w:spacing w:after="40" w:before="40"/>
            </w:pPr>
            <w:r>
              <w:rPr>
                <w:rFonts w:ascii="Calibri" w:hAnsi="Calibri"/>
                <w:b w:val="0"/>
                <w:color w:val="000000"/>
                <w:sz w:val="20"/>
              </w:rPr>
              <w:t>The hierarchy contains a loop</w:t>
            </w:r>
          </w:p>
        </w:tc>
      </w:tr>
      <w:tr>
        <w:tc>
          <w:tcPr>
            <w:tcW w:type="dxa" w:w="3120"/>
            <w:shd w:val="clear" w:color="auto" w:fill="F2F5FA"/>
          </w:tcPr>
          <w:p>
            <w:pPr>
              <w:spacing w:after="40" w:before="40"/>
            </w:pPr>
            <w:r>
              <w:rPr>
                <w:rFonts w:ascii="Calibri" w:hAnsi="Calibri"/>
                <w:b w:val="0"/>
                <w:color w:val="000000"/>
                <w:sz w:val="20"/>
              </w:rPr>
              <w:t>Retired TEFCAID on active entity</w:t>
            </w:r>
          </w:p>
        </w:tc>
        <w:tc>
          <w:tcPr>
            <w:tcW w:type="dxa" w:w="3120"/>
            <w:shd w:val="clear" w:color="auto" w:fill="F2F5FA"/>
          </w:tcPr>
          <w:p>
            <w:pPr>
              <w:spacing w:after="40" w:before="40"/>
            </w:pPr>
            <w:r>
              <w:rPr>
                <w:rFonts w:ascii="Calibri" w:hAnsi="Calibri"/>
                <w:b w:val="0"/>
                <w:color w:val="000000"/>
                <w:sz w:val="20"/>
              </w:rPr>
              <w:t>High</w:t>
            </w:r>
          </w:p>
        </w:tc>
        <w:tc>
          <w:tcPr>
            <w:tcW w:type="dxa" w:w="3120"/>
            <w:shd w:val="clear" w:color="auto" w:fill="F2F5FA"/>
          </w:tcPr>
          <w:p>
            <w:pPr>
              <w:spacing w:after="40" w:before="40"/>
            </w:pPr>
            <w:r>
              <w:rPr>
                <w:rFonts w:ascii="Calibri" w:hAnsi="Calibri"/>
                <w:b w:val="0"/>
                <w:color w:val="000000"/>
                <w:sz w:val="20"/>
              </w:rPr>
              <w:t>Identifier retired but entity still active</w:t>
            </w:r>
          </w:p>
        </w:tc>
      </w:tr>
      <w:tr>
        <w:tc>
          <w:tcPr>
            <w:tcW w:type="dxa" w:w="3120"/>
          </w:tcPr>
          <w:p>
            <w:pPr>
              <w:spacing w:after="40" w:before="40"/>
            </w:pPr>
            <w:r>
              <w:rPr>
                <w:rFonts w:ascii="Calibri" w:hAnsi="Calibri"/>
                <w:b w:val="0"/>
                <w:color w:val="000000"/>
                <w:sz w:val="20"/>
              </w:rPr>
              <w:t>Invalid NPI</w:t>
            </w:r>
          </w:p>
        </w:tc>
        <w:tc>
          <w:tcPr>
            <w:tcW w:type="dxa" w:w="3120"/>
          </w:tcPr>
          <w:p>
            <w:pPr>
              <w:spacing w:after="40" w:before="40"/>
            </w:pPr>
            <w:r>
              <w:rPr>
                <w:rFonts w:ascii="Calibri" w:hAnsi="Calibri"/>
                <w:b w:val="0"/>
                <w:color w:val="000000"/>
                <w:sz w:val="20"/>
              </w:rPr>
              <w:t>High</w:t>
            </w:r>
          </w:p>
        </w:tc>
        <w:tc>
          <w:tcPr>
            <w:tcW w:type="dxa" w:w="3120"/>
          </w:tcPr>
          <w:p>
            <w:pPr>
              <w:spacing w:after="40" w:before="40"/>
            </w:pPr>
            <w:r>
              <w:rPr>
                <w:rFonts w:ascii="Calibri" w:hAnsi="Calibri"/>
                <w:b w:val="0"/>
                <w:color w:val="000000"/>
                <w:sz w:val="20"/>
              </w:rPr>
              <w:t>Fails the check digit</w:t>
            </w:r>
          </w:p>
        </w:tc>
      </w:tr>
      <w:tr>
        <w:tc>
          <w:tcPr>
            <w:tcW w:type="dxa" w:w="3120"/>
            <w:shd w:val="clear" w:color="auto" w:fill="F2F5FA"/>
          </w:tcPr>
          <w:p>
            <w:pPr>
              <w:spacing w:after="40" w:before="40"/>
            </w:pPr>
            <w:r>
              <w:rPr>
                <w:rFonts w:ascii="Calibri" w:hAnsi="Calibri"/>
                <w:b w:val="0"/>
                <w:color w:val="000000"/>
                <w:sz w:val="20"/>
              </w:rPr>
              <w:t>Multiple active NPIs</w:t>
            </w:r>
          </w:p>
        </w:tc>
        <w:tc>
          <w:tcPr>
            <w:tcW w:type="dxa" w:w="3120"/>
            <w:shd w:val="clear" w:color="auto" w:fill="F2F5FA"/>
          </w:tcPr>
          <w:p>
            <w:pPr>
              <w:spacing w:after="40" w:before="40"/>
            </w:pPr>
            <w:r>
              <w:rPr>
                <w:rFonts w:ascii="Calibri" w:hAnsi="Calibri"/>
                <w:b w:val="0"/>
                <w:color w:val="000000"/>
                <w:sz w:val="20"/>
              </w:rPr>
              <w:t>High</w:t>
            </w:r>
          </w:p>
        </w:tc>
        <w:tc>
          <w:tcPr>
            <w:tcW w:type="dxa" w:w="3120"/>
            <w:shd w:val="clear" w:color="auto" w:fill="F2F5FA"/>
          </w:tcPr>
          <w:p>
            <w:pPr>
              <w:spacing w:after="40" w:before="40"/>
            </w:pPr>
            <w:r>
              <w:rPr>
                <w:rFonts w:ascii="Calibri" w:hAnsi="Calibri"/>
                <w:b w:val="0"/>
                <w:color w:val="000000"/>
                <w:sz w:val="20"/>
              </w:rPr>
              <w:t>One entity holding several active NPIs</w:t>
            </w:r>
          </w:p>
        </w:tc>
      </w:tr>
      <w:tr>
        <w:tc>
          <w:tcPr>
            <w:tcW w:type="dxa" w:w="3120"/>
          </w:tcPr>
          <w:p>
            <w:pPr>
              <w:spacing w:after="40" w:before="40"/>
            </w:pPr>
            <w:r>
              <w:rPr>
                <w:rFonts w:ascii="Calibri" w:hAnsi="Calibri"/>
                <w:b w:val="0"/>
                <w:color w:val="000000"/>
                <w:sz w:val="20"/>
              </w:rPr>
              <w:t>Duplicate NPI / HCID / TEFCAID</w:t>
            </w:r>
          </w:p>
        </w:tc>
        <w:tc>
          <w:tcPr>
            <w:tcW w:type="dxa" w:w="3120"/>
          </w:tcPr>
          <w:p>
            <w:pPr>
              <w:spacing w:after="40" w:before="40"/>
            </w:pPr>
            <w:r>
              <w:rPr>
                <w:rFonts w:ascii="Calibri" w:hAnsi="Calibri"/>
                <w:b w:val="0"/>
                <w:color w:val="000000"/>
                <w:sz w:val="20"/>
              </w:rPr>
              <w:t>High</w:t>
            </w:r>
          </w:p>
        </w:tc>
        <w:tc>
          <w:tcPr>
            <w:tcW w:type="dxa" w:w="3120"/>
          </w:tcPr>
          <w:p>
            <w:pPr>
              <w:spacing w:after="40" w:before="40"/>
            </w:pPr>
            <w:r>
              <w:rPr>
                <w:rFonts w:ascii="Calibri" w:hAnsi="Calibri"/>
                <w:b w:val="0"/>
                <w:color w:val="000000"/>
                <w:sz w:val="20"/>
              </w:rPr>
              <w:t>One identifier shared across entities</w:t>
            </w:r>
          </w:p>
        </w:tc>
      </w:tr>
      <w:tr>
        <w:tc>
          <w:tcPr>
            <w:tcW w:type="dxa" w:w="3120"/>
            <w:shd w:val="clear" w:color="auto" w:fill="F2F5FA"/>
          </w:tcPr>
          <w:p>
            <w:pPr>
              <w:spacing w:after="40" w:before="40"/>
            </w:pPr>
            <w:r>
              <w:rPr>
                <w:rFonts w:ascii="Calibri" w:hAnsi="Calibri"/>
                <w:b w:val="0"/>
                <w:color w:val="000000"/>
                <w:sz w:val="20"/>
              </w:rPr>
              <w:t>Orphan entity</w:t>
            </w:r>
          </w:p>
        </w:tc>
        <w:tc>
          <w:tcPr>
            <w:tcW w:type="dxa" w:w="3120"/>
            <w:shd w:val="clear" w:color="auto" w:fill="F2F5FA"/>
          </w:tcPr>
          <w:p>
            <w:pPr>
              <w:spacing w:after="40" w:before="40"/>
            </w:pPr>
            <w:r>
              <w:rPr>
                <w:rFonts w:ascii="Calibri" w:hAnsi="Calibri"/>
                <w:b w:val="0"/>
                <w:color w:val="000000"/>
                <w:sz w:val="20"/>
              </w:rPr>
              <w:t>High</w:t>
            </w:r>
          </w:p>
        </w:tc>
        <w:tc>
          <w:tcPr>
            <w:tcW w:type="dxa" w:w="3120"/>
            <w:shd w:val="clear" w:color="auto" w:fill="F2F5FA"/>
          </w:tcPr>
          <w:p>
            <w:pPr>
              <w:spacing w:after="40" w:before="40"/>
            </w:pPr>
            <w:r>
              <w:rPr>
                <w:rFonts w:ascii="Calibri" w:hAnsi="Calibri"/>
                <w:b w:val="0"/>
                <w:color w:val="000000"/>
                <w:sz w:val="20"/>
              </w:rPr>
              <w:t>No parent relationship, or all parent relationships inactive</w:t>
            </w:r>
          </w:p>
        </w:tc>
      </w:tr>
      <w:tr>
        <w:tc>
          <w:tcPr>
            <w:tcW w:type="dxa" w:w="3120"/>
          </w:tcPr>
          <w:p>
            <w:pPr>
              <w:spacing w:after="40" w:before="40"/>
            </w:pPr>
            <w:r>
              <w:rPr>
                <w:rFonts w:ascii="Calibri" w:hAnsi="Calibri"/>
                <w:b w:val="0"/>
                <w:color w:val="000000"/>
                <w:sz w:val="20"/>
              </w:rPr>
              <w:t>Multiple active parents</w:t>
            </w:r>
          </w:p>
        </w:tc>
        <w:tc>
          <w:tcPr>
            <w:tcW w:type="dxa" w:w="3120"/>
          </w:tcPr>
          <w:p>
            <w:pPr>
              <w:spacing w:after="40" w:before="40"/>
            </w:pPr>
            <w:r>
              <w:rPr>
                <w:rFonts w:ascii="Calibri" w:hAnsi="Calibri"/>
                <w:b w:val="0"/>
                <w:color w:val="000000"/>
                <w:sz w:val="20"/>
              </w:rPr>
              <w:t>High</w:t>
            </w:r>
          </w:p>
        </w:tc>
        <w:tc>
          <w:tcPr>
            <w:tcW w:type="dxa" w:w="3120"/>
          </w:tcPr>
          <w:p>
            <w:pPr>
              <w:spacing w:after="40" w:before="40"/>
            </w:pPr>
            <w:r>
              <w:rPr>
                <w:rFonts w:ascii="Calibri" w:hAnsi="Calibri"/>
                <w:b w:val="0"/>
                <w:color w:val="000000"/>
                <w:sz w:val="20"/>
              </w:rPr>
              <w:t>Entity parented by more than one entity</w:t>
            </w:r>
          </w:p>
        </w:tc>
      </w:tr>
      <w:tr>
        <w:tc>
          <w:tcPr>
            <w:tcW w:type="dxa" w:w="3120"/>
            <w:shd w:val="clear" w:color="auto" w:fill="F2F5FA"/>
          </w:tcPr>
          <w:p>
            <w:pPr>
              <w:spacing w:after="40" w:before="40"/>
            </w:pPr>
            <w:r>
              <w:rPr>
                <w:rFonts w:ascii="Calibri" w:hAnsi="Calibri"/>
                <w:b w:val="0"/>
                <w:color w:val="000000"/>
                <w:sz w:val="20"/>
              </w:rPr>
              <w:t>Incorrect parent level</w:t>
            </w:r>
          </w:p>
        </w:tc>
        <w:tc>
          <w:tcPr>
            <w:tcW w:type="dxa" w:w="3120"/>
            <w:shd w:val="clear" w:color="auto" w:fill="F2F5FA"/>
          </w:tcPr>
          <w:p>
            <w:pPr>
              <w:spacing w:after="40" w:before="40"/>
            </w:pPr>
            <w:r>
              <w:rPr>
                <w:rFonts w:ascii="Calibri" w:hAnsi="Calibri"/>
                <w:b w:val="0"/>
                <w:color w:val="000000"/>
                <w:sz w:val="20"/>
              </w:rPr>
              <w:t>High</w:t>
            </w:r>
          </w:p>
        </w:tc>
        <w:tc>
          <w:tcPr>
            <w:tcW w:type="dxa" w:w="3120"/>
            <w:shd w:val="clear" w:color="auto" w:fill="F2F5FA"/>
          </w:tcPr>
          <w:p>
            <w:pPr>
              <w:spacing w:after="40" w:before="40"/>
            </w:pPr>
            <w:r>
              <w:rPr>
                <w:rFonts w:ascii="Calibri" w:hAnsi="Calibri"/>
                <w:b w:val="0"/>
                <w:color w:val="000000"/>
                <w:sz w:val="20"/>
              </w:rPr>
              <w:t>A Participant parented by something other than a QHIN, and so on</w:t>
            </w:r>
          </w:p>
        </w:tc>
      </w:tr>
      <w:tr>
        <w:tc>
          <w:tcPr>
            <w:tcW w:type="dxa" w:w="3120"/>
          </w:tcPr>
          <w:p>
            <w:pPr>
              <w:spacing w:after="40" w:before="40"/>
            </w:pPr>
            <w:r>
              <w:rPr>
                <w:rFonts w:ascii="Calibri" w:hAnsi="Calibri"/>
                <w:b w:val="0"/>
                <w:color w:val="000000"/>
                <w:sz w:val="20"/>
              </w:rPr>
              <w:t>Inactive parent with active children</w:t>
            </w:r>
          </w:p>
        </w:tc>
        <w:tc>
          <w:tcPr>
            <w:tcW w:type="dxa" w:w="3120"/>
          </w:tcPr>
          <w:p>
            <w:pPr>
              <w:spacing w:after="40" w:before="40"/>
            </w:pPr>
            <w:r>
              <w:rPr>
                <w:rFonts w:ascii="Calibri" w:hAnsi="Calibri"/>
                <w:b w:val="0"/>
                <w:color w:val="000000"/>
                <w:sz w:val="20"/>
              </w:rPr>
              <w:t>High</w:t>
            </w:r>
          </w:p>
        </w:tc>
        <w:tc>
          <w:tcPr>
            <w:tcW w:type="dxa" w:w="3120"/>
          </w:tcPr>
          <w:p>
            <w:pPr>
              <w:spacing w:after="40" w:before="40"/>
            </w:pPr>
            <w:r>
              <w:rPr>
                <w:rFonts w:ascii="Calibri" w:hAnsi="Calibri"/>
                <w:b w:val="0"/>
                <w:color w:val="000000"/>
                <w:sz w:val="20"/>
              </w:rPr>
              <w:t>A deactivated parent still holding active children</w:t>
            </w:r>
          </w:p>
        </w:tc>
      </w:tr>
      <w:tr>
        <w:tc>
          <w:tcPr>
            <w:tcW w:type="dxa" w:w="3120"/>
            <w:shd w:val="clear" w:color="auto" w:fill="F2F5FA"/>
          </w:tcPr>
          <w:p>
            <w:pPr>
              <w:spacing w:after="40" w:before="40"/>
            </w:pPr>
            <w:r>
              <w:rPr>
                <w:rFonts w:ascii="Calibri" w:hAnsi="Calibri"/>
                <w:b w:val="0"/>
                <w:color w:val="000000"/>
                <w:sz w:val="20"/>
              </w:rPr>
              <w:t>Missing NPI on treatment entity</w:t>
            </w:r>
          </w:p>
        </w:tc>
        <w:tc>
          <w:tcPr>
            <w:tcW w:type="dxa" w:w="3120"/>
            <w:shd w:val="clear" w:color="auto" w:fill="F2F5FA"/>
          </w:tcPr>
          <w:p>
            <w:pPr>
              <w:spacing w:after="40" w:before="40"/>
            </w:pPr>
            <w:r>
              <w:rPr>
                <w:rFonts w:ascii="Calibri" w:hAnsi="Calibri"/>
                <w:b w:val="0"/>
                <w:color w:val="000000"/>
                <w:sz w:val="20"/>
              </w:rPr>
              <w:t>Medium</w:t>
            </w:r>
          </w:p>
        </w:tc>
        <w:tc>
          <w:tcPr>
            <w:tcW w:type="dxa" w:w="3120"/>
            <w:shd w:val="clear" w:color="auto" w:fill="F2F5FA"/>
          </w:tcPr>
          <w:p>
            <w:pPr>
              <w:spacing w:after="40" w:before="40"/>
            </w:pPr>
            <w:r>
              <w:rPr>
                <w:rFonts w:ascii="Calibri" w:hAnsi="Calibri"/>
                <w:b w:val="0"/>
                <w:color w:val="000000"/>
                <w:sz w:val="20"/>
              </w:rPr>
              <w:t>Treatment-purpose provider with no NPI</w:t>
            </w:r>
          </w:p>
        </w:tc>
      </w:tr>
      <w:tr>
        <w:tc>
          <w:tcPr>
            <w:tcW w:type="dxa" w:w="3120"/>
          </w:tcPr>
          <w:p>
            <w:pPr>
              <w:spacing w:after="40" w:before="40"/>
            </w:pPr>
            <w:r>
              <w:rPr>
                <w:rFonts w:ascii="Calibri" w:hAnsi="Calibri"/>
                <w:b w:val="0"/>
                <w:color w:val="000000"/>
                <w:sz w:val="20"/>
              </w:rPr>
              <w:t>Expired CCN</w:t>
            </w:r>
          </w:p>
        </w:tc>
        <w:tc>
          <w:tcPr>
            <w:tcW w:type="dxa" w:w="3120"/>
          </w:tcPr>
          <w:p>
            <w:pPr>
              <w:spacing w:after="40" w:before="40"/>
            </w:pPr>
            <w:r>
              <w:rPr>
                <w:rFonts w:ascii="Calibri" w:hAnsi="Calibri"/>
                <w:b w:val="0"/>
                <w:color w:val="000000"/>
                <w:sz w:val="20"/>
              </w:rPr>
              <w:t>Medium</w:t>
            </w:r>
          </w:p>
        </w:tc>
        <w:tc>
          <w:tcPr>
            <w:tcW w:type="dxa" w:w="3120"/>
          </w:tcPr>
          <w:p>
            <w:pPr>
              <w:spacing w:after="40" w:before="40"/>
            </w:pPr>
            <w:r>
              <w:rPr>
                <w:rFonts w:ascii="Calibri" w:hAnsi="Calibri"/>
                <w:b w:val="0"/>
                <w:color w:val="000000"/>
                <w:sz w:val="20"/>
              </w:rPr>
              <w:t>CMS Certification Number past its end date</w:t>
            </w:r>
          </w:p>
        </w:tc>
      </w:tr>
      <w:tr>
        <w:tc>
          <w:tcPr>
            <w:tcW w:type="dxa" w:w="3120"/>
            <w:shd w:val="clear" w:color="auto" w:fill="F2F5FA"/>
          </w:tcPr>
          <w:p>
            <w:pPr>
              <w:spacing w:after="40" w:before="40"/>
            </w:pPr>
            <w:r>
              <w:rPr>
                <w:rFonts w:ascii="Calibri" w:hAnsi="Calibri"/>
                <w:b w:val="0"/>
                <w:color w:val="000000"/>
                <w:sz w:val="20"/>
              </w:rPr>
              <w:t>QHIN with zero participants</w:t>
            </w:r>
          </w:p>
        </w:tc>
        <w:tc>
          <w:tcPr>
            <w:tcW w:type="dxa" w:w="3120"/>
            <w:shd w:val="clear" w:color="auto" w:fill="F2F5FA"/>
          </w:tcPr>
          <w:p>
            <w:pPr>
              <w:spacing w:after="40" w:before="40"/>
            </w:pPr>
            <w:r>
              <w:rPr>
                <w:rFonts w:ascii="Calibri" w:hAnsi="Calibri"/>
                <w:b w:val="0"/>
                <w:color w:val="000000"/>
                <w:sz w:val="20"/>
              </w:rPr>
              <w:t>Medium</w:t>
            </w:r>
          </w:p>
        </w:tc>
        <w:tc>
          <w:tcPr>
            <w:tcW w:type="dxa" w:w="3120"/>
            <w:shd w:val="clear" w:color="auto" w:fill="F2F5FA"/>
          </w:tcPr>
          <w:p>
            <w:pPr>
              <w:spacing w:after="40" w:before="40"/>
            </w:pPr>
            <w:r>
              <w:rPr>
                <w:rFonts w:ascii="Calibri" w:hAnsi="Calibri"/>
                <w:b w:val="0"/>
                <w:color w:val="000000"/>
                <w:sz w:val="20"/>
              </w:rPr>
              <w:t>A QHIN holding no active participants</w:t>
            </w:r>
          </w:p>
        </w:tc>
      </w:tr>
      <w:tr>
        <w:tc>
          <w:tcPr>
            <w:tcW w:type="dxa" w:w="3120"/>
          </w:tcPr>
          <w:p>
            <w:pPr>
              <w:spacing w:after="40" w:before="40"/>
            </w:pPr>
            <w:r>
              <w:rPr>
                <w:rFonts w:ascii="Calibri" w:hAnsi="Calibri"/>
                <w:b w:val="0"/>
                <w:color w:val="000000"/>
                <w:sz w:val="20"/>
              </w:rPr>
              <w:t>Entity has zero relationships</w:t>
            </w:r>
          </w:p>
        </w:tc>
        <w:tc>
          <w:tcPr>
            <w:tcW w:type="dxa" w:w="3120"/>
          </w:tcPr>
          <w:p>
            <w:pPr>
              <w:spacing w:after="40" w:before="40"/>
            </w:pPr>
            <w:r>
              <w:rPr>
                <w:rFonts w:ascii="Calibri" w:hAnsi="Calibri"/>
                <w:b w:val="0"/>
                <w:color w:val="000000"/>
                <w:sz w:val="20"/>
              </w:rPr>
              <w:t>Medium</w:t>
            </w:r>
          </w:p>
        </w:tc>
        <w:tc>
          <w:tcPr>
            <w:tcW w:type="dxa" w:w="3120"/>
          </w:tcPr>
          <w:p>
            <w:pPr>
              <w:spacing w:after="40" w:before="40"/>
            </w:pPr>
            <w:r>
              <w:rPr>
                <w:rFonts w:ascii="Calibri" w:hAnsi="Calibri"/>
                <w:b w:val="0"/>
                <w:color w:val="000000"/>
                <w:sz w:val="20"/>
              </w:rPr>
              <w:t>Entirely unconnected record</w:t>
            </w:r>
          </w:p>
        </w:tc>
      </w:tr>
    </w:tbl>
    <w:p>
      <w:pPr>
        <w:spacing w:after="80"/>
      </w:pPr>
    </w:p>
    <w:p>
      <w:pPr>
        <w:spacing w:after="120" w:before="0"/>
      </w:pPr>
      <w:r>
        <w:rPr>
          <w:rFonts w:ascii="Calibri" w:hAnsi="Calibri"/>
          <w:b w:val="0"/>
          <w:color w:val="000000"/>
          <w:sz w:val="22"/>
        </w:rPr>
        <w:t xml:space="preserve">Registry verification sets the entity's verification status to </w:t>
      </w:r>
      <w:r>
        <w:rPr>
          <w:rFonts w:ascii="Calibri" w:hAnsi="Calibri"/>
          <w:b/>
          <w:color w:val="000000"/>
          <w:sz w:val="22"/>
        </w:rPr>
        <w:t>exception</w:t>
      </w:r>
      <w:r>
        <w:rPr>
          <w:rFonts w:ascii="Calibri" w:hAnsi="Calibri"/>
          <w:b w:val="0"/>
          <w:color w:val="000000"/>
          <w:sz w:val="22"/>
        </w:rPr>
        <w:t xml:space="preserve"> if any critical or high finding exists, </w:t>
      </w:r>
      <w:r>
        <w:rPr>
          <w:rFonts w:ascii="Calibri" w:hAnsi="Calibri"/>
          <w:b/>
          <w:color w:val="000000"/>
          <w:sz w:val="22"/>
        </w:rPr>
        <w:t>in_review</w:t>
      </w:r>
      <w:r>
        <w:rPr>
          <w:rFonts w:ascii="Calibri" w:hAnsi="Calibri"/>
          <w:b w:val="0"/>
          <w:color w:val="000000"/>
          <w:sz w:val="22"/>
        </w:rPr>
        <w:t xml:space="preserve"> if only lower-severity findings exist, and </w:t>
      </w:r>
      <w:r>
        <w:rPr>
          <w:rFonts w:ascii="Calibri" w:hAnsi="Calibri"/>
          <w:b/>
          <w:color w:val="000000"/>
          <w:sz w:val="22"/>
        </w:rPr>
        <w:t>verified</w:t>
      </w:r>
      <w:r>
        <w:rPr>
          <w:rFonts w:ascii="Calibri" w:hAnsi="Calibri"/>
          <w:b w:val="0"/>
          <w:color w:val="000000"/>
          <w:sz w:val="22"/>
        </w:rPr>
        <w:t xml:space="preserve"> if none do.</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 xml:space="preserve">A Registry status of "verified" means the record is structurally sound. It does </w:t>
            </w:r>
            <w:r>
              <w:rPr>
                <w:rFonts w:ascii="Calibri" w:hAnsi="Calibri"/>
                <w:b/>
                <w:color w:val="000000"/>
                <w:sz w:val="21"/>
              </w:rPr>
              <w:t>not</w:t>
            </w:r>
            <w:r>
              <w:rPr>
                <w:rFonts w:ascii="Calibri" w:hAnsi="Calibri"/>
                <w:b w:val="0"/>
                <w:color w:val="000000"/>
                <w:sz w:val="21"/>
              </w:rPr>
              <w:t xml:space="preserve"> mean the organization has been verified against federal sources. Only ARC produces that determination.</w:t>
            </w:r>
          </w:p>
        </w:tc>
      </w:tr>
    </w:tbl>
    <w:p>
      <w:pPr>
        <w:spacing w:after="80"/>
      </w:pPr>
    </w:p>
    <w:p>
      <w:pPr>
        <w:pStyle w:val="Heading2"/>
        <w:keepNext/>
        <w:spacing w:before="200" w:after="120"/>
        <w:outlineLvl w:val="1"/>
      </w:pPr>
      <w:r>
        <w:rPr>
          <w:rFonts w:ascii="Calibri" w:hAnsi="Calibri"/>
          <w:b/>
          <w:color w:val="003087"/>
          <w:sz w:val="25"/>
        </w:rPr>
        <w:t>11.5 Technical / Administrator Notes</w:t>
      </w:r>
    </w:p>
    <w:p>
      <w:pPr>
        <w:pStyle w:val="ListBullet"/>
        <w:spacing w:after="40"/>
      </w:pPr>
      <w:r>
        <w:rPr>
          <w:rFonts w:ascii="Calibri" w:hAnsi="Calibri"/>
          <w:b w:val="0"/>
          <w:color w:val="000000"/>
          <w:sz w:val="21"/>
        </w:rPr>
        <w:t>Source queries run concurrently with a per-source timeout and bounded retries. Retries apply only to conditions that might succeed on repeat; a definitive rejection is not retried.</w:t>
      </w:r>
    </w:p>
    <w:p>
      <w:pPr>
        <w:pStyle w:val="ListBullet"/>
        <w:spacing w:after="40"/>
      </w:pPr>
      <w:r>
        <w:rPr>
          <w:rFonts w:ascii="Calibri" w:hAnsi="Calibri"/>
          <w:b w:val="0"/>
          <w:color w:val="000000"/>
          <w:sz w:val="21"/>
        </w:rPr>
        <w:t>Every connector call is logged individually with its own short-lived database session, so concurrent calls never share a transaction.</w:t>
      </w:r>
    </w:p>
    <w:p>
      <w:pPr>
        <w:pStyle w:val="ListBullet"/>
        <w:spacing w:after="40"/>
      </w:pPr>
      <w:r>
        <w:rPr>
          <w:rFonts w:ascii="Calibri" w:hAnsi="Calibri"/>
          <w:b w:val="0"/>
          <w:color w:val="000000"/>
          <w:sz w:val="21"/>
        </w:rPr>
        <w:t>Connectors never raise into the verification pipeline. Every failure path returns a structured result carrying its reason.</w:t>
      </w:r>
    </w:p>
    <w:p>
      <w:pPr>
        <w:pStyle w:val="ListBullet"/>
        <w:spacing w:after="40"/>
      </w:pPr>
      <w:r>
        <w:rPr>
          <w:rFonts w:ascii="Calibri" w:hAnsi="Calibri"/>
          <w:b w:val="0"/>
          <w:color w:val="000000"/>
          <w:sz w:val="21"/>
        </w:rPr>
        <w:t>Verification writes are idempotent — job, check, finding, and audit rows use deterministic identifiers so a re-run updates rather than duplicates.</w:t>
      </w:r>
    </w:p>
    <w:p>
      <w:pPr>
        <w:pStyle w:val="ListBullet"/>
        <w:spacing w:after="40"/>
      </w:pPr>
      <w:r>
        <w:rPr>
          <w:rFonts w:ascii="Calibri" w:hAnsi="Calibri"/>
          <w:b w:val="0"/>
          <w:color w:val="000000"/>
          <w:sz w:val="21"/>
        </w:rPr>
        <w:t>Source health is probed actively rather than assumed. No connector has a hardcoded healthy status.</w:t>
      </w:r>
    </w:p>
    <w:p>
      <w:r>
        <w:br w:type="page"/>
      </w:r>
    </w:p>
    <w:p>
      <w:pPr>
        <w:pStyle w:val="Heading1"/>
        <w:keepNext/>
        <w:spacing w:before="280" w:after="120"/>
        <w:outlineLvl w:val="0"/>
      </w:pPr>
      <w:r>
        <w:rPr>
          <w:rFonts w:ascii="Calibri" w:hAnsi="Calibri"/>
          <w:b/>
          <w:color w:val="003087"/>
          <w:sz w:val="28"/>
        </w:rPr>
        <w:t>12. Understanding Results and Statuses</w:t>
      </w:r>
    </w:p>
    <w:p>
      <w:pPr>
        <w:spacing w:after="120" w:before="0"/>
      </w:pPr>
      <w:r>
        <w:rPr>
          <w:rFonts w:ascii="Calibri" w:hAnsi="Calibri"/>
          <w:b w:val="0"/>
          <w:color w:val="000000"/>
          <w:sz w:val="22"/>
        </w:rPr>
        <w:t>This section lists every status a user will encounter, what causes it, what to do, and who can change it.</w:t>
      </w:r>
    </w:p>
    <w:p>
      <w:pPr>
        <w:pStyle w:val="Heading2"/>
        <w:keepNext/>
        <w:spacing w:before="200" w:after="120"/>
        <w:outlineLvl w:val="1"/>
      </w:pPr>
      <w:r>
        <w:rPr>
          <w:rFonts w:ascii="Calibri" w:hAnsi="Calibri"/>
          <w:b/>
          <w:color w:val="003087"/>
          <w:sz w:val="25"/>
        </w:rPr>
        <w:t>12.1 Classification buckets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087"/>
          </w:tcPr>
          <w:p>
            <w:pPr>
              <w:spacing w:after="40" w:before="40"/>
            </w:pPr>
            <w:r>
              <w:rPr>
                <w:rFonts w:ascii="Calibri" w:hAnsi="Calibri"/>
                <w:b/>
                <w:color w:val="FFFFFF"/>
                <w:sz w:val="20"/>
              </w:rPr>
              <w:t>Bucket</w:t>
            </w:r>
          </w:p>
        </w:tc>
        <w:tc>
          <w:tcPr>
            <w:tcW w:type="dxa" w:w="1560"/>
            <w:shd w:val="clear" w:color="auto" w:fill="003087"/>
          </w:tcPr>
          <w:p>
            <w:pPr>
              <w:spacing w:after="40" w:before="40"/>
            </w:pPr>
            <w:r>
              <w:rPr>
                <w:rFonts w:ascii="Calibri" w:hAnsi="Calibri"/>
                <w:b/>
                <w:color w:val="FFFFFF"/>
                <w:sz w:val="20"/>
              </w:rPr>
              <w:t>Label</w:t>
            </w:r>
          </w:p>
        </w:tc>
        <w:tc>
          <w:tcPr>
            <w:tcW w:type="dxa" w:w="1560"/>
            <w:shd w:val="clear" w:color="auto" w:fill="003087"/>
          </w:tcPr>
          <w:p>
            <w:pPr>
              <w:spacing w:after="40" w:before="40"/>
            </w:pPr>
            <w:r>
              <w:rPr>
                <w:rFonts w:ascii="Calibri" w:hAnsi="Calibri"/>
                <w:b/>
                <w:color w:val="FFFFFF"/>
                <w:sz w:val="20"/>
              </w:rPr>
              <w:t>Meaning</w:t>
            </w:r>
          </w:p>
        </w:tc>
        <w:tc>
          <w:tcPr>
            <w:tcW w:type="dxa" w:w="1560"/>
            <w:shd w:val="clear" w:color="auto" w:fill="003087"/>
          </w:tcPr>
          <w:p>
            <w:pPr>
              <w:spacing w:after="40" w:before="40"/>
            </w:pPr>
            <w:r>
              <w:rPr>
                <w:rFonts w:ascii="Calibri" w:hAnsi="Calibri"/>
                <w:b/>
                <w:color w:val="FFFFFF"/>
                <w:sz w:val="20"/>
              </w:rPr>
              <w:t>What causes it</w:t>
            </w:r>
          </w:p>
        </w:tc>
        <w:tc>
          <w:tcPr>
            <w:tcW w:type="dxa" w:w="1560"/>
            <w:shd w:val="clear" w:color="auto" w:fill="003087"/>
          </w:tcPr>
          <w:p>
            <w:pPr>
              <w:spacing w:after="40" w:before="40"/>
            </w:pPr>
            <w:r>
              <w:rPr>
                <w:rFonts w:ascii="Calibri" w:hAnsi="Calibri"/>
                <w:b/>
                <w:color w:val="FFFFFF"/>
                <w:sz w:val="20"/>
              </w:rPr>
              <w:t>What you should do</w:t>
            </w:r>
          </w:p>
        </w:tc>
        <w:tc>
          <w:tcPr>
            <w:tcW w:type="dxa" w:w="1560"/>
            <w:shd w:val="clear" w:color="auto" w:fill="003087"/>
          </w:tcPr>
          <w:p>
            <w:pPr>
              <w:spacing w:after="40" w:before="40"/>
            </w:pPr>
            <w:r>
              <w:rPr>
                <w:rFonts w:ascii="Calibri" w:hAnsi="Calibri"/>
                <w:b/>
                <w:color w:val="FFFFFF"/>
                <w:sz w:val="20"/>
              </w:rPr>
              <w:t>Who can change it</w:t>
            </w:r>
          </w:p>
        </w:tc>
      </w:tr>
      <w:tr>
        <w:tc>
          <w:tcPr>
            <w:tcW w:type="dxa" w:w="1560"/>
          </w:tcPr>
          <w:p>
            <w:pPr>
              <w:spacing w:after="40" w:before="40"/>
            </w:pPr>
            <w:r>
              <w:rPr>
                <w:rFonts w:ascii="Calibri" w:hAnsi="Calibri"/>
                <w:b/>
                <w:color w:val="000000"/>
                <w:sz w:val="20"/>
              </w:rPr>
              <w:t>B1</w:t>
            </w:r>
          </w:p>
        </w:tc>
        <w:tc>
          <w:tcPr>
            <w:tcW w:type="dxa" w:w="1560"/>
          </w:tcPr>
          <w:p>
            <w:pPr>
              <w:spacing w:after="40" w:before="40"/>
            </w:pPr>
            <w:r>
              <w:rPr>
                <w:rFonts w:ascii="Calibri" w:hAnsi="Calibri"/>
                <w:b w:val="0"/>
                <w:color w:val="000000"/>
                <w:sz w:val="20"/>
              </w:rPr>
              <w:t>No Discrepancy</w:t>
            </w:r>
          </w:p>
        </w:tc>
        <w:tc>
          <w:tcPr>
            <w:tcW w:type="dxa" w:w="1560"/>
          </w:tcPr>
          <w:p>
            <w:pPr>
              <w:spacing w:after="40" w:before="40"/>
            </w:pPr>
            <w:r>
              <w:rPr>
                <w:rFonts w:ascii="Calibri" w:hAnsi="Calibri"/>
                <w:b w:val="0"/>
                <w:color w:val="000000"/>
                <w:sz w:val="20"/>
              </w:rPr>
              <w:t>All checks passed within tolerance</w:t>
            </w:r>
          </w:p>
        </w:tc>
        <w:tc>
          <w:tcPr>
            <w:tcW w:type="dxa" w:w="1560"/>
          </w:tcPr>
          <w:p>
            <w:pPr>
              <w:spacing w:after="40" w:before="40"/>
            </w:pPr>
            <w:r>
              <w:rPr>
                <w:rFonts w:ascii="Calibri" w:hAnsi="Calibri"/>
                <w:b w:val="0"/>
                <w:color w:val="000000"/>
                <w:sz w:val="20"/>
              </w:rPr>
              <w:t>No findings raised</w:t>
            </w:r>
          </w:p>
        </w:tc>
        <w:tc>
          <w:tcPr>
            <w:tcW w:type="dxa" w:w="1560"/>
          </w:tcPr>
          <w:p>
            <w:pPr>
              <w:spacing w:after="40" w:before="40"/>
            </w:pPr>
            <w:r>
              <w:rPr>
                <w:rFonts w:ascii="Calibri" w:hAnsi="Calibri"/>
                <w:b w:val="0"/>
                <w:color w:val="000000"/>
                <w:sz w:val="20"/>
              </w:rPr>
              <w:t>If Tier 1, nothing. If Tier 2, confirm the evidence supports it</w:t>
            </w:r>
          </w:p>
        </w:tc>
        <w:tc>
          <w:tcPr>
            <w:tcW w:type="dxa" w:w="1560"/>
          </w:tcPr>
          <w:p>
            <w:pPr>
              <w:spacing w:after="40" w:before="40"/>
            </w:pPr>
            <w:r>
              <w:rPr>
                <w:rFonts w:ascii="Calibri" w:hAnsi="Calibri"/>
                <w:b w:val="0"/>
                <w:color w:val="000000"/>
                <w:sz w:val="20"/>
              </w:rPr>
              <w:t>Reviewer and above</w:t>
            </w:r>
          </w:p>
        </w:tc>
      </w:tr>
      <w:tr>
        <w:tc>
          <w:tcPr>
            <w:tcW w:type="dxa" w:w="1560"/>
            <w:shd w:val="clear" w:color="auto" w:fill="F2F5FA"/>
          </w:tcPr>
          <w:p>
            <w:pPr>
              <w:spacing w:after="40" w:before="40"/>
            </w:pPr>
            <w:r>
              <w:rPr>
                <w:rFonts w:ascii="Calibri" w:hAnsi="Calibri"/>
                <w:b/>
                <w:color w:val="000000"/>
                <w:sz w:val="20"/>
              </w:rPr>
              <w:t>B2</w:t>
            </w:r>
          </w:p>
        </w:tc>
        <w:tc>
          <w:tcPr>
            <w:tcW w:type="dxa" w:w="1560"/>
            <w:shd w:val="clear" w:color="auto" w:fill="F2F5FA"/>
          </w:tcPr>
          <w:p>
            <w:pPr>
              <w:spacing w:after="40" w:before="40"/>
            </w:pPr>
            <w:r>
              <w:rPr>
                <w:rFonts w:ascii="Calibri" w:hAnsi="Calibri"/>
                <w:b w:val="0"/>
                <w:color w:val="000000"/>
                <w:sz w:val="20"/>
              </w:rPr>
              <w:t>Minor or Administrative</w:t>
            </w:r>
          </w:p>
        </w:tc>
        <w:tc>
          <w:tcPr>
            <w:tcW w:type="dxa" w:w="1560"/>
            <w:shd w:val="clear" w:color="auto" w:fill="F2F5FA"/>
          </w:tcPr>
          <w:p>
            <w:pPr>
              <w:spacing w:after="40" w:before="40"/>
            </w:pPr>
            <w:r>
              <w:rPr>
                <w:rFonts w:ascii="Calibri" w:hAnsi="Calibri"/>
                <w:b w:val="0"/>
                <w:color w:val="000000"/>
                <w:sz w:val="20"/>
              </w:rPr>
              <w:t>Real but explainable difference</w:t>
            </w:r>
          </w:p>
        </w:tc>
        <w:tc>
          <w:tcPr>
            <w:tcW w:type="dxa" w:w="1560"/>
            <w:shd w:val="clear" w:color="auto" w:fill="F2F5FA"/>
          </w:tcPr>
          <w:p>
            <w:pPr>
              <w:spacing w:after="40" w:before="40"/>
            </w:pPr>
            <w:r>
              <w:rPr>
                <w:rFonts w:ascii="Calibri" w:hAnsi="Calibri"/>
                <w:b w:val="0"/>
                <w:color w:val="000000"/>
                <w:sz w:val="20"/>
              </w:rPr>
              <w:t>Abbreviation, punctuation, DBA-vs-legal name, address formatting, or a historical exclusion since resolved</w:t>
            </w:r>
          </w:p>
        </w:tc>
        <w:tc>
          <w:tcPr>
            <w:tcW w:type="dxa" w:w="1560"/>
            <w:shd w:val="clear" w:color="auto" w:fill="F2F5FA"/>
          </w:tcPr>
          <w:p>
            <w:pPr>
              <w:spacing w:after="40" w:before="40"/>
            </w:pPr>
            <w:r>
              <w:rPr>
                <w:rFonts w:ascii="Calibri" w:hAnsi="Calibri"/>
                <w:b w:val="0"/>
                <w:color w:val="000000"/>
                <w:sz w:val="20"/>
              </w:rPr>
              <w:t>Confirm the explanation is genuine and record it</w:t>
            </w:r>
          </w:p>
        </w:tc>
        <w:tc>
          <w:tcPr>
            <w:tcW w:type="dxa" w:w="1560"/>
            <w:shd w:val="clear" w:color="auto" w:fill="F2F5FA"/>
          </w:tcPr>
          <w:p>
            <w:pPr>
              <w:spacing w:after="40" w:before="40"/>
            </w:pPr>
            <w:r>
              <w:rPr>
                <w:rFonts w:ascii="Calibri" w:hAnsi="Calibri"/>
                <w:b w:val="0"/>
                <w:color w:val="000000"/>
                <w:sz w:val="20"/>
              </w:rPr>
              <w:t>Reviewer and above</w:t>
            </w:r>
          </w:p>
        </w:tc>
      </w:tr>
      <w:tr>
        <w:tc>
          <w:tcPr>
            <w:tcW w:type="dxa" w:w="1560"/>
          </w:tcPr>
          <w:p>
            <w:pPr>
              <w:spacing w:after="40" w:before="40"/>
            </w:pPr>
            <w:r>
              <w:rPr>
                <w:rFonts w:ascii="Calibri" w:hAnsi="Calibri"/>
                <w:b/>
                <w:color w:val="000000"/>
                <w:sz w:val="20"/>
              </w:rPr>
              <w:t>B3</w:t>
            </w:r>
          </w:p>
        </w:tc>
        <w:tc>
          <w:tcPr>
            <w:tcW w:type="dxa" w:w="1560"/>
          </w:tcPr>
          <w:p>
            <w:pPr>
              <w:spacing w:after="40" w:before="40"/>
            </w:pPr>
            <w:r>
              <w:rPr>
                <w:rFonts w:ascii="Calibri" w:hAnsi="Calibri"/>
                <w:b w:val="0"/>
                <w:color w:val="000000"/>
                <w:sz w:val="20"/>
              </w:rPr>
              <w:t>Inexplicable</w:t>
            </w:r>
          </w:p>
        </w:tc>
        <w:tc>
          <w:tcPr>
            <w:tcW w:type="dxa" w:w="1560"/>
          </w:tcPr>
          <w:p>
            <w:pPr>
              <w:spacing w:after="40" w:before="40"/>
            </w:pPr>
            <w:r>
              <w:rPr>
                <w:rFonts w:ascii="Calibri" w:hAnsi="Calibri"/>
                <w:b w:val="0"/>
                <w:color w:val="000000"/>
                <w:sz w:val="20"/>
              </w:rPr>
              <w:t>The rules could not explain the evidence</w:t>
            </w:r>
          </w:p>
        </w:tc>
        <w:tc>
          <w:tcPr>
            <w:tcW w:type="dxa" w:w="1560"/>
          </w:tcPr>
          <w:p>
            <w:pPr>
              <w:spacing w:after="40" w:before="40"/>
            </w:pPr>
            <w:r>
              <w:rPr>
                <w:rFonts w:ascii="Calibri" w:hAnsi="Calibri"/>
                <w:b w:val="0"/>
                <w:color w:val="000000"/>
                <w:sz w:val="20"/>
              </w:rPr>
              <w:t>Completely different name, state conflict between sources, entity type mismatch, missing NPI, or lapsed SAM registration</w:t>
            </w:r>
          </w:p>
        </w:tc>
        <w:tc>
          <w:tcPr>
            <w:tcW w:type="dxa" w:w="1560"/>
          </w:tcPr>
          <w:p>
            <w:pPr>
              <w:spacing w:after="40" w:before="40"/>
            </w:pPr>
            <w:r>
              <w:rPr>
                <w:rFonts w:ascii="Calibri" w:hAnsi="Calibri"/>
                <w:b/>
                <w:color w:val="000000"/>
                <w:sz w:val="20"/>
              </w:rPr>
              <w:t>Must</w:t>
            </w:r>
            <w:r>
              <w:rPr>
                <w:rFonts w:ascii="Calibri" w:hAnsi="Calibri"/>
                <w:b w:val="0"/>
                <w:color w:val="000000"/>
                <w:sz w:val="20"/>
              </w:rPr>
              <w:t xml:space="preserve"> be resolved by a human — confirm or reclassify, with rationale</w:t>
            </w:r>
          </w:p>
        </w:tc>
        <w:tc>
          <w:tcPr>
            <w:tcW w:type="dxa" w:w="1560"/>
          </w:tcPr>
          <w:p>
            <w:pPr>
              <w:spacing w:after="40" w:before="40"/>
            </w:pPr>
            <w:r>
              <w:rPr>
                <w:rFonts w:ascii="Calibri" w:hAnsi="Calibri"/>
                <w:b w:val="0"/>
                <w:color w:val="000000"/>
                <w:sz w:val="20"/>
              </w:rPr>
              <w:t>Reviewer; escalate to senior analyst</w:t>
            </w:r>
          </w:p>
        </w:tc>
      </w:tr>
      <w:tr>
        <w:tc>
          <w:tcPr>
            <w:tcW w:type="dxa" w:w="1560"/>
            <w:shd w:val="clear" w:color="auto" w:fill="F2F5FA"/>
          </w:tcPr>
          <w:p>
            <w:pPr>
              <w:spacing w:after="40" w:before="40"/>
            </w:pPr>
            <w:r>
              <w:rPr>
                <w:rFonts w:ascii="Calibri" w:hAnsi="Calibri"/>
                <w:b/>
                <w:color w:val="000000"/>
                <w:sz w:val="20"/>
              </w:rPr>
              <w:t>B4</w:t>
            </w:r>
          </w:p>
        </w:tc>
        <w:tc>
          <w:tcPr>
            <w:tcW w:type="dxa" w:w="1560"/>
            <w:shd w:val="clear" w:color="auto" w:fill="F2F5FA"/>
          </w:tcPr>
          <w:p>
            <w:pPr>
              <w:spacing w:after="40" w:before="40"/>
            </w:pPr>
            <w:r>
              <w:rPr>
                <w:rFonts w:ascii="Calibri" w:hAnsi="Calibri"/>
                <w:b w:val="0"/>
                <w:color w:val="000000"/>
                <w:sz w:val="20"/>
              </w:rPr>
              <w:t>Non-Compliant</w:t>
            </w:r>
          </w:p>
        </w:tc>
        <w:tc>
          <w:tcPr>
            <w:tcW w:type="dxa" w:w="1560"/>
            <w:shd w:val="clear" w:color="auto" w:fill="F2F5FA"/>
          </w:tcPr>
          <w:p>
            <w:pPr>
              <w:spacing w:after="40" w:before="40"/>
            </w:pPr>
            <w:r>
              <w:rPr>
                <w:rFonts w:ascii="Calibri" w:hAnsi="Calibri"/>
                <w:b w:val="0"/>
                <w:color w:val="000000"/>
                <w:sz w:val="20"/>
              </w:rPr>
              <w:t>A disqualifying condition is present</w:t>
            </w:r>
          </w:p>
        </w:tc>
        <w:tc>
          <w:tcPr>
            <w:tcW w:type="dxa" w:w="1560"/>
            <w:shd w:val="clear" w:color="auto" w:fill="F2F5FA"/>
          </w:tcPr>
          <w:p>
            <w:pPr>
              <w:spacing w:after="40" w:before="40"/>
            </w:pPr>
            <w:r>
              <w:rPr>
                <w:rFonts w:ascii="Calibri" w:hAnsi="Calibri"/>
                <w:b w:val="0"/>
                <w:color w:val="000000"/>
                <w:sz w:val="20"/>
              </w:rPr>
              <w:t>NPI not found, NPI inactive or deactivated, active LEIE exclusion, active SAM debarment, payment suspension, or an unresolvable name</w:t>
            </w:r>
          </w:p>
        </w:tc>
        <w:tc>
          <w:tcPr>
            <w:tcW w:type="dxa" w:w="1560"/>
            <w:shd w:val="clear" w:color="auto" w:fill="F2F5FA"/>
          </w:tcPr>
          <w:p>
            <w:pPr>
              <w:spacing w:after="40" w:before="40"/>
            </w:pPr>
            <w:r>
              <w:rPr>
                <w:rFonts w:ascii="Calibri" w:hAnsi="Calibri"/>
                <w:b w:val="0"/>
                <w:color w:val="000000"/>
                <w:sz w:val="20"/>
              </w:rPr>
              <w:t>Escalate to Tier 3. Do not close at your level</w:t>
            </w:r>
          </w:p>
        </w:tc>
        <w:tc>
          <w:tcPr>
            <w:tcW w:type="dxa" w:w="1560"/>
            <w:shd w:val="clear" w:color="auto" w:fill="F2F5FA"/>
          </w:tcPr>
          <w:p>
            <w:pPr>
              <w:spacing w:after="40" w:before="40"/>
            </w:pPr>
            <w:r>
              <w:rPr>
                <w:rFonts w:ascii="Calibri" w:hAnsi="Calibri"/>
                <w:b w:val="0"/>
                <w:color w:val="000000"/>
                <w:sz w:val="20"/>
              </w:rPr>
              <w:t>Senior analyst and above</w:t>
            </w:r>
          </w:p>
        </w:tc>
      </w:tr>
    </w:tbl>
    <w:p>
      <w:pPr>
        <w:spacing w:after="80"/>
      </w:pPr>
    </w:p>
    <w:p>
      <w:pPr>
        <w:spacing w:after="120" w:before="0"/>
      </w:pPr>
      <w:r>
        <w:rPr>
          <w:rFonts w:ascii="Calibri" w:hAnsi="Calibri"/>
          <w:b/>
          <w:color w:val="000000"/>
          <w:sz w:val="22"/>
        </w:rPr>
        <w:t>Worst finding wins.</w:t>
      </w:r>
      <w:r>
        <w:rPr>
          <w:rFonts w:ascii="Calibri" w:hAnsi="Calibri"/>
          <w:b w:val="0"/>
          <w:color w:val="000000"/>
          <w:sz w:val="22"/>
        </w:rPr>
        <w:t xml:space="preserve"> A single B4 finding makes the record B4 no matter how many other checks passed.</w:t>
      </w:r>
    </w:p>
    <w:p>
      <w:pPr>
        <w:pStyle w:val="Heading2"/>
        <w:keepNext/>
        <w:spacing w:before="200" w:after="120"/>
        <w:outlineLvl w:val="1"/>
      </w:pPr>
      <w:r>
        <w:rPr>
          <w:rFonts w:ascii="Calibri" w:hAnsi="Calibri"/>
          <w:b/>
          <w:color w:val="003087"/>
          <w:sz w:val="25"/>
        </w:rPr>
        <w:t>12.2 Indeterminate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What it means</w:t>
            </w:r>
          </w:p>
        </w:tc>
        <w:tc>
          <w:tcPr>
            <w:tcW w:type="dxa" w:w="4680"/>
            <w:shd w:val="clear" w:color="auto" w:fill="003087"/>
          </w:tcPr>
          <w:p>
            <w:pPr>
              <w:spacing w:after="40" w:before="40"/>
            </w:pPr>
            <w:r>
              <w:rPr>
                <w:rFonts w:ascii="Calibri" w:hAnsi="Calibri"/>
                <w:b/>
                <w:color w:val="FFFFFF"/>
                <w:sz w:val="20"/>
              </w:rPr>
              <w:t>One or more required sources did not answer, so the evidence is incomplete and the result cannot be trusted in either direction</w:t>
            </w:r>
          </w:p>
        </w:tc>
      </w:tr>
      <w:tr>
        <w:tc>
          <w:tcPr>
            <w:tcW w:type="dxa" w:w="4680"/>
          </w:tcPr>
          <w:p>
            <w:pPr>
              <w:spacing w:after="40" w:before="40"/>
            </w:pPr>
            <w:r>
              <w:rPr>
                <w:rFonts w:ascii="Calibri" w:hAnsi="Calibri"/>
                <w:b/>
                <w:color w:val="000000"/>
                <w:sz w:val="20"/>
              </w:rPr>
              <w:t>Label shown</w:t>
            </w:r>
          </w:p>
        </w:tc>
        <w:tc>
          <w:tcPr>
            <w:tcW w:type="dxa" w:w="4680"/>
          </w:tcPr>
          <w:p>
            <w:pPr>
              <w:spacing w:after="40" w:before="40"/>
            </w:pPr>
            <w:r>
              <w:rPr>
                <w:rFonts w:ascii="Calibri" w:hAnsi="Calibri"/>
                <w:b w:val="0"/>
                <w:color w:val="000000"/>
                <w:sz w:val="20"/>
              </w:rPr>
              <w:t>"Indeterminate — Source Unavailable", with the specific sources named</w:t>
            </w:r>
          </w:p>
        </w:tc>
      </w:tr>
      <w:tr>
        <w:tc>
          <w:tcPr>
            <w:tcW w:type="dxa" w:w="4680"/>
            <w:shd w:val="clear" w:color="auto" w:fill="F2F5FA"/>
          </w:tcPr>
          <w:p>
            <w:pPr>
              <w:spacing w:after="40" w:before="40"/>
            </w:pPr>
            <w:r>
              <w:rPr>
                <w:rFonts w:ascii="Calibri" w:hAnsi="Calibri"/>
                <w:b/>
                <w:color w:val="000000"/>
                <w:sz w:val="20"/>
              </w:rPr>
              <w:t>What causes it</w:t>
            </w:r>
          </w:p>
        </w:tc>
        <w:tc>
          <w:tcPr>
            <w:tcW w:type="dxa" w:w="4680"/>
            <w:shd w:val="clear" w:color="auto" w:fill="F2F5FA"/>
          </w:tcPr>
          <w:p>
            <w:pPr>
              <w:spacing w:after="40" w:before="40"/>
            </w:pPr>
            <w:r>
              <w:rPr>
                <w:rFonts w:ascii="Calibri" w:hAnsi="Calibri"/>
                <w:b w:val="0"/>
                <w:color w:val="000000"/>
                <w:sz w:val="20"/>
              </w:rPr>
              <w:t xml:space="preserve">Any required source in an </w:t>
            </w:r>
            <w:r>
              <w:rPr>
                <w:rFonts w:ascii="Consolas" w:hAnsi="Consolas"/>
                <w:color w:val="000000"/>
                <w:sz w:val="20"/>
              </w:rPr>
              <w:t>unavailable</w:t>
            </w:r>
            <w:r>
              <w:rPr>
                <w:rFonts w:ascii="Calibri" w:hAnsi="Calibri"/>
                <w:b w:val="0"/>
                <w:color w:val="000000"/>
                <w:sz w:val="20"/>
              </w:rPr>
              <w:t xml:space="preserve"> state at the time of the run</w:t>
            </w:r>
          </w:p>
        </w:tc>
      </w:tr>
      <w:tr>
        <w:tc>
          <w:tcPr>
            <w:tcW w:type="dxa" w:w="4680"/>
          </w:tcPr>
          <w:p>
            <w:pPr>
              <w:spacing w:after="40" w:before="40"/>
            </w:pPr>
            <w:r>
              <w:rPr>
                <w:rFonts w:ascii="Calibri" w:hAnsi="Calibri"/>
                <w:b/>
                <w:color w:val="000000"/>
                <w:sz w:val="20"/>
              </w:rPr>
              <w:t>What you should do</w:t>
            </w:r>
          </w:p>
        </w:tc>
        <w:tc>
          <w:tcPr>
            <w:tcW w:type="dxa" w:w="4680"/>
          </w:tcPr>
          <w:p>
            <w:pPr>
              <w:spacing w:after="40" w:before="40"/>
            </w:pPr>
            <w:r>
              <w:rPr>
                <w:rFonts w:ascii="Calibri" w:hAnsi="Calibri"/>
                <w:b w:val="0"/>
                <w:color w:val="000000"/>
                <w:sz w:val="20"/>
              </w:rPr>
              <w:t>Do not close it as clean. Either re-run once the source recovers, or review it as a human with the gap explicitly documented</w:t>
            </w:r>
          </w:p>
        </w:tc>
      </w:tr>
      <w:tr>
        <w:tc>
          <w:tcPr>
            <w:tcW w:type="dxa" w:w="4680"/>
            <w:shd w:val="clear" w:color="auto" w:fill="F2F5FA"/>
          </w:tcPr>
          <w:p>
            <w:pPr>
              <w:spacing w:after="40" w:before="40"/>
            </w:pPr>
            <w:r>
              <w:rPr>
                <w:rFonts w:ascii="Calibri" w:hAnsi="Calibri"/>
                <w:b/>
                <w:color w:val="000000"/>
                <w:sz w:val="20"/>
              </w:rPr>
              <w:t>Who can resolve it</w:t>
            </w:r>
          </w:p>
        </w:tc>
        <w:tc>
          <w:tcPr>
            <w:tcW w:type="dxa" w:w="4680"/>
            <w:shd w:val="clear" w:color="auto" w:fill="F2F5FA"/>
          </w:tcPr>
          <w:p>
            <w:pPr>
              <w:spacing w:after="40" w:before="40"/>
            </w:pPr>
            <w:r>
              <w:rPr>
                <w:rFonts w:ascii="Calibri" w:hAnsi="Calibri"/>
                <w:b w:val="0"/>
                <w:color w:val="000000"/>
                <w:sz w:val="20"/>
              </w:rPr>
              <w:t>Reviewer and above, with a rationale that acknowledges the missing evidence</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Indeterminate is the platform protecting you. A clean-looking record whose exclusion source was down is precisely the failure mode this status exists to prevent. It can never be auto-classified.</w:t>
            </w:r>
          </w:p>
        </w:tc>
      </w:tr>
    </w:tbl>
    <w:p>
      <w:pPr>
        <w:spacing w:after="80"/>
      </w:pPr>
    </w:p>
    <w:p>
      <w:pPr>
        <w:pStyle w:val="Heading2"/>
        <w:keepNext/>
        <w:spacing w:before="200" w:after="120"/>
        <w:outlineLvl w:val="1"/>
      </w:pPr>
      <w:r>
        <w:rPr>
          <w:rFonts w:ascii="Calibri" w:hAnsi="Calibri"/>
          <w:b/>
          <w:color w:val="003087"/>
          <w:sz w:val="25"/>
        </w:rPr>
        <w:t>12.3 Source states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087"/>
          </w:tcPr>
          <w:p>
            <w:pPr>
              <w:spacing w:after="40" w:before="40"/>
            </w:pPr>
            <w:r>
              <w:rPr>
                <w:rFonts w:ascii="Calibri" w:hAnsi="Calibri"/>
                <w:b/>
                <w:color w:val="FFFFFF"/>
                <w:sz w:val="20"/>
              </w:rPr>
              <w:t>State</w:t>
            </w:r>
          </w:p>
        </w:tc>
        <w:tc>
          <w:tcPr>
            <w:tcW w:type="dxa" w:w="2340"/>
            <w:shd w:val="clear" w:color="auto" w:fill="003087"/>
          </w:tcPr>
          <w:p>
            <w:pPr>
              <w:spacing w:after="40" w:before="40"/>
            </w:pPr>
            <w:r>
              <w:rPr>
                <w:rFonts w:ascii="Calibri" w:hAnsi="Calibri"/>
                <w:b/>
                <w:color w:val="FFFFFF"/>
                <w:sz w:val="20"/>
              </w:rPr>
              <w:t>Meaning</w:t>
            </w:r>
          </w:p>
        </w:tc>
        <w:tc>
          <w:tcPr>
            <w:tcW w:type="dxa" w:w="2340"/>
            <w:shd w:val="clear" w:color="auto" w:fill="003087"/>
          </w:tcPr>
          <w:p>
            <w:pPr>
              <w:spacing w:after="40" w:before="40"/>
            </w:pPr>
            <w:r>
              <w:rPr>
                <w:rFonts w:ascii="Calibri" w:hAnsi="Calibri"/>
                <w:b/>
                <w:color w:val="FFFFFF"/>
                <w:sz w:val="20"/>
              </w:rPr>
              <w:t>What caused it</w:t>
            </w:r>
          </w:p>
        </w:tc>
        <w:tc>
          <w:tcPr>
            <w:tcW w:type="dxa" w:w="2340"/>
            <w:shd w:val="clear" w:color="auto" w:fill="003087"/>
          </w:tcPr>
          <w:p>
            <w:pPr>
              <w:spacing w:after="40" w:before="40"/>
            </w:pPr>
            <w:r>
              <w:rPr>
                <w:rFonts w:ascii="Calibri" w:hAnsi="Calibri"/>
                <w:b/>
                <w:color w:val="FFFFFF"/>
                <w:sz w:val="20"/>
              </w:rPr>
              <w:t>What you should do</w:t>
            </w:r>
          </w:p>
        </w:tc>
      </w:tr>
      <w:tr>
        <w:tc>
          <w:tcPr>
            <w:tcW w:type="dxa" w:w="2340"/>
          </w:tcPr>
          <w:p>
            <w:pPr>
              <w:spacing w:after="40" w:before="40"/>
            </w:pPr>
            <w:r>
              <w:rPr>
                <w:rFonts w:ascii="Calibri" w:hAnsi="Calibri"/>
                <w:b/>
                <w:color w:val="000000"/>
                <w:sz w:val="20"/>
              </w:rPr>
              <w:t>verified</w:t>
            </w:r>
          </w:p>
        </w:tc>
        <w:tc>
          <w:tcPr>
            <w:tcW w:type="dxa" w:w="2340"/>
          </w:tcPr>
          <w:p>
            <w:pPr>
              <w:spacing w:after="40" w:before="40"/>
            </w:pPr>
            <w:r>
              <w:rPr>
                <w:rFonts w:ascii="Calibri" w:hAnsi="Calibri"/>
                <w:b w:val="0"/>
                <w:color w:val="000000"/>
                <w:sz w:val="20"/>
              </w:rPr>
              <w:t>The source has this record and it matches</w:t>
            </w:r>
          </w:p>
        </w:tc>
        <w:tc>
          <w:tcPr>
            <w:tcW w:type="dxa" w:w="2340"/>
          </w:tcPr>
          <w:p>
            <w:pPr>
              <w:spacing w:after="40" w:before="40"/>
            </w:pPr>
            <w:r>
              <w:rPr>
                <w:rFonts w:ascii="Calibri" w:hAnsi="Calibri"/>
                <w:b w:val="0"/>
                <w:color w:val="000000"/>
                <w:sz w:val="20"/>
              </w:rPr>
              <w:t>Successful lookup</w:t>
            </w:r>
          </w:p>
        </w:tc>
        <w:tc>
          <w:tcPr>
            <w:tcW w:type="dxa" w:w="2340"/>
          </w:tcPr>
          <w:p>
            <w:pPr>
              <w:spacing w:after="40" w:before="40"/>
            </w:pPr>
            <w:r>
              <w:rPr>
                <w:rFonts w:ascii="Calibri" w:hAnsi="Calibri"/>
                <w:b w:val="0"/>
                <w:color w:val="000000"/>
                <w:sz w:val="20"/>
              </w:rPr>
              <w:t>Nothing</w:t>
            </w:r>
          </w:p>
        </w:tc>
      </w:tr>
      <w:tr>
        <w:tc>
          <w:tcPr>
            <w:tcW w:type="dxa" w:w="2340"/>
            <w:shd w:val="clear" w:color="auto" w:fill="F2F5FA"/>
          </w:tcPr>
          <w:p>
            <w:pPr>
              <w:spacing w:after="40" w:before="40"/>
            </w:pPr>
            <w:r>
              <w:rPr>
                <w:rFonts w:ascii="Calibri" w:hAnsi="Calibri"/>
                <w:b/>
                <w:color w:val="000000"/>
                <w:sz w:val="20"/>
              </w:rPr>
              <w:t>not_found</w:t>
            </w:r>
          </w:p>
        </w:tc>
        <w:tc>
          <w:tcPr>
            <w:tcW w:type="dxa" w:w="2340"/>
            <w:shd w:val="clear" w:color="auto" w:fill="F2F5FA"/>
          </w:tcPr>
          <w:p>
            <w:pPr>
              <w:spacing w:after="40" w:before="40"/>
            </w:pPr>
            <w:r>
              <w:rPr>
                <w:rFonts w:ascii="Calibri" w:hAnsi="Calibri"/>
                <w:b w:val="0"/>
                <w:color w:val="000000"/>
                <w:sz w:val="20"/>
              </w:rPr>
              <w:t>The source answered and does not hold this record</w:t>
            </w:r>
          </w:p>
        </w:tc>
        <w:tc>
          <w:tcPr>
            <w:tcW w:type="dxa" w:w="2340"/>
            <w:shd w:val="clear" w:color="auto" w:fill="F2F5FA"/>
          </w:tcPr>
          <w:p>
            <w:pPr>
              <w:spacing w:after="40" w:before="40"/>
            </w:pPr>
            <w:r>
              <w:rPr>
                <w:rFonts w:ascii="Calibri" w:hAnsi="Calibri"/>
                <w:b w:val="0"/>
                <w:color w:val="000000"/>
                <w:sz w:val="20"/>
              </w:rPr>
              <w:t>Successful lookup, negative result</w:t>
            </w:r>
          </w:p>
        </w:tc>
        <w:tc>
          <w:tcPr>
            <w:tcW w:type="dxa" w:w="2340"/>
            <w:shd w:val="clear" w:color="auto" w:fill="F2F5FA"/>
          </w:tcPr>
          <w:p>
            <w:pPr>
              <w:spacing w:after="40" w:before="40"/>
            </w:pPr>
            <w:r>
              <w:rPr>
                <w:rFonts w:ascii="Calibri" w:hAnsi="Calibri"/>
                <w:b w:val="0"/>
                <w:color w:val="000000"/>
                <w:sz w:val="20"/>
              </w:rPr>
              <w:t>Treat as evidence about the entity</w:t>
            </w:r>
          </w:p>
        </w:tc>
      </w:tr>
      <w:tr>
        <w:tc>
          <w:tcPr>
            <w:tcW w:type="dxa" w:w="2340"/>
          </w:tcPr>
          <w:p>
            <w:pPr>
              <w:spacing w:after="40" w:before="40"/>
            </w:pPr>
            <w:r>
              <w:rPr>
                <w:rFonts w:ascii="Calibri" w:hAnsi="Calibri"/>
                <w:b/>
                <w:color w:val="000000"/>
                <w:sz w:val="20"/>
              </w:rPr>
              <w:t>unavailable</w:t>
            </w:r>
          </w:p>
        </w:tc>
        <w:tc>
          <w:tcPr>
            <w:tcW w:type="dxa" w:w="2340"/>
          </w:tcPr>
          <w:p>
            <w:pPr>
              <w:spacing w:after="40" w:before="40"/>
            </w:pPr>
            <w:r>
              <w:rPr>
                <w:rFonts w:ascii="Calibri" w:hAnsi="Calibri"/>
                <w:b w:val="0"/>
                <w:color w:val="000000"/>
                <w:sz w:val="20"/>
              </w:rPr>
              <w:t>The source did not answer</w:t>
            </w:r>
          </w:p>
        </w:tc>
        <w:tc>
          <w:tcPr>
            <w:tcW w:type="dxa" w:w="2340"/>
          </w:tcPr>
          <w:p>
            <w:pPr>
              <w:spacing w:after="40" w:before="40"/>
            </w:pPr>
            <w:r>
              <w:rPr>
                <w:rFonts w:ascii="Calibri" w:hAnsi="Calibri"/>
                <w:b w:val="0"/>
                <w:color w:val="000000"/>
                <w:sz w:val="20"/>
              </w:rPr>
              <w:t>Outage, timeout, or non-success response</w:t>
            </w:r>
          </w:p>
        </w:tc>
        <w:tc>
          <w:tcPr>
            <w:tcW w:type="dxa" w:w="2340"/>
          </w:tcPr>
          <w:p>
            <w:pPr>
              <w:spacing w:after="40" w:before="40"/>
            </w:pPr>
            <w:r>
              <w:rPr>
                <w:rFonts w:ascii="Calibri" w:hAnsi="Calibri"/>
                <w:b w:val="0"/>
                <w:color w:val="000000"/>
                <w:sz w:val="20"/>
              </w:rPr>
              <w:t>Treat as a gap. Re-run later</w:t>
            </w:r>
          </w:p>
        </w:tc>
      </w:tr>
      <w:tr>
        <w:tc>
          <w:tcPr>
            <w:tcW w:type="dxa" w:w="2340"/>
            <w:shd w:val="clear" w:color="auto" w:fill="F2F5FA"/>
          </w:tcPr>
          <w:p>
            <w:pPr>
              <w:spacing w:after="40" w:before="40"/>
            </w:pPr>
            <w:r>
              <w:rPr>
                <w:rFonts w:ascii="Calibri" w:hAnsi="Calibri"/>
                <w:b/>
                <w:color w:val="000000"/>
                <w:sz w:val="20"/>
              </w:rPr>
              <w:t>not_checked</w:t>
            </w:r>
          </w:p>
        </w:tc>
        <w:tc>
          <w:tcPr>
            <w:tcW w:type="dxa" w:w="2340"/>
            <w:shd w:val="clear" w:color="auto" w:fill="F2F5FA"/>
          </w:tcPr>
          <w:p>
            <w:pPr>
              <w:spacing w:after="40" w:before="40"/>
            </w:pPr>
            <w:r>
              <w:rPr>
                <w:rFonts w:ascii="Calibri" w:hAnsi="Calibri"/>
                <w:b w:val="0"/>
                <w:color w:val="000000"/>
                <w:sz w:val="20"/>
              </w:rPr>
              <w:t>No connector, or the connector is not operational</w:t>
            </w:r>
          </w:p>
        </w:tc>
        <w:tc>
          <w:tcPr>
            <w:tcW w:type="dxa" w:w="2340"/>
            <w:shd w:val="clear" w:color="auto" w:fill="F2F5FA"/>
          </w:tcPr>
          <w:p>
            <w:pPr>
              <w:spacing w:after="40" w:before="40"/>
            </w:pPr>
            <w:r>
              <w:rPr>
                <w:rFonts w:ascii="Calibri" w:hAnsi="Calibri"/>
                <w:b w:val="0"/>
                <w:color w:val="000000"/>
                <w:sz w:val="20"/>
              </w:rPr>
              <w:t>A stated reason accompanies it</w:t>
            </w:r>
          </w:p>
        </w:tc>
        <w:tc>
          <w:tcPr>
            <w:tcW w:type="dxa" w:w="2340"/>
            <w:shd w:val="clear" w:color="auto" w:fill="F2F5FA"/>
          </w:tcPr>
          <w:p>
            <w:pPr>
              <w:spacing w:after="40" w:before="40"/>
            </w:pPr>
            <w:r>
              <w:rPr>
                <w:rFonts w:ascii="Calibri" w:hAnsi="Calibri"/>
                <w:b w:val="0"/>
                <w:color w:val="000000"/>
                <w:sz w:val="20"/>
              </w:rPr>
              <w:t>Read the reason. This needs a decision, not a retry</w:t>
            </w:r>
          </w:p>
        </w:tc>
      </w:tr>
      <w:tr>
        <w:tc>
          <w:tcPr>
            <w:tcW w:type="dxa" w:w="2340"/>
          </w:tcPr>
          <w:p>
            <w:pPr>
              <w:spacing w:after="40" w:before="40"/>
            </w:pPr>
            <w:r>
              <w:rPr>
                <w:rFonts w:ascii="Calibri" w:hAnsi="Calibri"/>
                <w:b/>
                <w:color w:val="000000"/>
                <w:sz w:val="20"/>
              </w:rPr>
              <w:t>failed</w:t>
            </w:r>
          </w:p>
        </w:tc>
        <w:tc>
          <w:tcPr>
            <w:tcW w:type="dxa" w:w="2340"/>
          </w:tcPr>
          <w:p>
            <w:pPr>
              <w:spacing w:after="40" w:before="40"/>
            </w:pPr>
            <w:r>
              <w:rPr>
                <w:rFonts w:ascii="Calibri" w:hAnsi="Calibri"/>
                <w:b w:val="0"/>
                <w:color w:val="000000"/>
                <w:sz w:val="20"/>
              </w:rPr>
              <w:t>The call errored</w:t>
            </w:r>
          </w:p>
        </w:tc>
        <w:tc>
          <w:tcPr>
            <w:tcW w:type="dxa" w:w="2340"/>
          </w:tcPr>
          <w:p>
            <w:pPr>
              <w:spacing w:after="40" w:before="40"/>
            </w:pPr>
            <w:r>
              <w:rPr>
                <w:rFonts w:ascii="Calibri" w:hAnsi="Calibri"/>
                <w:b w:val="0"/>
                <w:color w:val="000000"/>
                <w:sz w:val="20"/>
              </w:rPr>
              <w:t>Platform or network error</w:t>
            </w:r>
          </w:p>
        </w:tc>
        <w:tc>
          <w:tcPr>
            <w:tcW w:type="dxa" w:w="2340"/>
          </w:tcPr>
          <w:p>
            <w:pPr>
              <w:spacing w:after="40" w:before="40"/>
            </w:pPr>
            <w:r>
              <w:rPr>
                <w:rFonts w:ascii="Calibri" w:hAnsi="Calibri"/>
                <w:b w:val="0"/>
                <w:color w:val="000000"/>
                <w:sz w:val="20"/>
              </w:rPr>
              <w:t>Report to the administrator</w:t>
            </w:r>
          </w:p>
        </w:tc>
      </w:tr>
      <w:tr>
        <w:tc>
          <w:tcPr>
            <w:tcW w:type="dxa" w:w="2340"/>
            <w:shd w:val="clear" w:color="auto" w:fill="F2F5FA"/>
          </w:tcPr>
          <w:p>
            <w:pPr>
              <w:spacing w:after="40" w:before="40"/>
            </w:pPr>
            <w:r>
              <w:rPr>
                <w:rFonts w:ascii="Calibri" w:hAnsi="Calibri"/>
                <w:b/>
                <w:color w:val="000000"/>
                <w:sz w:val="20"/>
              </w:rPr>
              <w:t>clear</w:t>
            </w:r>
          </w:p>
        </w:tc>
        <w:tc>
          <w:tcPr>
            <w:tcW w:type="dxa" w:w="2340"/>
            <w:shd w:val="clear" w:color="auto" w:fill="F2F5FA"/>
          </w:tcPr>
          <w:p>
            <w:pPr>
              <w:spacing w:after="40" w:before="40"/>
            </w:pPr>
            <w:r>
              <w:rPr>
                <w:rFonts w:ascii="Calibri" w:hAnsi="Calibri"/>
                <w:b w:val="0"/>
                <w:color w:val="000000"/>
                <w:sz w:val="20"/>
              </w:rPr>
              <w:t>Exclusion screening found no exclusion</w:t>
            </w:r>
          </w:p>
        </w:tc>
        <w:tc>
          <w:tcPr>
            <w:tcW w:type="dxa" w:w="2340"/>
            <w:shd w:val="clear" w:color="auto" w:fill="F2F5FA"/>
          </w:tcPr>
          <w:p>
            <w:pPr>
              <w:spacing w:after="40" w:before="40"/>
            </w:pPr>
            <w:r>
              <w:rPr>
                <w:rFonts w:ascii="Calibri" w:hAnsi="Calibri"/>
                <w:b w:val="0"/>
                <w:color w:val="000000"/>
                <w:sz w:val="20"/>
              </w:rPr>
              <w:t>LEIE responded negatively</w:t>
            </w:r>
          </w:p>
        </w:tc>
        <w:tc>
          <w:tcPr>
            <w:tcW w:type="dxa" w:w="2340"/>
            <w:shd w:val="clear" w:color="auto" w:fill="F2F5FA"/>
          </w:tcPr>
          <w:p>
            <w:pPr>
              <w:spacing w:after="40" w:before="40"/>
            </w:pPr>
            <w:r>
              <w:rPr>
                <w:rFonts w:ascii="Calibri" w:hAnsi="Calibri"/>
                <w:b w:val="0"/>
                <w:color w:val="000000"/>
                <w:sz w:val="20"/>
              </w:rPr>
              <w:t>Nothing</w:t>
            </w:r>
          </w:p>
        </w:tc>
      </w:tr>
      <w:tr>
        <w:tc>
          <w:tcPr>
            <w:tcW w:type="dxa" w:w="2340"/>
          </w:tcPr>
          <w:p>
            <w:pPr>
              <w:spacing w:after="40" w:before="40"/>
            </w:pPr>
            <w:r>
              <w:rPr>
                <w:rFonts w:ascii="Calibri" w:hAnsi="Calibri"/>
                <w:b/>
                <w:color w:val="000000"/>
                <w:sz w:val="20"/>
              </w:rPr>
              <w:t>excluded</w:t>
            </w:r>
          </w:p>
        </w:tc>
        <w:tc>
          <w:tcPr>
            <w:tcW w:type="dxa" w:w="2340"/>
          </w:tcPr>
          <w:p>
            <w:pPr>
              <w:spacing w:after="40" w:before="40"/>
            </w:pPr>
            <w:r>
              <w:rPr>
                <w:rFonts w:ascii="Calibri" w:hAnsi="Calibri"/>
                <w:b w:val="0"/>
                <w:color w:val="000000"/>
                <w:sz w:val="20"/>
              </w:rPr>
              <w:t>An exclusion was found</w:t>
            </w:r>
          </w:p>
        </w:tc>
        <w:tc>
          <w:tcPr>
            <w:tcW w:type="dxa" w:w="2340"/>
          </w:tcPr>
          <w:p>
            <w:pPr>
              <w:spacing w:after="40" w:before="40"/>
            </w:pPr>
            <w:r>
              <w:rPr>
                <w:rFonts w:ascii="Calibri" w:hAnsi="Calibri"/>
                <w:b w:val="0"/>
                <w:color w:val="000000"/>
                <w:sz w:val="20"/>
              </w:rPr>
              <w:t>LEIE responded positively</w:t>
            </w:r>
          </w:p>
        </w:tc>
        <w:tc>
          <w:tcPr>
            <w:tcW w:type="dxa" w:w="2340"/>
          </w:tcPr>
          <w:p>
            <w:pPr>
              <w:spacing w:after="40" w:before="40"/>
            </w:pPr>
            <w:r>
              <w:rPr>
                <w:rFonts w:ascii="Calibri" w:hAnsi="Calibri"/>
                <w:b w:val="0"/>
                <w:color w:val="000000"/>
                <w:sz w:val="20"/>
              </w:rPr>
              <w:t>Escalate immediately</w:t>
            </w:r>
          </w:p>
        </w:tc>
      </w:tr>
    </w:tbl>
    <w:p>
      <w:pPr>
        <w:spacing w:after="80"/>
      </w:pPr>
    </w:p>
    <w:p>
      <w:pPr>
        <w:pStyle w:val="Heading2"/>
        <w:keepNext/>
        <w:spacing w:before="200" w:after="120"/>
        <w:outlineLvl w:val="1"/>
      </w:pPr>
      <w:r>
        <w:rPr>
          <w:rFonts w:ascii="Calibri" w:hAnsi="Calibri"/>
          <w:b/>
          <w:color w:val="003087"/>
          <w:sz w:val="25"/>
        </w:rPr>
        <w:t>12.4 Connector health badges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Badge</w:t>
            </w:r>
          </w:p>
        </w:tc>
        <w:tc>
          <w:tcPr>
            <w:tcW w:type="dxa" w:w="3120"/>
            <w:shd w:val="clear" w:color="auto" w:fill="003087"/>
          </w:tcPr>
          <w:p>
            <w:pPr>
              <w:spacing w:after="40" w:before="40"/>
            </w:pPr>
            <w:r>
              <w:rPr>
                <w:rFonts w:ascii="Calibri" w:hAnsi="Calibri"/>
                <w:b/>
                <w:color w:val="FFFFFF"/>
                <w:sz w:val="20"/>
              </w:rPr>
              <w:t>Meaning</w:t>
            </w:r>
          </w:p>
        </w:tc>
        <w:tc>
          <w:tcPr>
            <w:tcW w:type="dxa" w:w="3120"/>
            <w:shd w:val="clear" w:color="auto" w:fill="003087"/>
          </w:tcPr>
          <w:p>
            <w:pPr>
              <w:spacing w:after="40" w:before="40"/>
            </w:pPr>
            <w:r>
              <w:rPr>
                <w:rFonts w:ascii="Calibri" w:hAnsi="Calibri"/>
                <w:b/>
                <w:color w:val="FFFFFF"/>
                <w:sz w:val="20"/>
              </w:rPr>
              <w:t>Colour</w:t>
            </w:r>
          </w:p>
        </w:tc>
      </w:tr>
      <w:tr>
        <w:tc>
          <w:tcPr>
            <w:tcW w:type="dxa" w:w="3120"/>
          </w:tcPr>
          <w:p>
            <w:pPr>
              <w:spacing w:after="40" w:before="40"/>
            </w:pPr>
            <w:r>
              <w:rPr>
                <w:rFonts w:ascii="Calibri" w:hAnsi="Calibri"/>
                <w:b/>
                <w:color w:val="000000"/>
                <w:sz w:val="20"/>
              </w:rPr>
              <w:t>Live</w:t>
            </w:r>
          </w:p>
        </w:tc>
        <w:tc>
          <w:tcPr>
            <w:tcW w:type="dxa" w:w="3120"/>
          </w:tcPr>
          <w:p>
            <w:pPr>
              <w:spacing w:after="40" w:before="40"/>
            </w:pPr>
            <w:r>
              <w:rPr>
                <w:rFonts w:ascii="Calibri" w:hAnsi="Calibri"/>
                <w:b w:val="0"/>
                <w:color w:val="000000"/>
                <w:sz w:val="20"/>
              </w:rPr>
              <w:t>Health check affirmatively reported healthy</w:t>
            </w:r>
          </w:p>
        </w:tc>
        <w:tc>
          <w:tcPr>
            <w:tcW w:type="dxa" w:w="3120"/>
          </w:tcPr>
          <w:p>
            <w:pPr>
              <w:spacing w:after="40" w:before="40"/>
            </w:pPr>
            <w:r>
              <w:rPr>
                <w:rFonts w:ascii="Calibri" w:hAnsi="Calibri"/>
                <w:b w:val="0"/>
                <w:color w:val="000000"/>
                <w:sz w:val="20"/>
              </w:rPr>
              <w:t>Green</w:t>
            </w:r>
          </w:p>
        </w:tc>
      </w:tr>
      <w:tr>
        <w:tc>
          <w:tcPr>
            <w:tcW w:type="dxa" w:w="3120"/>
            <w:shd w:val="clear" w:color="auto" w:fill="F2F5FA"/>
          </w:tcPr>
          <w:p>
            <w:pPr>
              <w:spacing w:after="40" w:before="40"/>
            </w:pPr>
            <w:r>
              <w:rPr>
                <w:rFonts w:ascii="Calibri" w:hAnsi="Calibri"/>
                <w:b/>
                <w:color w:val="000000"/>
                <w:sz w:val="20"/>
              </w:rPr>
              <w:t>Partial</w:t>
            </w:r>
          </w:p>
        </w:tc>
        <w:tc>
          <w:tcPr>
            <w:tcW w:type="dxa" w:w="3120"/>
            <w:shd w:val="clear" w:color="auto" w:fill="F2F5FA"/>
          </w:tcPr>
          <w:p>
            <w:pPr>
              <w:spacing w:after="40" w:before="40"/>
            </w:pPr>
            <w:r>
              <w:rPr>
                <w:rFonts w:ascii="Calibri" w:hAnsi="Calibri"/>
                <w:b w:val="0"/>
                <w:color w:val="000000"/>
                <w:sz w:val="20"/>
              </w:rPr>
              <w:t>Operating with a stated limitation</w:t>
            </w:r>
          </w:p>
        </w:tc>
        <w:tc>
          <w:tcPr>
            <w:tcW w:type="dxa" w:w="3120"/>
            <w:shd w:val="clear" w:color="auto" w:fill="F2F5FA"/>
          </w:tcPr>
          <w:p>
            <w:pPr>
              <w:spacing w:after="40" w:before="40"/>
            </w:pPr>
            <w:r>
              <w:rPr>
                <w:rFonts w:ascii="Calibri" w:hAnsi="Calibri"/>
                <w:b w:val="0"/>
                <w:color w:val="000000"/>
                <w:sz w:val="20"/>
              </w:rPr>
              <w:t>Amber</w:t>
            </w:r>
          </w:p>
        </w:tc>
      </w:tr>
      <w:tr>
        <w:tc>
          <w:tcPr>
            <w:tcW w:type="dxa" w:w="3120"/>
          </w:tcPr>
          <w:p>
            <w:pPr>
              <w:spacing w:after="40" w:before="40"/>
            </w:pPr>
            <w:r>
              <w:rPr>
                <w:rFonts w:ascii="Calibri" w:hAnsi="Calibri"/>
                <w:b/>
                <w:color w:val="000000"/>
                <w:sz w:val="20"/>
              </w:rPr>
              <w:t>Unavailable</w:t>
            </w:r>
          </w:p>
        </w:tc>
        <w:tc>
          <w:tcPr>
            <w:tcW w:type="dxa" w:w="3120"/>
          </w:tcPr>
          <w:p>
            <w:pPr>
              <w:spacing w:after="40" w:before="40"/>
            </w:pPr>
            <w:r>
              <w:rPr>
                <w:rFonts w:ascii="Calibri" w:hAnsi="Calibri"/>
                <w:b w:val="0"/>
                <w:color w:val="000000"/>
                <w:sz w:val="20"/>
              </w:rPr>
              <w:t>Not configured or not reachable — not a fault in itself</w:t>
            </w:r>
          </w:p>
        </w:tc>
        <w:tc>
          <w:tcPr>
            <w:tcW w:type="dxa" w:w="3120"/>
          </w:tcPr>
          <w:p>
            <w:pPr>
              <w:spacing w:after="40" w:before="40"/>
            </w:pPr>
            <w:r>
              <w:rPr>
                <w:rFonts w:ascii="Calibri" w:hAnsi="Calibri"/>
                <w:b w:val="0"/>
                <w:color w:val="000000"/>
                <w:sz w:val="20"/>
              </w:rPr>
              <w:t>Amber</w:t>
            </w:r>
          </w:p>
        </w:tc>
      </w:tr>
      <w:tr>
        <w:tc>
          <w:tcPr>
            <w:tcW w:type="dxa" w:w="3120"/>
            <w:shd w:val="clear" w:color="auto" w:fill="F2F5FA"/>
          </w:tcPr>
          <w:p>
            <w:pPr>
              <w:spacing w:after="40" w:before="40"/>
            </w:pPr>
            <w:r>
              <w:rPr>
                <w:rFonts w:ascii="Calibri" w:hAnsi="Calibri"/>
                <w:b/>
                <w:color w:val="000000"/>
                <w:sz w:val="20"/>
              </w:rPr>
              <w:t>Error</w:t>
            </w:r>
          </w:p>
        </w:tc>
        <w:tc>
          <w:tcPr>
            <w:tcW w:type="dxa" w:w="3120"/>
            <w:shd w:val="clear" w:color="auto" w:fill="F2F5FA"/>
          </w:tcPr>
          <w:p>
            <w:pPr>
              <w:spacing w:after="40" w:before="40"/>
            </w:pPr>
            <w:r>
              <w:rPr>
                <w:rFonts w:ascii="Calibri" w:hAnsi="Calibri"/>
                <w:b w:val="0"/>
                <w:color w:val="000000"/>
                <w:sz w:val="20"/>
              </w:rPr>
              <w:t>A source that normally answers has failed</w:t>
            </w:r>
          </w:p>
        </w:tc>
        <w:tc>
          <w:tcPr>
            <w:tcW w:type="dxa" w:w="3120"/>
            <w:shd w:val="clear" w:color="auto" w:fill="F2F5FA"/>
          </w:tcPr>
          <w:p>
            <w:pPr>
              <w:spacing w:after="40" w:before="40"/>
            </w:pPr>
            <w:r>
              <w:rPr>
                <w:rFonts w:ascii="Calibri" w:hAnsi="Calibri"/>
                <w:b w:val="0"/>
                <w:color w:val="000000"/>
                <w:sz w:val="20"/>
              </w:rPr>
              <w:t>Red</w:t>
            </w:r>
          </w:p>
        </w:tc>
      </w:tr>
      <w:tr>
        <w:tc>
          <w:tcPr>
            <w:tcW w:type="dxa" w:w="3120"/>
          </w:tcPr>
          <w:p>
            <w:pPr>
              <w:spacing w:after="40" w:before="40"/>
            </w:pPr>
            <w:r>
              <w:rPr>
                <w:rFonts w:ascii="Calibri" w:hAnsi="Calibri"/>
                <w:b/>
                <w:color w:val="000000"/>
                <w:sz w:val="20"/>
              </w:rPr>
              <w:t>Unable to Verify</w:t>
            </w:r>
          </w:p>
        </w:tc>
        <w:tc>
          <w:tcPr>
            <w:tcW w:type="dxa" w:w="3120"/>
          </w:tcPr>
          <w:p>
            <w:pPr>
              <w:spacing w:after="40" w:before="40"/>
            </w:pPr>
            <w:r>
              <w:rPr>
                <w:rFonts w:ascii="Calibri" w:hAnsi="Calibri"/>
                <w:b w:val="0"/>
                <w:color w:val="000000"/>
                <w:sz w:val="20"/>
              </w:rPr>
              <w:t>Health could not be established</w:t>
            </w:r>
          </w:p>
        </w:tc>
        <w:tc>
          <w:tcPr>
            <w:tcW w:type="dxa" w:w="3120"/>
          </w:tcPr>
          <w:p>
            <w:pPr>
              <w:spacing w:after="40" w:before="40"/>
            </w:pPr>
            <w:r>
              <w:rPr>
                <w:rFonts w:ascii="Calibri" w:hAnsi="Calibri"/>
                <w:b w:val="0"/>
                <w:color w:val="000000"/>
                <w:sz w:val="20"/>
              </w:rPr>
              <w:t>Grey</w:t>
            </w:r>
          </w:p>
        </w:tc>
      </w:tr>
      <w:tr>
        <w:tc>
          <w:tcPr>
            <w:tcW w:type="dxa" w:w="3120"/>
            <w:shd w:val="clear" w:color="auto" w:fill="F2F5FA"/>
          </w:tcPr>
          <w:p>
            <w:pPr>
              <w:spacing w:after="40" w:before="40"/>
            </w:pPr>
            <w:r>
              <w:rPr>
                <w:rFonts w:ascii="Calibri" w:hAnsi="Calibri"/>
                <w:b/>
                <w:color w:val="000000"/>
                <w:sz w:val="20"/>
              </w:rPr>
              <w:t>Mock</w:t>
            </w:r>
          </w:p>
        </w:tc>
        <w:tc>
          <w:tcPr>
            <w:tcW w:type="dxa" w:w="3120"/>
            <w:shd w:val="clear" w:color="auto" w:fill="F2F5FA"/>
          </w:tcPr>
          <w:p>
            <w:pPr>
              <w:spacing w:after="40" w:before="40"/>
            </w:pPr>
            <w:r>
              <w:rPr>
                <w:rFonts w:ascii="Calibri" w:hAnsi="Calibri"/>
                <w:b w:val="0"/>
                <w:color w:val="000000"/>
                <w:sz w:val="20"/>
              </w:rPr>
              <w:t>Declared as not wired to a live source</w:t>
            </w:r>
          </w:p>
        </w:tc>
        <w:tc>
          <w:tcPr>
            <w:tcW w:type="dxa" w:w="3120"/>
            <w:shd w:val="clear" w:color="auto" w:fill="F2F5FA"/>
          </w:tcPr>
          <w:p>
            <w:pPr>
              <w:spacing w:after="40" w:before="40"/>
            </w:pPr>
            <w:r>
              <w:rPr>
                <w:rFonts w:ascii="Calibri" w:hAnsi="Calibri"/>
                <w:b w:val="0"/>
                <w:color w:val="000000"/>
                <w:sz w:val="20"/>
              </w:rPr>
              <w:t>Amber</w:t>
            </w:r>
          </w:p>
        </w:tc>
      </w:tr>
    </w:tbl>
    <w:p>
      <w:pPr>
        <w:spacing w:after="80"/>
      </w:pPr>
    </w:p>
    <w:p>
      <w:pPr>
        <w:pStyle w:val="Heading2"/>
        <w:keepNext/>
        <w:spacing w:before="200" w:after="120"/>
        <w:outlineLvl w:val="1"/>
      </w:pPr>
      <w:r>
        <w:rPr>
          <w:rFonts w:ascii="Calibri" w:hAnsi="Calibri"/>
          <w:b/>
          <w:color w:val="003087"/>
          <w:sz w:val="25"/>
        </w:rPr>
        <w:t>12.5 Review record statuses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Status</w:t>
            </w:r>
          </w:p>
        </w:tc>
        <w:tc>
          <w:tcPr>
            <w:tcW w:type="dxa" w:w="3120"/>
            <w:shd w:val="clear" w:color="auto" w:fill="003087"/>
          </w:tcPr>
          <w:p>
            <w:pPr>
              <w:spacing w:after="40" w:before="40"/>
            </w:pPr>
            <w:r>
              <w:rPr>
                <w:rFonts w:ascii="Calibri" w:hAnsi="Calibri"/>
                <w:b/>
                <w:color w:val="FFFFFF"/>
                <w:sz w:val="20"/>
              </w:rPr>
              <w:t>Meaning</w:t>
            </w:r>
          </w:p>
        </w:tc>
        <w:tc>
          <w:tcPr>
            <w:tcW w:type="dxa" w:w="3120"/>
            <w:shd w:val="clear" w:color="auto" w:fill="003087"/>
          </w:tcPr>
          <w:p>
            <w:pPr>
              <w:spacing w:after="40" w:before="40"/>
            </w:pPr>
            <w:r>
              <w:rPr>
                <w:rFonts w:ascii="Calibri" w:hAnsi="Calibri"/>
                <w:b/>
                <w:color w:val="FFFFFF"/>
                <w:sz w:val="20"/>
              </w:rPr>
              <w:t>Who sets it</w:t>
            </w:r>
          </w:p>
        </w:tc>
      </w:tr>
      <w:tr>
        <w:tc>
          <w:tcPr>
            <w:tcW w:type="dxa" w:w="3120"/>
          </w:tcPr>
          <w:p>
            <w:pPr>
              <w:spacing w:after="40" w:before="40"/>
            </w:pPr>
            <w:r>
              <w:rPr>
                <w:rFonts w:ascii="Calibri" w:hAnsi="Calibri"/>
                <w:b/>
                <w:color w:val="000000"/>
                <w:sz w:val="20"/>
              </w:rPr>
              <w:t>pending</w:t>
            </w:r>
          </w:p>
        </w:tc>
        <w:tc>
          <w:tcPr>
            <w:tcW w:type="dxa" w:w="3120"/>
          </w:tcPr>
          <w:p>
            <w:pPr>
              <w:spacing w:after="40" w:before="40"/>
            </w:pPr>
            <w:r>
              <w:rPr>
                <w:rFonts w:ascii="Calibri" w:hAnsi="Calibri"/>
                <w:b w:val="0"/>
                <w:color w:val="000000"/>
                <w:sz w:val="20"/>
              </w:rPr>
              <w:t>Awaiting review</w:t>
            </w:r>
          </w:p>
        </w:tc>
        <w:tc>
          <w:tcPr>
            <w:tcW w:type="dxa" w:w="3120"/>
          </w:tcPr>
          <w:p>
            <w:pPr>
              <w:spacing w:after="40" w:before="40"/>
            </w:pPr>
            <w:r>
              <w:rPr>
                <w:rFonts w:ascii="Calibri" w:hAnsi="Calibri"/>
                <w:b w:val="0"/>
                <w:color w:val="000000"/>
                <w:sz w:val="20"/>
              </w:rPr>
              <w:t>System</w:t>
            </w:r>
          </w:p>
        </w:tc>
      </w:tr>
      <w:tr>
        <w:tc>
          <w:tcPr>
            <w:tcW w:type="dxa" w:w="3120"/>
            <w:shd w:val="clear" w:color="auto" w:fill="F2F5FA"/>
          </w:tcPr>
          <w:p>
            <w:pPr>
              <w:spacing w:after="40" w:before="40"/>
            </w:pPr>
            <w:r>
              <w:rPr>
                <w:rFonts w:ascii="Calibri" w:hAnsi="Calibri"/>
                <w:b/>
                <w:color w:val="000000"/>
                <w:sz w:val="20"/>
              </w:rPr>
              <w:t>reviewed</w:t>
            </w:r>
          </w:p>
        </w:tc>
        <w:tc>
          <w:tcPr>
            <w:tcW w:type="dxa" w:w="3120"/>
            <w:shd w:val="clear" w:color="auto" w:fill="F2F5FA"/>
          </w:tcPr>
          <w:p>
            <w:pPr>
              <w:spacing w:after="40" w:before="40"/>
            </w:pPr>
            <w:r>
              <w:rPr>
                <w:rFonts w:ascii="Calibri" w:hAnsi="Calibri"/>
                <w:b w:val="0"/>
                <w:color w:val="000000"/>
                <w:sz w:val="20"/>
              </w:rPr>
              <w:t>A human has confirmed or reclassified it</w:t>
            </w:r>
          </w:p>
        </w:tc>
        <w:tc>
          <w:tcPr>
            <w:tcW w:type="dxa" w:w="3120"/>
            <w:shd w:val="clear" w:color="auto" w:fill="F2F5FA"/>
          </w:tcPr>
          <w:p>
            <w:pPr>
              <w:spacing w:after="40" w:before="40"/>
            </w:pPr>
            <w:r>
              <w:rPr>
                <w:rFonts w:ascii="Calibri" w:hAnsi="Calibri"/>
                <w:b w:val="0"/>
                <w:color w:val="000000"/>
                <w:sz w:val="20"/>
              </w:rPr>
              <w:t>Reviewer and above</w:t>
            </w:r>
          </w:p>
        </w:tc>
      </w:tr>
      <w:tr>
        <w:tc>
          <w:tcPr>
            <w:tcW w:type="dxa" w:w="3120"/>
          </w:tcPr>
          <w:p>
            <w:pPr>
              <w:spacing w:after="40" w:before="40"/>
            </w:pPr>
            <w:r>
              <w:rPr>
                <w:rFonts w:ascii="Calibri" w:hAnsi="Calibri"/>
                <w:b/>
                <w:color w:val="000000"/>
                <w:sz w:val="20"/>
              </w:rPr>
              <w:t>confirmed</w:t>
            </w:r>
          </w:p>
        </w:tc>
        <w:tc>
          <w:tcPr>
            <w:tcW w:type="dxa" w:w="3120"/>
          </w:tcPr>
          <w:p>
            <w:pPr>
              <w:spacing w:after="40" w:before="40"/>
            </w:pPr>
            <w:r>
              <w:rPr>
                <w:rFonts w:ascii="Calibri" w:hAnsi="Calibri"/>
                <w:b w:val="0"/>
                <w:color w:val="000000"/>
                <w:sz w:val="20"/>
              </w:rPr>
              <w:t>The reviewer agreed with the engine's classification</w:t>
            </w:r>
          </w:p>
        </w:tc>
        <w:tc>
          <w:tcPr>
            <w:tcW w:type="dxa" w:w="3120"/>
          </w:tcPr>
          <w:p>
            <w:pPr>
              <w:spacing w:after="40" w:before="40"/>
            </w:pPr>
            <w:r>
              <w:rPr>
                <w:rFonts w:ascii="Calibri" w:hAnsi="Calibri"/>
                <w:b w:val="0"/>
                <w:color w:val="000000"/>
                <w:sz w:val="20"/>
              </w:rPr>
              <w:t>Reviewer</w:t>
            </w:r>
          </w:p>
        </w:tc>
      </w:tr>
      <w:tr>
        <w:tc>
          <w:tcPr>
            <w:tcW w:type="dxa" w:w="3120"/>
            <w:shd w:val="clear" w:color="auto" w:fill="F2F5FA"/>
          </w:tcPr>
          <w:p>
            <w:pPr>
              <w:spacing w:after="40" w:before="40"/>
            </w:pPr>
            <w:r>
              <w:rPr>
                <w:rFonts w:ascii="Calibri" w:hAnsi="Calibri"/>
                <w:b/>
                <w:color w:val="000000"/>
                <w:sz w:val="20"/>
              </w:rPr>
              <w:t>reclassified</w:t>
            </w:r>
          </w:p>
        </w:tc>
        <w:tc>
          <w:tcPr>
            <w:tcW w:type="dxa" w:w="3120"/>
            <w:shd w:val="clear" w:color="auto" w:fill="F2F5FA"/>
          </w:tcPr>
          <w:p>
            <w:pPr>
              <w:spacing w:after="40" w:before="40"/>
            </w:pPr>
            <w:r>
              <w:rPr>
                <w:rFonts w:ascii="Calibri" w:hAnsi="Calibri"/>
                <w:b w:val="0"/>
                <w:color w:val="000000"/>
                <w:sz w:val="20"/>
              </w:rPr>
              <w:t>The reviewer changed the bucket</w:t>
            </w:r>
          </w:p>
        </w:tc>
        <w:tc>
          <w:tcPr>
            <w:tcW w:type="dxa" w:w="3120"/>
            <w:shd w:val="clear" w:color="auto" w:fill="F2F5FA"/>
          </w:tcPr>
          <w:p>
            <w:pPr>
              <w:spacing w:after="40" w:before="40"/>
            </w:pPr>
            <w:r>
              <w:rPr>
                <w:rFonts w:ascii="Calibri" w:hAnsi="Calibri"/>
                <w:b w:val="0"/>
                <w:color w:val="000000"/>
                <w:sz w:val="20"/>
              </w:rPr>
              <w:t>Reviewer</w:t>
            </w:r>
          </w:p>
        </w:tc>
      </w:tr>
    </w:tbl>
    <w:p>
      <w:pPr>
        <w:spacing w:after="80"/>
      </w:pPr>
    </w:p>
    <w:p>
      <w:pPr>
        <w:spacing w:after="120" w:before="0"/>
      </w:pPr>
      <w:r>
        <w:rPr>
          <w:rFonts w:ascii="Calibri" w:hAnsi="Calibri"/>
          <w:b w:val="0"/>
          <w:color w:val="000000"/>
          <w:sz w:val="22"/>
        </w:rPr>
        <w:t xml:space="preserve">The </w:t>
      </w:r>
      <w:r>
        <w:rPr>
          <w:rFonts w:ascii="Calibri" w:hAnsi="Calibri"/>
          <w:b/>
          <w:color w:val="000000"/>
          <w:sz w:val="22"/>
        </w:rPr>
        <w:t>effective bucket</w:t>
      </w:r>
      <w:r>
        <w:rPr>
          <w:rFonts w:ascii="Calibri" w:hAnsi="Calibri"/>
          <w:b w:val="0"/>
          <w:color w:val="000000"/>
          <w:sz w:val="22"/>
        </w:rPr>
        <w:t xml:space="preserve"> is the reviewer's reclassification where one was made, and the engine's classification otherwise. Reports use the effective bucket.</w:t>
      </w:r>
    </w:p>
    <w:p>
      <w:pPr>
        <w:pStyle w:val="Heading2"/>
        <w:keepNext/>
        <w:spacing w:before="200" w:after="120"/>
        <w:outlineLvl w:val="1"/>
      </w:pPr>
      <w:r>
        <w:rPr>
          <w:rFonts w:ascii="Calibri" w:hAnsi="Calibri"/>
          <w:b/>
          <w:color w:val="003087"/>
          <w:sz w:val="25"/>
        </w:rPr>
        <w:t>12.6 Entity lifecycle states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State</w:t>
            </w:r>
          </w:p>
        </w:tc>
        <w:tc>
          <w:tcPr>
            <w:tcW w:type="dxa" w:w="3120"/>
            <w:shd w:val="clear" w:color="auto" w:fill="003087"/>
          </w:tcPr>
          <w:p>
            <w:pPr>
              <w:spacing w:after="40" w:before="40"/>
            </w:pPr>
            <w:r>
              <w:rPr>
                <w:rFonts w:ascii="Calibri" w:hAnsi="Calibri"/>
                <w:b/>
                <w:color w:val="FFFFFF"/>
                <w:sz w:val="20"/>
              </w:rPr>
              <w:t>Meaning</w:t>
            </w:r>
          </w:p>
        </w:tc>
        <w:tc>
          <w:tcPr>
            <w:tcW w:type="dxa" w:w="3120"/>
            <w:shd w:val="clear" w:color="auto" w:fill="003087"/>
          </w:tcPr>
          <w:p>
            <w:pPr>
              <w:spacing w:after="40" w:before="40"/>
            </w:pPr>
            <w:r>
              <w:rPr>
                <w:rFonts w:ascii="Calibri" w:hAnsi="Calibri"/>
                <w:b/>
                <w:color w:val="FFFFFF"/>
                <w:sz w:val="20"/>
              </w:rPr>
              <w:t>Can move to</w:t>
            </w:r>
          </w:p>
        </w:tc>
      </w:tr>
      <w:tr>
        <w:tc>
          <w:tcPr>
            <w:tcW w:type="dxa" w:w="3120"/>
          </w:tcPr>
          <w:p>
            <w:pPr>
              <w:spacing w:after="40" w:before="40"/>
            </w:pPr>
            <w:r>
              <w:rPr>
                <w:rFonts w:ascii="Calibri" w:hAnsi="Calibri"/>
                <w:b/>
                <w:color w:val="000000"/>
                <w:sz w:val="20"/>
              </w:rPr>
              <w:t>draft</w:t>
            </w:r>
          </w:p>
        </w:tc>
        <w:tc>
          <w:tcPr>
            <w:tcW w:type="dxa" w:w="3120"/>
          </w:tcPr>
          <w:p>
            <w:pPr>
              <w:spacing w:after="40" w:before="40"/>
            </w:pPr>
            <w:r>
              <w:rPr>
                <w:rFonts w:ascii="Calibri" w:hAnsi="Calibri"/>
                <w:b w:val="0"/>
                <w:color w:val="000000"/>
                <w:sz w:val="20"/>
              </w:rPr>
              <w:t>Record created, not yet submitted for verification</w:t>
            </w:r>
          </w:p>
        </w:tc>
        <w:tc>
          <w:tcPr>
            <w:tcW w:type="dxa" w:w="3120"/>
          </w:tcPr>
          <w:p>
            <w:pPr>
              <w:spacing w:after="40" w:before="40"/>
            </w:pPr>
            <w:r>
              <w:rPr>
                <w:rFonts w:ascii="Calibri" w:hAnsi="Calibri"/>
                <w:b w:val="0"/>
                <w:color w:val="000000"/>
                <w:sz w:val="20"/>
              </w:rPr>
              <w:t>pending_verification</w:t>
            </w:r>
          </w:p>
        </w:tc>
      </w:tr>
      <w:tr>
        <w:tc>
          <w:tcPr>
            <w:tcW w:type="dxa" w:w="3120"/>
            <w:shd w:val="clear" w:color="auto" w:fill="F2F5FA"/>
          </w:tcPr>
          <w:p>
            <w:pPr>
              <w:spacing w:after="40" w:before="40"/>
            </w:pPr>
            <w:r>
              <w:rPr>
                <w:rFonts w:ascii="Calibri" w:hAnsi="Calibri"/>
                <w:b/>
                <w:color w:val="000000"/>
                <w:sz w:val="20"/>
              </w:rPr>
              <w:t>pending_verification</w:t>
            </w:r>
          </w:p>
        </w:tc>
        <w:tc>
          <w:tcPr>
            <w:tcW w:type="dxa" w:w="3120"/>
            <w:shd w:val="clear" w:color="auto" w:fill="F2F5FA"/>
          </w:tcPr>
          <w:p>
            <w:pPr>
              <w:spacing w:after="40" w:before="40"/>
            </w:pPr>
            <w:r>
              <w:rPr>
                <w:rFonts w:ascii="Calibri" w:hAnsi="Calibri"/>
                <w:b w:val="0"/>
                <w:color w:val="000000"/>
                <w:sz w:val="20"/>
              </w:rPr>
              <w:t>Submitted, verification in progress or awaiting outcome</w:t>
            </w:r>
          </w:p>
        </w:tc>
        <w:tc>
          <w:tcPr>
            <w:tcW w:type="dxa" w:w="3120"/>
            <w:shd w:val="clear" w:color="auto" w:fill="F2F5FA"/>
          </w:tcPr>
          <w:p>
            <w:pPr>
              <w:spacing w:after="40" w:before="40"/>
            </w:pPr>
            <w:r>
              <w:rPr>
                <w:rFonts w:ascii="Calibri" w:hAnsi="Calibri"/>
                <w:b w:val="0"/>
                <w:color w:val="000000"/>
                <w:sz w:val="20"/>
              </w:rPr>
              <w:t>active, draft</w:t>
            </w:r>
          </w:p>
        </w:tc>
      </w:tr>
      <w:tr>
        <w:tc>
          <w:tcPr>
            <w:tcW w:type="dxa" w:w="3120"/>
          </w:tcPr>
          <w:p>
            <w:pPr>
              <w:spacing w:after="40" w:before="40"/>
            </w:pPr>
            <w:r>
              <w:rPr>
                <w:rFonts w:ascii="Calibri" w:hAnsi="Calibri"/>
                <w:b/>
                <w:color w:val="000000"/>
                <w:sz w:val="20"/>
              </w:rPr>
              <w:t>active</w:t>
            </w:r>
          </w:p>
        </w:tc>
        <w:tc>
          <w:tcPr>
            <w:tcW w:type="dxa" w:w="3120"/>
          </w:tcPr>
          <w:p>
            <w:pPr>
              <w:spacing w:after="40" w:before="40"/>
            </w:pPr>
            <w:r>
              <w:rPr>
                <w:rFonts w:ascii="Calibri" w:hAnsi="Calibri"/>
                <w:b w:val="0"/>
                <w:color w:val="000000"/>
                <w:sz w:val="20"/>
              </w:rPr>
              <w:t>Verified and operating</w:t>
            </w:r>
          </w:p>
        </w:tc>
        <w:tc>
          <w:tcPr>
            <w:tcW w:type="dxa" w:w="3120"/>
          </w:tcPr>
          <w:p>
            <w:pPr>
              <w:spacing w:after="40" w:before="40"/>
            </w:pPr>
            <w:r>
              <w:rPr>
                <w:rFonts w:ascii="Calibri" w:hAnsi="Calibri"/>
                <w:b w:val="0"/>
                <w:color w:val="000000"/>
                <w:sz w:val="20"/>
              </w:rPr>
              <w:t>suspended, inactive</w:t>
            </w:r>
          </w:p>
        </w:tc>
      </w:tr>
      <w:tr>
        <w:tc>
          <w:tcPr>
            <w:tcW w:type="dxa" w:w="3120"/>
            <w:shd w:val="clear" w:color="auto" w:fill="F2F5FA"/>
          </w:tcPr>
          <w:p>
            <w:pPr>
              <w:spacing w:after="40" w:before="40"/>
            </w:pPr>
            <w:r>
              <w:rPr>
                <w:rFonts w:ascii="Calibri" w:hAnsi="Calibri"/>
                <w:b/>
                <w:color w:val="000000"/>
                <w:sz w:val="20"/>
              </w:rPr>
              <w:t>suspended</w:t>
            </w:r>
          </w:p>
        </w:tc>
        <w:tc>
          <w:tcPr>
            <w:tcW w:type="dxa" w:w="3120"/>
            <w:shd w:val="clear" w:color="auto" w:fill="F2F5FA"/>
          </w:tcPr>
          <w:p>
            <w:pPr>
              <w:spacing w:after="40" w:before="40"/>
            </w:pPr>
            <w:r>
              <w:rPr>
                <w:rFonts w:ascii="Calibri" w:hAnsi="Calibri"/>
                <w:b w:val="0"/>
                <w:color w:val="000000"/>
                <w:sz w:val="20"/>
              </w:rPr>
              <w:t>Temporarily halted</w:t>
            </w:r>
          </w:p>
        </w:tc>
        <w:tc>
          <w:tcPr>
            <w:tcW w:type="dxa" w:w="3120"/>
            <w:shd w:val="clear" w:color="auto" w:fill="F2F5FA"/>
          </w:tcPr>
          <w:p>
            <w:pPr>
              <w:spacing w:after="40" w:before="40"/>
            </w:pPr>
            <w:r>
              <w:rPr>
                <w:rFonts w:ascii="Calibri" w:hAnsi="Calibri"/>
                <w:b w:val="0"/>
                <w:color w:val="000000"/>
                <w:sz w:val="20"/>
              </w:rPr>
              <w:t>active, inactive</w:t>
            </w:r>
          </w:p>
        </w:tc>
      </w:tr>
      <w:tr>
        <w:tc>
          <w:tcPr>
            <w:tcW w:type="dxa" w:w="3120"/>
          </w:tcPr>
          <w:p>
            <w:pPr>
              <w:spacing w:after="40" w:before="40"/>
            </w:pPr>
            <w:r>
              <w:rPr>
                <w:rFonts w:ascii="Calibri" w:hAnsi="Calibri"/>
                <w:b/>
                <w:color w:val="000000"/>
                <w:sz w:val="20"/>
              </w:rPr>
              <w:t>inactive</w:t>
            </w:r>
          </w:p>
        </w:tc>
        <w:tc>
          <w:tcPr>
            <w:tcW w:type="dxa" w:w="3120"/>
          </w:tcPr>
          <w:p>
            <w:pPr>
              <w:spacing w:after="40" w:before="40"/>
            </w:pPr>
            <w:r>
              <w:rPr>
                <w:rFonts w:ascii="Calibri" w:hAnsi="Calibri"/>
                <w:b w:val="0"/>
                <w:color w:val="000000"/>
                <w:sz w:val="20"/>
              </w:rPr>
              <w:t xml:space="preserve">Deregistered. </w:t>
            </w:r>
            <w:r>
              <w:rPr>
                <w:rFonts w:ascii="Calibri" w:hAnsi="Calibri"/>
                <w:b/>
                <w:color w:val="000000"/>
                <w:sz w:val="20"/>
              </w:rPr>
              <w:t>Terminal</w:t>
            </w:r>
          </w:p>
        </w:tc>
        <w:tc>
          <w:tcPr>
            <w:tcW w:type="dxa" w:w="3120"/>
          </w:tcPr>
          <w:p>
            <w:pPr>
              <w:spacing w:after="40" w:before="40"/>
            </w:pPr>
            <w:r>
              <w:rPr>
                <w:rFonts w:ascii="Calibri" w:hAnsi="Calibri"/>
                <w:b w:val="0"/>
                <w:color w:val="000000"/>
                <w:sz w:val="20"/>
              </w:rPr>
              <w:t>Nothing</w:t>
            </w:r>
          </w:p>
        </w:tc>
      </w:tr>
    </w:tbl>
    <w:p>
      <w:pPr>
        <w:spacing w:after="80"/>
      </w:pPr>
    </w:p>
    <w:p>
      <w:pPr>
        <w:spacing w:after="120" w:before="0"/>
      </w:pPr>
      <w:r>
        <w:rPr>
          <w:rFonts w:ascii="Calibri" w:hAnsi="Calibri"/>
          <w:b w:val="0"/>
          <w:color w:val="000000"/>
          <w:sz w:val="22"/>
        </w:rPr>
        <w:t>Transitions outside this model are refused with an explanation, and the refusal is written to the audit trail. An attempt to move an entity straight from draft to active is exactly the event an auditor wants to see, so it is recorded rather than silently rejected.</w:t>
      </w:r>
    </w:p>
    <w:p>
      <w:pPr>
        <w:spacing w:after="120" w:before="0"/>
      </w:pPr>
      <w:r>
        <w:rPr>
          <w:rFonts w:ascii="Calibri" w:hAnsi="Calibri"/>
          <w:b w:val="0"/>
          <w:color w:val="000000"/>
          <w:sz w:val="22"/>
        </w:rPr>
        <w:t>A deregistered entity cannot be reactivated; it must be re-registered. This is deliberate.</w:t>
      </w:r>
    </w:p>
    <w:p>
      <w:pPr>
        <w:pStyle w:val="Heading2"/>
        <w:keepNext/>
        <w:spacing w:before="200" w:after="120"/>
        <w:outlineLvl w:val="1"/>
      </w:pPr>
      <w:r>
        <w:rPr>
          <w:rFonts w:ascii="Calibri" w:hAnsi="Calibri"/>
          <w:b/>
          <w:color w:val="003087"/>
          <w:sz w:val="25"/>
        </w:rPr>
        <w:t>12.7 Entity verification status (Registry)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Status</w:t>
            </w:r>
          </w:p>
        </w:tc>
        <w:tc>
          <w:tcPr>
            <w:tcW w:type="dxa" w:w="4680"/>
            <w:shd w:val="clear" w:color="auto" w:fill="003087"/>
          </w:tcPr>
          <w:p>
            <w:pPr>
              <w:spacing w:after="40" w:before="40"/>
            </w:pPr>
            <w:r>
              <w:rPr>
                <w:rFonts w:ascii="Calibri" w:hAnsi="Calibri"/>
                <w:b/>
                <w:color w:val="FFFFFF"/>
                <w:sz w:val="20"/>
              </w:rPr>
              <w:t>Meaning</w:t>
            </w:r>
          </w:p>
        </w:tc>
      </w:tr>
      <w:tr>
        <w:tc>
          <w:tcPr>
            <w:tcW w:type="dxa" w:w="4680"/>
          </w:tcPr>
          <w:p>
            <w:pPr>
              <w:spacing w:after="40" w:before="40"/>
            </w:pPr>
            <w:r>
              <w:rPr>
                <w:rFonts w:ascii="Calibri" w:hAnsi="Calibri"/>
                <w:b/>
                <w:color w:val="000000"/>
                <w:sz w:val="20"/>
              </w:rPr>
              <w:t>verified</w:t>
            </w:r>
          </w:p>
        </w:tc>
        <w:tc>
          <w:tcPr>
            <w:tcW w:type="dxa" w:w="4680"/>
          </w:tcPr>
          <w:p>
            <w:pPr>
              <w:spacing w:after="40" w:before="40"/>
            </w:pPr>
            <w:r>
              <w:rPr>
                <w:rFonts w:ascii="Calibri" w:hAnsi="Calibri"/>
                <w:b w:val="0"/>
                <w:color w:val="000000"/>
                <w:sz w:val="20"/>
              </w:rPr>
              <w:t>No structural findings</w:t>
            </w:r>
          </w:p>
        </w:tc>
      </w:tr>
      <w:tr>
        <w:tc>
          <w:tcPr>
            <w:tcW w:type="dxa" w:w="4680"/>
            <w:shd w:val="clear" w:color="auto" w:fill="F2F5FA"/>
          </w:tcPr>
          <w:p>
            <w:pPr>
              <w:spacing w:after="40" w:before="40"/>
            </w:pPr>
            <w:r>
              <w:rPr>
                <w:rFonts w:ascii="Calibri" w:hAnsi="Calibri"/>
                <w:b/>
                <w:color w:val="000000"/>
                <w:sz w:val="20"/>
              </w:rPr>
              <w:t>in_review</w:t>
            </w:r>
          </w:p>
        </w:tc>
        <w:tc>
          <w:tcPr>
            <w:tcW w:type="dxa" w:w="4680"/>
            <w:shd w:val="clear" w:color="auto" w:fill="F2F5FA"/>
          </w:tcPr>
          <w:p>
            <w:pPr>
              <w:spacing w:after="40" w:before="40"/>
            </w:pPr>
            <w:r>
              <w:rPr>
                <w:rFonts w:ascii="Calibri" w:hAnsi="Calibri"/>
                <w:b w:val="0"/>
                <w:color w:val="000000"/>
                <w:sz w:val="20"/>
              </w:rPr>
              <w:t>Findings exist, none critical or high</w:t>
            </w:r>
          </w:p>
        </w:tc>
      </w:tr>
      <w:tr>
        <w:tc>
          <w:tcPr>
            <w:tcW w:type="dxa" w:w="4680"/>
          </w:tcPr>
          <w:p>
            <w:pPr>
              <w:spacing w:after="40" w:before="40"/>
            </w:pPr>
            <w:r>
              <w:rPr>
                <w:rFonts w:ascii="Calibri" w:hAnsi="Calibri"/>
                <w:b/>
                <w:color w:val="000000"/>
                <w:sz w:val="20"/>
              </w:rPr>
              <w:t>exception</w:t>
            </w:r>
          </w:p>
        </w:tc>
        <w:tc>
          <w:tcPr>
            <w:tcW w:type="dxa" w:w="4680"/>
          </w:tcPr>
          <w:p>
            <w:pPr>
              <w:spacing w:after="40" w:before="40"/>
            </w:pPr>
            <w:r>
              <w:rPr>
                <w:rFonts w:ascii="Calibri" w:hAnsi="Calibri"/>
                <w:b w:val="0"/>
                <w:color w:val="000000"/>
                <w:sz w:val="20"/>
              </w:rPr>
              <w:t>At least one critical or high finding</w:t>
            </w:r>
          </w:p>
        </w:tc>
      </w:tr>
    </w:tbl>
    <w:p>
      <w:pPr>
        <w:spacing w:after="80"/>
      </w:pPr>
    </w:p>
    <w:p>
      <w:pPr>
        <w:pStyle w:val="Heading2"/>
        <w:keepNext/>
        <w:spacing w:before="200" w:after="120"/>
        <w:outlineLvl w:val="1"/>
      </w:pPr>
      <w:r>
        <w:rPr>
          <w:rFonts w:ascii="Calibri" w:hAnsi="Calibri"/>
          <w:b/>
          <w:color w:val="003087"/>
          <w:sz w:val="25"/>
        </w:rPr>
        <w:t>12.8 Finding severities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Severity</w:t>
            </w:r>
          </w:p>
        </w:tc>
        <w:tc>
          <w:tcPr>
            <w:tcW w:type="dxa" w:w="3120"/>
            <w:shd w:val="clear" w:color="auto" w:fill="003087"/>
          </w:tcPr>
          <w:p>
            <w:pPr>
              <w:spacing w:after="40" w:before="40"/>
            </w:pPr>
            <w:r>
              <w:rPr>
                <w:rFonts w:ascii="Calibri" w:hAnsi="Calibri"/>
                <w:b/>
                <w:color w:val="FFFFFF"/>
                <w:sz w:val="20"/>
              </w:rPr>
              <w:t>Meaning</w:t>
            </w:r>
          </w:p>
        </w:tc>
        <w:tc>
          <w:tcPr>
            <w:tcW w:type="dxa" w:w="3120"/>
            <w:shd w:val="clear" w:color="auto" w:fill="003087"/>
          </w:tcPr>
          <w:p>
            <w:pPr>
              <w:spacing w:after="40" w:before="40"/>
            </w:pPr>
            <w:r>
              <w:rPr>
                <w:rFonts w:ascii="Calibri" w:hAnsi="Calibri"/>
                <w:b/>
                <w:color w:val="FFFFFF"/>
                <w:sz w:val="20"/>
              </w:rPr>
              <w:t>Typical response</w:t>
            </w:r>
          </w:p>
        </w:tc>
      </w:tr>
      <w:tr>
        <w:tc>
          <w:tcPr>
            <w:tcW w:type="dxa" w:w="3120"/>
          </w:tcPr>
          <w:p>
            <w:pPr>
              <w:spacing w:after="40" w:before="40"/>
            </w:pPr>
            <w:r>
              <w:rPr>
                <w:rFonts w:ascii="Calibri" w:hAnsi="Calibri"/>
                <w:b/>
                <w:color w:val="000000"/>
                <w:sz w:val="20"/>
              </w:rPr>
              <w:t>critical</w:t>
            </w:r>
          </w:p>
        </w:tc>
        <w:tc>
          <w:tcPr>
            <w:tcW w:type="dxa" w:w="3120"/>
          </w:tcPr>
          <w:p>
            <w:pPr>
              <w:spacing w:after="40" w:before="40"/>
            </w:pPr>
            <w:r>
              <w:rPr>
                <w:rFonts w:ascii="Calibri" w:hAnsi="Calibri"/>
                <w:b w:val="0"/>
                <w:color w:val="000000"/>
                <w:sz w:val="20"/>
              </w:rPr>
              <w:t>Structural integrity failure</w:t>
            </w:r>
          </w:p>
        </w:tc>
        <w:tc>
          <w:tcPr>
            <w:tcW w:type="dxa" w:w="3120"/>
          </w:tcPr>
          <w:p>
            <w:pPr>
              <w:spacing w:after="40" w:before="40"/>
            </w:pPr>
            <w:r>
              <w:rPr>
                <w:rFonts w:ascii="Calibri" w:hAnsi="Calibri"/>
                <w:b w:val="0"/>
                <w:color w:val="000000"/>
                <w:sz w:val="20"/>
              </w:rPr>
              <w:t>Immediate correction required</w:t>
            </w:r>
          </w:p>
        </w:tc>
      </w:tr>
      <w:tr>
        <w:tc>
          <w:tcPr>
            <w:tcW w:type="dxa" w:w="3120"/>
            <w:shd w:val="clear" w:color="auto" w:fill="F2F5FA"/>
          </w:tcPr>
          <w:p>
            <w:pPr>
              <w:spacing w:after="40" w:before="40"/>
            </w:pPr>
            <w:r>
              <w:rPr>
                <w:rFonts w:ascii="Calibri" w:hAnsi="Calibri"/>
                <w:b/>
                <w:color w:val="000000"/>
                <w:sz w:val="20"/>
              </w:rPr>
              <w:t>high</w:t>
            </w:r>
          </w:p>
        </w:tc>
        <w:tc>
          <w:tcPr>
            <w:tcW w:type="dxa" w:w="3120"/>
            <w:shd w:val="clear" w:color="auto" w:fill="F2F5FA"/>
          </w:tcPr>
          <w:p>
            <w:pPr>
              <w:spacing w:after="40" w:before="40"/>
            </w:pPr>
            <w:r>
              <w:rPr>
                <w:rFonts w:ascii="Calibri" w:hAnsi="Calibri"/>
                <w:b w:val="0"/>
                <w:color w:val="000000"/>
                <w:sz w:val="20"/>
              </w:rPr>
              <w:t>Serious defect</w:t>
            </w:r>
          </w:p>
        </w:tc>
        <w:tc>
          <w:tcPr>
            <w:tcW w:type="dxa" w:w="3120"/>
            <w:shd w:val="clear" w:color="auto" w:fill="F2F5FA"/>
          </w:tcPr>
          <w:p>
            <w:pPr>
              <w:spacing w:after="40" w:before="40"/>
            </w:pPr>
            <w:r>
              <w:rPr>
                <w:rFonts w:ascii="Calibri" w:hAnsi="Calibri"/>
                <w:b w:val="0"/>
                <w:color w:val="000000"/>
                <w:sz w:val="20"/>
              </w:rPr>
              <w:t>Correct before the entity is treated as sound</w:t>
            </w:r>
          </w:p>
        </w:tc>
      </w:tr>
      <w:tr>
        <w:tc>
          <w:tcPr>
            <w:tcW w:type="dxa" w:w="3120"/>
          </w:tcPr>
          <w:p>
            <w:pPr>
              <w:spacing w:after="40" w:before="40"/>
            </w:pPr>
            <w:r>
              <w:rPr>
                <w:rFonts w:ascii="Calibri" w:hAnsi="Calibri"/>
                <w:b/>
                <w:color w:val="000000"/>
                <w:sz w:val="20"/>
              </w:rPr>
              <w:t>medium</w:t>
            </w:r>
          </w:p>
        </w:tc>
        <w:tc>
          <w:tcPr>
            <w:tcW w:type="dxa" w:w="3120"/>
          </w:tcPr>
          <w:p>
            <w:pPr>
              <w:spacing w:after="40" w:before="40"/>
            </w:pPr>
            <w:r>
              <w:rPr>
                <w:rFonts w:ascii="Calibri" w:hAnsi="Calibri"/>
                <w:b w:val="0"/>
                <w:color w:val="000000"/>
                <w:sz w:val="20"/>
              </w:rPr>
              <w:t>Material but not disqualifying</w:t>
            </w:r>
          </w:p>
        </w:tc>
        <w:tc>
          <w:tcPr>
            <w:tcW w:type="dxa" w:w="3120"/>
          </w:tcPr>
          <w:p>
            <w:pPr>
              <w:spacing w:after="40" w:before="40"/>
            </w:pPr>
            <w:r>
              <w:rPr>
                <w:rFonts w:ascii="Calibri" w:hAnsi="Calibri"/>
                <w:b w:val="0"/>
                <w:color w:val="000000"/>
                <w:sz w:val="20"/>
              </w:rPr>
              <w:t>Document and schedule</w:t>
            </w:r>
          </w:p>
        </w:tc>
      </w:tr>
      <w:tr>
        <w:tc>
          <w:tcPr>
            <w:tcW w:type="dxa" w:w="3120"/>
            <w:shd w:val="clear" w:color="auto" w:fill="F2F5FA"/>
          </w:tcPr>
          <w:p>
            <w:pPr>
              <w:spacing w:after="40" w:before="40"/>
            </w:pPr>
            <w:r>
              <w:rPr>
                <w:rFonts w:ascii="Calibri" w:hAnsi="Calibri"/>
                <w:b/>
                <w:color w:val="000000"/>
                <w:sz w:val="20"/>
              </w:rPr>
              <w:t>low</w:t>
            </w:r>
          </w:p>
        </w:tc>
        <w:tc>
          <w:tcPr>
            <w:tcW w:type="dxa" w:w="3120"/>
            <w:shd w:val="clear" w:color="auto" w:fill="F2F5FA"/>
          </w:tcPr>
          <w:p>
            <w:pPr>
              <w:spacing w:after="40" w:before="40"/>
            </w:pPr>
            <w:r>
              <w:rPr>
                <w:rFonts w:ascii="Calibri" w:hAnsi="Calibri"/>
                <w:b w:val="0"/>
                <w:color w:val="000000"/>
                <w:sz w:val="20"/>
              </w:rPr>
              <w:t>Minor</w:t>
            </w:r>
          </w:p>
        </w:tc>
        <w:tc>
          <w:tcPr>
            <w:tcW w:type="dxa" w:w="3120"/>
            <w:shd w:val="clear" w:color="auto" w:fill="F2F5FA"/>
          </w:tcPr>
          <w:p>
            <w:pPr>
              <w:spacing w:after="40" w:before="40"/>
            </w:pPr>
            <w:r>
              <w:rPr>
                <w:rFonts w:ascii="Calibri" w:hAnsi="Calibri"/>
                <w:b w:val="0"/>
                <w:color w:val="000000"/>
                <w:sz w:val="20"/>
              </w:rPr>
              <w:t>Record</w:t>
            </w:r>
          </w:p>
        </w:tc>
      </w:tr>
      <w:tr>
        <w:tc>
          <w:tcPr>
            <w:tcW w:type="dxa" w:w="3120"/>
          </w:tcPr>
          <w:p>
            <w:pPr>
              <w:spacing w:after="40" w:before="40"/>
            </w:pPr>
            <w:r>
              <w:rPr>
                <w:rFonts w:ascii="Calibri" w:hAnsi="Calibri"/>
                <w:b/>
                <w:color w:val="000000"/>
                <w:sz w:val="20"/>
              </w:rPr>
              <w:t>info</w:t>
            </w:r>
          </w:p>
        </w:tc>
        <w:tc>
          <w:tcPr>
            <w:tcW w:type="dxa" w:w="3120"/>
          </w:tcPr>
          <w:p>
            <w:pPr>
              <w:spacing w:after="40" w:before="40"/>
            </w:pPr>
            <w:r>
              <w:rPr>
                <w:rFonts w:ascii="Calibri" w:hAnsi="Calibri"/>
                <w:b w:val="0"/>
                <w:color w:val="000000"/>
                <w:sz w:val="20"/>
              </w:rPr>
              <w:t>Informational</w:t>
            </w:r>
          </w:p>
        </w:tc>
        <w:tc>
          <w:tcPr>
            <w:tcW w:type="dxa" w:w="3120"/>
          </w:tcPr>
          <w:p>
            <w:pPr>
              <w:spacing w:after="40" w:before="40"/>
            </w:pPr>
            <w:r>
              <w:rPr>
                <w:rFonts w:ascii="Calibri" w:hAnsi="Calibri"/>
                <w:b w:val="0"/>
                <w:color w:val="000000"/>
                <w:sz w:val="20"/>
              </w:rPr>
              <w:t>No action</w:t>
            </w:r>
          </w:p>
        </w:tc>
      </w:tr>
    </w:tbl>
    <w:p>
      <w:pPr>
        <w:spacing w:after="80"/>
      </w:pPr>
    </w:p>
    <w:p>
      <w:pPr>
        <w:spacing w:after="120" w:before="0"/>
      </w:pPr>
      <w:r>
        <w:rPr>
          <w:rFonts w:ascii="Calibri" w:hAnsi="Calibri"/>
          <w:b w:val="0"/>
          <w:color w:val="000000"/>
          <w:sz w:val="22"/>
        </w:rPr>
        <w:t xml:space="preserve">Findings carry a status of </w:t>
      </w:r>
      <w:r>
        <w:rPr>
          <w:rFonts w:ascii="Calibri" w:hAnsi="Calibri"/>
          <w:b/>
          <w:color w:val="000000"/>
          <w:sz w:val="22"/>
        </w:rPr>
        <w:t>open</w:t>
      </w:r>
      <w:r>
        <w:rPr>
          <w:rFonts w:ascii="Calibri" w:hAnsi="Calibri"/>
          <w:b w:val="0"/>
          <w:color w:val="000000"/>
          <w:sz w:val="22"/>
        </w:rPr>
        <w:t xml:space="preserve"> until resolved, with the resolving user, timestamp, and resolution notes recorded.</w:t>
      </w:r>
    </w:p>
    <w:p>
      <w:pPr>
        <w:pStyle w:val="Heading2"/>
        <w:keepNext/>
        <w:spacing w:before="200" w:after="120"/>
        <w:outlineLvl w:val="1"/>
      </w:pPr>
      <w:r>
        <w:rPr>
          <w:rFonts w:ascii="Calibri" w:hAnsi="Calibri"/>
          <w:b/>
          <w:color w:val="003087"/>
          <w:sz w:val="25"/>
        </w:rPr>
        <w:t>12.9 SLA bands</w:t>
      </w:r>
    </w:p>
    <w:p>
      <w:pPr>
        <w:spacing w:after="120" w:before="0"/>
      </w:pPr>
      <w:r>
        <w:rPr>
          <w:rFonts w:ascii="Calibri" w:hAnsi="Calibri"/>
          <w:b w:val="0"/>
          <w:color w:val="000000"/>
          <w:sz w:val="22"/>
        </w:rPr>
        <w:t>Review due dates are set from the date the sample was drawn, with the window depending on cadence: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Cadence</w:t>
            </w:r>
          </w:p>
        </w:tc>
        <w:tc>
          <w:tcPr>
            <w:tcW w:type="dxa" w:w="4680"/>
            <w:shd w:val="clear" w:color="auto" w:fill="003087"/>
          </w:tcPr>
          <w:p>
            <w:pPr>
              <w:spacing w:after="40" w:before="40"/>
            </w:pPr>
            <w:r>
              <w:rPr>
                <w:rFonts w:ascii="Calibri" w:hAnsi="Calibri"/>
                <w:b/>
                <w:color w:val="FFFFFF"/>
                <w:sz w:val="20"/>
              </w:rPr>
              <w:t>Window</w:t>
            </w:r>
          </w:p>
        </w:tc>
      </w:tr>
      <w:tr>
        <w:tc>
          <w:tcPr>
            <w:tcW w:type="dxa" w:w="4680"/>
          </w:tcPr>
          <w:p>
            <w:pPr>
              <w:spacing w:after="40" w:before="40"/>
            </w:pPr>
            <w:r>
              <w:rPr>
                <w:rFonts w:ascii="Calibri" w:hAnsi="Calibri"/>
                <w:b w:val="0"/>
                <w:color w:val="000000"/>
                <w:sz w:val="20"/>
              </w:rPr>
              <w:t>Weekly</w:t>
            </w:r>
          </w:p>
        </w:tc>
        <w:tc>
          <w:tcPr>
            <w:tcW w:type="dxa" w:w="4680"/>
          </w:tcPr>
          <w:p>
            <w:pPr>
              <w:spacing w:after="40" w:before="40"/>
            </w:pPr>
            <w:r>
              <w:rPr>
                <w:rFonts w:ascii="Calibri" w:hAnsi="Calibri"/>
                <w:b w:val="0"/>
                <w:color w:val="000000"/>
                <w:sz w:val="20"/>
              </w:rPr>
              <w:t>7 days</w:t>
            </w:r>
          </w:p>
        </w:tc>
      </w:tr>
      <w:tr>
        <w:tc>
          <w:tcPr>
            <w:tcW w:type="dxa" w:w="4680"/>
            <w:shd w:val="clear" w:color="auto" w:fill="F2F5FA"/>
          </w:tcPr>
          <w:p>
            <w:pPr>
              <w:spacing w:after="40" w:before="40"/>
            </w:pPr>
            <w:r>
              <w:rPr>
                <w:rFonts w:ascii="Calibri" w:hAnsi="Calibri"/>
                <w:b w:val="0"/>
                <w:color w:val="000000"/>
                <w:sz w:val="20"/>
              </w:rPr>
              <w:t>Quarterly</w:t>
            </w:r>
          </w:p>
        </w:tc>
        <w:tc>
          <w:tcPr>
            <w:tcW w:type="dxa" w:w="4680"/>
            <w:shd w:val="clear" w:color="auto" w:fill="F2F5FA"/>
          </w:tcPr>
          <w:p>
            <w:pPr>
              <w:spacing w:after="40" w:before="40"/>
            </w:pPr>
            <w:r>
              <w:rPr>
                <w:rFonts w:ascii="Calibri" w:hAnsi="Calibri"/>
                <w:b w:val="0"/>
                <w:color w:val="000000"/>
                <w:sz w:val="20"/>
              </w:rPr>
              <w:t>90 days</w:t>
            </w:r>
          </w:p>
        </w:tc>
      </w:tr>
      <w:tr>
        <w:tc>
          <w:tcPr>
            <w:tcW w:type="dxa" w:w="4680"/>
          </w:tcPr>
          <w:p>
            <w:pPr>
              <w:spacing w:after="40" w:before="40"/>
            </w:pPr>
            <w:r>
              <w:rPr>
                <w:rFonts w:ascii="Calibri" w:hAnsi="Calibri"/>
                <w:b w:val="0"/>
                <w:color w:val="000000"/>
                <w:sz w:val="20"/>
              </w:rPr>
              <w:t>Priority (COR-directed)</w:t>
            </w:r>
          </w:p>
        </w:tc>
        <w:tc>
          <w:tcPr>
            <w:tcW w:type="dxa" w:w="4680"/>
          </w:tcPr>
          <w:p>
            <w:pPr>
              <w:spacing w:after="40" w:before="40"/>
            </w:pPr>
            <w:r>
              <w:rPr>
                <w:rFonts w:ascii="Calibri" w:hAnsi="Calibri"/>
                <w:b w:val="0"/>
                <w:color w:val="000000"/>
                <w:sz w:val="20"/>
              </w:rPr>
              <w:t>3 days</w:t>
            </w:r>
          </w:p>
        </w:tc>
      </w:tr>
    </w:tbl>
    <w:p>
      <w:pPr>
        <w:spacing w:after="8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Band</w:t>
            </w:r>
          </w:p>
        </w:tc>
        <w:tc>
          <w:tcPr>
            <w:tcW w:type="dxa" w:w="3120"/>
            <w:shd w:val="clear" w:color="auto" w:fill="003087"/>
          </w:tcPr>
          <w:p>
            <w:pPr>
              <w:spacing w:after="40" w:before="40"/>
            </w:pPr>
            <w:r>
              <w:rPr>
                <w:rFonts w:ascii="Calibri" w:hAnsi="Calibri"/>
                <w:b/>
                <w:color w:val="FFFFFF"/>
                <w:sz w:val="20"/>
              </w:rPr>
              <w:t>Condition</w:t>
            </w:r>
          </w:p>
        </w:tc>
        <w:tc>
          <w:tcPr>
            <w:tcW w:type="dxa" w:w="3120"/>
            <w:shd w:val="clear" w:color="auto" w:fill="003087"/>
          </w:tcPr>
          <w:p>
            <w:pPr>
              <w:spacing w:after="40" w:before="40"/>
            </w:pPr>
            <w:r>
              <w:rPr>
                <w:rFonts w:ascii="Calibri" w:hAnsi="Calibri"/>
                <w:b/>
                <w:color w:val="FFFFFF"/>
                <w:sz w:val="20"/>
              </w:rPr>
              <w:t>Action</w:t>
            </w:r>
          </w:p>
        </w:tc>
      </w:tr>
      <w:tr>
        <w:tc>
          <w:tcPr>
            <w:tcW w:type="dxa" w:w="3120"/>
          </w:tcPr>
          <w:p>
            <w:pPr>
              <w:spacing w:after="40" w:before="40"/>
            </w:pPr>
            <w:r>
              <w:rPr>
                <w:rFonts w:ascii="Calibri" w:hAnsi="Calibri"/>
                <w:b/>
                <w:color w:val="000000"/>
                <w:sz w:val="20"/>
              </w:rPr>
              <w:t>on_track</w:t>
            </w:r>
          </w:p>
        </w:tc>
        <w:tc>
          <w:tcPr>
            <w:tcW w:type="dxa" w:w="3120"/>
          </w:tcPr>
          <w:p>
            <w:pPr>
              <w:spacing w:after="40" w:before="40"/>
            </w:pPr>
            <w:r>
              <w:rPr>
                <w:rFonts w:ascii="Calibri" w:hAnsi="Calibri"/>
                <w:b w:val="0"/>
                <w:color w:val="000000"/>
                <w:sz w:val="20"/>
              </w:rPr>
              <w:t>More than 2 days remaining</w:t>
            </w:r>
          </w:p>
        </w:tc>
        <w:tc>
          <w:tcPr>
            <w:tcW w:type="dxa" w:w="3120"/>
          </w:tcPr>
          <w:p>
            <w:pPr>
              <w:spacing w:after="40" w:before="40"/>
            </w:pPr>
            <w:r>
              <w:rPr>
                <w:rFonts w:ascii="Calibri" w:hAnsi="Calibri"/>
                <w:b w:val="0"/>
                <w:color w:val="000000"/>
                <w:sz w:val="20"/>
              </w:rPr>
              <w:t>Normal</w:t>
            </w:r>
          </w:p>
        </w:tc>
      </w:tr>
      <w:tr>
        <w:tc>
          <w:tcPr>
            <w:tcW w:type="dxa" w:w="3120"/>
            <w:shd w:val="clear" w:color="auto" w:fill="F2F5FA"/>
          </w:tcPr>
          <w:p>
            <w:pPr>
              <w:spacing w:after="40" w:before="40"/>
            </w:pPr>
            <w:r>
              <w:rPr>
                <w:rFonts w:ascii="Calibri" w:hAnsi="Calibri"/>
                <w:b/>
                <w:color w:val="000000"/>
                <w:sz w:val="20"/>
              </w:rPr>
              <w:t>at_risk</w:t>
            </w:r>
          </w:p>
        </w:tc>
        <w:tc>
          <w:tcPr>
            <w:tcW w:type="dxa" w:w="3120"/>
            <w:shd w:val="clear" w:color="auto" w:fill="F2F5FA"/>
          </w:tcPr>
          <w:p>
            <w:pPr>
              <w:spacing w:after="40" w:before="40"/>
            </w:pPr>
            <w:r>
              <w:rPr>
                <w:rFonts w:ascii="Calibri" w:hAnsi="Calibri"/>
                <w:b w:val="0"/>
                <w:color w:val="000000"/>
                <w:sz w:val="20"/>
              </w:rPr>
              <w:t>2 days or fewer remaining</w:t>
            </w:r>
          </w:p>
        </w:tc>
        <w:tc>
          <w:tcPr>
            <w:tcW w:type="dxa" w:w="3120"/>
            <w:shd w:val="clear" w:color="auto" w:fill="F2F5FA"/>
          </w:tcPr>
          <w:p>
            <w:pPr>
              <w:spacing w:after="40" w:before="40"/>
            </w:pPr>
            <w:r>
              <w:rPr>
                <w:rFonts w:ascii="Calibri" w:hAnsi="Calibri"/>
                <w:b w:val="0"/>
                <w:color w:val="000000"/>
                <w:sz w:val="20"/>
              </w:rPr>
              <w:t>Prioritize</w:t>
            </w:r>
          </w:p>
        </w:tc>
      </w:tr>
      <w:tr>
        <w:tc>
          <w:tcPr>
            <w:tcW w:type="dxa" w:w="3120"/>
          </w:tcPr>
          <w:p>
            <w:pPr>
              <w:spacing w:after="40" w:before="40"/>
            </w:pPr>
            <w:r>
              <w:rPr>
                <w:rFonts w:ascii="Calibri" w:hAnsi="Calibri"/>
                <w:b/>
                <w:color w:val="000000"/>
                <w:sz w:val="20"/>
              </w:rPr>
              <w:t>overdue</w:t>
            </w:r>
          </w:p>
        </w:tc>
        <w:tc>
          <w:tcPr>
            <w:tcW w:type="dxa" w:w="3120"/>
          </w:tcPr>
          <w:p>
            <w:pPr>
              <w:spacing w:after="40" w:before="40"/>
            </w:pPr>
            <w:r>
              <w:rPr>
                <w:rFonts w:ascii="Calibri" w:hAnsi="Calibri"/>
                <w:b w:val="0"/>
                <w:color w:val="000000"/>
                <w:sz w:val="20"/>
              </w:rPr>
              <w:t>Past the due moment</w:t>
            </w:r>
          </w:p>
        </w:tc>
        <w:tc>
          <w:tcPr>
            <w:tcW w:type="dxa" w:w="3120"/>
          </w:tcPr>
          <w:p>
            <w:pPr>
              <w:spacing w:after="40" w:before="40"/>
            </w:pPr>
            <w:r>
              <w:rPr>
                <w:rFonts w:ascii="Calibri" w:hAnsi="Calibri"/>
                <w:b w:val="0"/>
                <w:color w:val="000000"/>
                <w:sz w:val="20"/>
              </w:rPr>
              <w:t>Work first; report if systemic</w:t>
            </w:r>
          </w:p>
        </w:tc>
      </w:tr>
    </w:tbl>
    <w:p>
      <w:pPr>
        <w:spacing w:after="80"/>
      </w:pPr>
    </w:p>
    <w:p>
      <w:pPr>
        <w:spacing w:after="120" w:before="0"/>
      </w:pPr>
      <w:r>
        <w:rPr>
          <w:rFonts w:ascii="Calibri" w:hAnsi="Calibri"/>
          <w:b w:val="0"/>
          <w:color w:val="000000"/>
          <w:sz w:val="22"/>
        </w:rPr>
        <w:t xml:space="preserve">A review due later today has zero days remaining and is </w:t>
      </w:r>
      <w:r>
        <w:rPr>
          <w:rFonts w:ascii="Calibri" w:hAnsi="Calibri"/>
          <w:b/>
          <w:color w:val="000000"/>
          <w:sz w:val="22"/>
        </w:rPr>
        <w:t>at_risk</w:t>
      </w:r>
      <w:r>
        <w:rPr>
          <w:rFonts w:ascii="Calibri" w:hAnsi="Calibri"/>
          <w:b w:val="0"/>
          <w:color w:val="000000"/>
          <w:sz w:val="22"/>
        </w:rPr>
        <w:t>, not overdue. It becomes overdue only once the due moment has passed.</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w:t>
            </w:r>
          </w:p>
          <w:p>
            <w:pPr>
              <w:spacing w:after="0" w:before="0"/>
            </w:pPr>
            <w:r>
              <w:rPr>
                <w:rFonts w:ascii="Calibri" w:hAnsi="Calibri"/>
                <w:b w:val="0"/>
                <w:color w:val="000000"/>
                <w:sz w:val="21"/>
              </w:rPr>
              <w:t>These windows are a starting operational policy, not a contractual service level ratified by the government. If the contract specifies different windows, they are configurable in one place.</w:t>
            </w:r>
          </w:p>
        </w:tc>
      </w:tr>
    </w:tbl>
    <w:p>
      <w:pPr>
        <w:spacing w:after="80"/>
      </w:pPr>
    </w:p>
    <w:p>
      <w:r>
        <w:br w:type="page"/>
      </w:r>
    </w:p>
    <w:p>
      <w:pPr>
        <w:pStyle w:val="Heading1"/>
        <w:keepNext/>
        <w:spacing w:before="280" w:after="120"/>
        <w:outlineLvl w:val="0"/>
      </w:pPr>
      <w:r>
        <w:rPr>
          <w:rFonts w:ascii="Calibri" w:hAnsi="Calibri"/>
          <w:b/>
          <w:color w:val="003087"/>
          <w:sz w:val="28"/>
        </w:rPr>
        <w:t>13. Exceptions and Human Review</w:t>
      </w:r>
    </w:p>
    <w:p>
      <w:pPr>
        <w:pStyle w:val="Heading2"/>
        <w:keepNext/>
        <w:spacing w:before="200" w:after="120"/>
        <w:outlineLvl w:val="1"/>
      </w:pPr>
      <w:r>
        <w:rPr>
          <w:rFonts w:ascii="Calibri" w:hAnsi="Calibri"/>
          <w:b/>
          <w:color w:val="003087"/>
          <w:sz w:val="25"/>
        </w:rPr>
        <w:t>13.1 Where automation stops</w:t>
      </w:r>
    </w:p>
    <w:p>
      <w:pPr>
        <w:spacing w:after="120" w:before="0"/>
      </w:pPr>
      <w:r>
        <w:rPr>
          <w:rFonts w:ascii="Calibri" w:hAnsi="Calibri"/>
          <w:b w:val="0"/>
          <w:color w:val="000000"/>
          <w:sz w:val="22"/>
        </w:rPr>
        <w:t>The platform is explicit about the boundary between automated processing and human judgement.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Stage</w:t>
            </w:r>
          </w:p>
        </w:tc>
        <w:tc>
          <w:tcPr>
            <w:tcW w:type="dxa" w:w="3120"/>
            <w:shd w:val="clear" w:color="auto" w:fill="003087"/>
          </w:tcPr>
          <w:p>
            <w:pPr>
              <w:spacing w:after="40" w:before="40"/>
            </w:pPr>
            <w:r>
              <w:rPr>
                <w:rFonts w:ascii="Calibri" w:hAnsi="Calibri"/>
                <w:b/>
                <w:color w:val="FFFFFF"/>
                <w:sz w:val="20"/>
              </w:rPr>
              <w:t>Automated</w:t>
            </w:r>
          </w:p>
        </w:tc>
        <w:tc>
          <w:tcPr>
            <w:tcW w:type="dxa" w:w="3120"/>
            <w:shd w:val="clear" w:color="auto" w:fill="003087"/>
          </w:tcPr>
          <w:p>
            <w:pPr>
              <w:spacing w:after="40" w:before="40"/>
            </w:pPr>
            <w:r>
              <w:rPr>
                <w:rFonts w:ascii="Calibri" w:hAnsi="Calibri"/>
                <w:b/>
                <w:color w:val="FFFFFF"/>
                <w:sz w:val="20"/>
              </w:rPr>
              <w:t>Human</w:t>
            </w:r>
          </w:p>
        </w:tc>
      </w:tr>
      <w:tr>
        <w:tc>
          <w:tcPr>
            <w:tcW w:type="dxa" w:w="3120"/>
          </w:tcPr>
          <w:p>
            <w:pPr>
              <w:spacing w:after="40" w:before="40"/>
            </w:pPr>
            <w:r>
              <w:rPr>
                <w:rFonts w:ascii="Calibri" w:hAnsi="Calibri"/>
                <w:b w:val="0"/>
                <w:color w:val="000000"/>
                <w:sz w:val="20"/>
              </w:rPr>
              <w:t>Source queries</w:t>
            </w:r>
          </w:p>
        </w:tc>
        <w:tc>
          <w:tcPr>
            <w:tcW w:type="dxa" w:w="3120"/>
          </w:tcPr>
          <w:p>
            <w:pPr>
              <w:spacing w:after="40" w:before="40"/>
            </w:pPr>
            <w:r>
              <w:rPr>
                <w:rFonts w:ascii="Calibri" w:hAnsi="Calibri"/>
                <w:b w:val="0"/>
                <w:color w:val="000000"/>
                <w:sz w:val="20"/>
              </w:rPr>
              <w:t>Yes</w:t>
            </w:r>
          </w:p>
        </w:tc>
        <w:tc>
          <w:tcPr>
            <w:tcW w:type="dxa" w:w="3120"/>
          </w:tcPr>
          <w:p>
            <w:pPr>
              <w:spacing w:after="40" w:before="40"/>
            </w:pPr>
            <w:r>
              <w:rPr>
                <w:rFonts w:ascii="Calibri" w:hAnsi="Calibri"/>
                <w:b w:val="0"/>
                <w:color w:val="000000"/>
                <w:sz w:val="20"/>
              </w:rPr>
              <w:t>No</w:t>
            </w:r>
          </w:p>
        </w:tc>
      </w:tr>
      <w:tr>
        <w:tc>
          <w:tcPr>
            <w:tcW w:type="dxa" w:w="3120"/>
            <w:shd w:val="clear" w:color="auto" w:fill="F2F5FA"/>
          </w:tcPr>
          <w:p>
            <w:pPr>
              <w:spacing w:after="40" w:before="40"/>
            </w:pPr>
            <w:r>
              <w:rPr>
                <w:rFonts w:ascii="Calibri" w:hAnsi="Calibri"/>
                <w:b w:val="0"/>
                <w:color w:val="000000"/>
                <w:sz w:val="20"/>
              </w:rPr>
              <w:t>Field comparison and scoring</w:t>
            </w:r>
          </w:p>
        </w:tc>
        <w:tc>
          <w:tcPr>
            <w:tcW w:type="dxa" w:w="3120"/>
            <w:shd w:val="clear" w:color="auto" w:fill="F2F5FA"/>
          </w:tcPr>
          <w:p>
            <w:pPr>
              <w:spacing w:after="40" w:before="40"/>
            </w:pPr>
            <w:r>
              <w:rPr>
                <w:rFonts w:ascii="Calibri" w:hAnsi="Calibri"/>
                <w:b w:val="0"/>
                <w:color w:val="000000"/>
                <w:sz w:val="20"/>
              </w:rPr>
              <w:t>Yes</w:t>
            </w:r>
          </w:p>
        </w:tc>
        <w:tc>
          <w:tcPr>
            <w:tcW w:type="dxa" w:w="3120"/>
            <w:shd w:val="clear" w:color="auto" w:fill="F2F5FA"/>
          </w:tcPr>
          <w:p>
            <w:pPr>
              <w:spacing w:after="40" w:before="40"/>
            </w:pPr>
            <w:r>
              <w:rPr>
                <w:rFonts w:ascii="Calibri" w:hAnsi="Calibri"/>
                <w:b w:val="0"/>
                <w:color w:val="000000"/>
                <w:sz w:val="20"/>
              </w:rPr>
              <w:t>No</w:t>
            </w:r>
          </w:p>
        </w:tc>
      </w:tr>
      <w:tr>
        <w:tc>
          <w:tcPr>
            <w:tcW w:type="dxa" w:w="3120"/>
          </w:tcPr>
          <w:p>
            <w:pPr>
              <w:spacing w:after="40" w:before="40"/>
            </w:pPr>
            <w:r>
              <w:rPr>
                <w:rFonts w:ascii="Calibri" w:hAnsi="Calibri"/>
                <w:b w:val="0"/>
                <w:color w:val="000000"/>
                <w:sz w:val="20"/>
              </w:rPr>
              <w:t>Finding-code assignment</w:t>
            </w:r>
          </w:p>
        </w:tc>
        <w:tc>
          <w:tcPr>
            <w:tcW w:type="dxa" w:w="3120"/>
          </w:tcPr>
          <w:p>
            <w:pPr>
              <w:spacing w:after="40" w:before="40"/>
            </w:pPr>
            <w:r>
              <w:rPr>
                <w:rFonts w:ascii="Calibri" w:hAnsi="Calibri"/>
                <w:b w:val="0"/>
                <w:color w:val="000000"/>
                <w:sz w:val="20"/>
              </w:rPr>
              <w:t>Yes</w:t>
            </w:r>
          </w:p>
        </w:tc>
        <w:tc>
          <w:tcPr>
            <w:tcW w:type="dxa" w:w="3120"/>
          </w:tcPr>
          <w:p>
            <w:pPr>
              <w:spacing w:after="40" w:before="40"/>
            </w:pPr>
            <w:r>
              <w:rPr>
                <w:rFonts w:ascii="Calibri" w:hAnsi="Calibri"/>
                <w:b w:val="0"/>
                <w:color w:val="000000"/>
                <w:sz w:val="20"/>
              </w:rPr>
              <w:t>No</w:t>
            </w:r>
          </w:p>
        </w:tc>
      </w:tr>
      <w:tr>
        <w:tc>
          <w:tcPr>
            <w:tcW w:type="dxa" w:w="3120"/>
            <w:shd w:val="clear" w:color="auto" w:fill="F2F5FA"/>
          </w:tcPr>
          <w:p>
            <w:pPr>
              <w:spacing w:after="40" w:before="40"/>
            </w:pPr>
            <w:r>
              <w:rPr>
                <w:rFonts w:ascii="Calibri" w:hAnsi="Calibri"/>
                <w:b w:val="0"/>
                <w:color w:val="000000"/>
                <w:sz w:val="20"/>
              </w:rPr>
              <w:t>Bucket assignment</w:t>
            </w:r>
          </w:p>
        </w:tc>
        <w:tc>
          <w:tcPr>
            <w:tcW w:type="dxa" w:w="3120"/>
            <w:shd w:val="clear" w:color="auto" w:fill="F2F5FA"/>
          </w:tcPr>
          <w:p>
            <w:pPr>
              <w:spacing w:after="40" w:before="40"/>
            </w:pPr>
            <w:r>
              <w:rPr>
                <w:rFonts w:ascii="Calibri" w:hAnsi="Calibri"/>
                <w:b w:val="0"/>
                <w:color w:val="000000"/>
                <w:sz w:val="20"/>
              </w:rPr>
              <w:t>Yes</w:t>
            </w:r>
          </w:p>
        </w:tc>
        <w:tc>
          <w:tcPr>
            <w:tcW w:type="dxa" w:w="3120"/>
            <w:shd w:val="clear" w:color="auto" w:fill="F2F5FA"/>
          </w:tcPr>
          <w:p>
            <w:pPr>
              <w:spacing w:after="40" w:before="40"/>
            </w:pPr>
            <w:r>
              <w:rPr>
                <w:rFonts w:ascii="Calibri" w:hAnsi="Calibri"/>
                <w:b w:val="0"/>
                <w:color w:val="000000"/>
                <w:sz w:val="20"/>
              </w:rPr>
              <w:t>Reviewer may override</w:t>
            </w:r>
          </w:p>
        </w:tc>
      </w:tr>
      <w:tr>
        <w:tc>
          <w:tcPr>
            <w:tcW w:type="dxa" w:w="3120"/>
          </w:tcPr>
          <w:p>
            <w:pPr>
              <w:spacing w:after="40" w:before="40"/>
            </w:pPr>
            <w:r>
              <w:rPr>
                <w:rFonts w:ascii="Calibri" w:hAnsi="Calibri"/>
                <w:b w:val="0"/>
                <w:color w:val="000000"/>
                <w:sz w:val="20"/>
              </w:rPr>
              <w:t>Coverage test and Indeterminate marking</w:t>
            </w:r>
          </w:p>
        </w:tc>
        <w:tc>
          <w:tcPr>
            <w:tcW w:type="dxa" w:w="3120"/>
          </w:tcPr>
          <w:p>
            <w:pPr>
              <w:spacing w:after="40" w:before="40"/>
            </w:pPr>
            <w:r>
              <w:rPr>
                <w:rFonts w:ascii="Calibri" w:hAnsi="Calibri"/>
                <w:b w:val="0"/>
                <w:color w:val="000000"/>
                <w:sz w:val="20"/>
              </w:rPr>
              <w:t>Yes</w:t>
            </w:r>
          </w:p>
        </w:tc>
        <w:tc>
          <w:tcPr>
            <w:tcW w:type="dxa" w:w="3120"/>
          </w:tcPr>
          <w:p>
            <w:pPr>
              <w:spacing w:after="40" w:before="40"/>
            </w:pPr>
            <w:r>
              <w:rPr>
                <w:rFonts w:ascii="Calibri" w:hAnsi="Calibri"/>
                <w:b w:val="0"/>
                <w:color w:val="000000"/>
                <w:sz w:val="20"/>
              </w:rPr>
              <w:t>No</w:t>
            </w:r>
          </w:p>
        </w:tc>
      </w:tr>
      <w:tr>
        <w:tc>
          <w:tcPr>
            <w:tcW w:type="dxa" w:w="3120"/>
            <w:shd w:val="clear" w:color="auto" w:fill="F2F5FA"/>
          </w:tcPr>
          <w:p>
            <w:pPr>
              <w:spacing w:after="40" w:before="40"/>
            </w:pPr>
            <w:r>
              <w:rPr>
                <w:rFonts w:ascii="Calibri" w:hAnsi="Calibri"/>
                <w:b w:val="0"/>
                <w:color w:val="000000"/>
                <w:sz w:val="20"/>
              </w:rPr>
              <w:t>Tier routing</w:t>
            </w:r>
          </w:p>
        </w:tc>
        <w:tc>
          <w:tcPr>
            <w:tcW w:type="dxa" w:w="3120"/>
            <w:shd w:val="clear" w:color="auto" w:fill="F2F5FA"/>
          </w:tcPr>
          <w:p>
            <w:pPr>
              <w:spacing w:after="40" w:before="40"/>
            </w:pPr>
            <w:r>
              <w:rPr>
                <w:rFonts w:ascii="Calibri" w:hAnsi="Calibri"/>
                <w:b w:val="0"/>
                <w:color w:val="000000"/>
                <w:sz w:val="20"/>
              </w:rPr>
              <w:t>Yes</w:t>
            </w:r>
          </w:p>
        </w:tc>
        <w:tc>
          <w:tcPr>
            <w:tcW w:type="dxa" w:w="3120"/>
            <w:shd w:val="clear" w:color="auto" w:fill="F2F5FA"/>
          </w:tcPr>
          <w:p>
            <w:pPr>
              <w:spacing w:after="40" w:before="40"/>
            </w:pPr>
            <w:r>
              <w:rPr>
                <w:rFonts w:ascii="Calibri" w:hAnsi="Calibri"/>
                <w:b w:val="0"/>
                <w:color w:val="000000"/>
                <w:sz w:val="20"/>
              </w:rPr>
              <w:t>No</w:t>
            </w:r>
          </w:p>
        </w:tc>
      </w:tr>
      <w:tr>
        <w:tc>
          <w:tcPr>
            <w:tcW w:type="dxa" w:w="3120"/>
          </w:tcPr>
          <w:p>
            <w:pPr>
              <w:spacing w:after="40" w:before="40"/>
            </w:pPr>
            <w:r>
              <w:rPr>
                <w:rFonts w:ascii="Calibri" w:hAnsi="Calibri"/>
                <w:b/>
                <w:color w:val="000000"/>
                <w:sz w:val="20"/>
              </w:rPr>
              <w:t>Tier 1 completion (clean B1 only)</w:t>
            </w:r>
          </w:p>
        </w:tc>
        <w:tc>
          <w:tcPr>
            <w:tcW w:type="dxa" w:w="3120"/>
          </w:tcPr>
          <w:p>
            <w:pPr>
              <w:spacing w:after="40" w:before="40"/>
            </w:pPr>
            <w:r>
              <w:rPr>
                <w:rFonts w:ascii="Calibri" w:hAnsi="Calibri"/>
                <w:b/>
                <w:color w:val="000000"/>
                <w:sz w:val="20"/>
              </w:rPr>
              <w:t>Yes</w:t>
            </w:r>
          </w:p>
        </w:tc>
        <w:tc>
          <w:tcPr>
            <w:tcW w:type="dxa" w:w="3120"/>
          </w:tcPr>
          <w:p>
            <w:pPr>
              <w:spacing w:after="40" w:before="40"/>
            </w:pPr>
            <w:r>
              <w:rPr>
                <w:rFonts w:ascii="Calibri" w:hAnsi="Calibri"/>
                <w:b w:val="0"/>
                <w:color w:val="000000"/>
                <w:sz w:val="20"/>
              </w:rPr>
              <w:t>No</w:t>
            </w:r>
          </w:p>
        </w:tc>
      </w:tr>
      <w:tr>
        <w:tc>
          <w:tcPr>
            <w:tcW w:type="dxa" w:w="3120"/>
            <w:shd w:val="clear" w:color="auto" w:fill="F2F5FA"/>
          </w:tcPr>
          <w:p>
            <w:pPr>
              <w:spacing w:after="40" w:before="40"/>
            </w:pPr>
            <w:r>
              <w:rPr>
                <w:rFonts w:ascii="Calibri" w:hAnsi="Calibri"/>
                <w:b/>
                <w:color w:val="000000"/>
                <w:sz w:val="20"/>
              </w:rPr>
              <w:t>Every other disposition</w:t>
            </w:r>
          </w:p>
        </w:tc>
        <w:tc>
          <w:tcPr>
            <w:tcW w:type="dxa" w:w="3120"/>
            <w:shd w:val="clear" w:color="auto" w:fill="F2F5FA"/>
          </w:tcPr>
          <w:p>
            <w:pPr>
              <w:spacing w:after="40" w:before="40"/>
            </w:pPr>
            <w:r>
              <w:rPr>
                <w:rFonts w:ascii="Calibri" w:hAnsi="Calibri"/>
                <w:b w:val="0"/>
                <w:color w:val="000000"/>
                <w:sz w:val="20"/>
              </w:rPr>
              <w:t>No</w:t>
            </w:r>
          </w:p>
        </w:tc>
        <w:tc>
          <w:tcPr>
            <w:tcW w:type="dxa" w:w="3120"/>
            <w:shd w:val="clear" w:color="auto" w:fill="F2F5FA"/>
          </w:tcPr>
          <w:p>
            <w:pPr>
              <w:spacing w:after="40" w:before="40"/>
            </w:pPr>
            <w:r>
              <w:rPr>
                <w:rFonts w:ascii="Calibri" w:hAnsi="Calibri"/>
                <w:b/>
                <w:color w:val="000000"/>
                <w:sz w:val="20"/>
              </w:rPr>
              <w:t>Yes</w:t>
            </w:r>
          </w:p>
        </w:tc>
      </w:tr>
      <w:tr>
        <w:tc>
          <w:tcPr>
            <w:tcW w:type="dxa" w:w="3120"/>
          </w:tcPr>
          <w:p>
            <w:pPr>
              <w:spacing w:after="40" w:before="40"/>
            </w:pPr>
            <w:r>
              <w:rPr>
                <w:rFonts w:ascii="Calibri" w:hAnsi="Calibri"/>
                <w:b w:val="0"/>
                <w:color w:val="000000"/>
                <w:sz w:val="20"/>
              </w:rPr>
              <w:t>B3 resolution</w:t>
            </w:r>
          </w:p>
        </w:tc>
        <w:tc>
          <w:tcPr>
            <w:tcW w:type="dxa" w:w="3120"/>
          </w:tcPr>
          <w:p>
            <w:pPr>
              <w:spacing w:after="40" w:before="40"/>
            </w:pPr>
            <w:r>
              <w:rPr>
                <w:rFonts w:ascii="Calibri" w:hAnsi="Calibri"/>
                <w:b w:val="0"/>
                <w:color w:val="000000"/>
                <w:sz w:val="20"/>
              </w:rPr>
              <w:t>No</w:t>
            </w:r>
          </w:p>
        </w:tc>
        <w:tc>
          <w:tcPr>
            <w:tcW w:type="dxa" w:w="3120"/>
          </w:tcPr>
          <w:p>
            <w:pPr>
              <w:spacing w:after="40" w:before="40"/>
            </w:pPr>
            <w:r>
              <w:rPr>
                <w:rFonts w:ascii="Calibri" w:hAnsi="Calibri"/>
                <w:b/>
                <w:color w:val="000000"/>
                <w:sz w:val="20"/>
              </w:rPr>
              <w:t>Mandatory</w:t>
            </w:r>
          </w:p>
        </w:tc>
      </w:tr>
      <w:tr>
        <w:tc>
          <w:tcPr>
            <w:tcW w:type="dxa" w:w="3120"/>
            <w:shd w:val="clear" w:color="auto" w:fill="F2F5FA"/>
          </w:tcPr>
          <w:p>
            <w:pPr>
              <w:spacing w:after="40" w:before="40"/>
            </w:pPr>
            <w:r>
              <w:rPr>
                <w:rFonts w:ascii="Calibri" w:hAnsi="Calibri"/>
                <w:b w:val="0"/>
                <w:color w:val="000000"/>
                <w:sz w:val="20"/>
              </w:rPr>
              <w:t>B4 escalation</w:t>
            </w:r>
          </w:p>
        </w:tc>
        <w:tc>
          <w:tcPr>
            <w:tcW w:type="dxa" w:w="3120"/>
            <w:shd w:val="clear" w:color="auto" w:fill="F2F5FA"/>
          </w:tcPr>
          <w:p>
            <w:pPr>
              <w:spacing w:after="40" w:before="40"/>
            </w:pPr>
            <w:r>
              <w:rPr>
                <w:rFonts w:ascii="Calibri" w:hAnsi="Calibri"/>
                <w:b w:val="0"/>
                <w:color w:val="000000"/>
                <w:sz w:val="20"/>
              </w:rPr>
              <w:t>Routed automatically</w:t>
            </w:r>
          </w:p>
        </w:tc>
        <w:tc>
          <w:tcPr>
            <w:tcW w:type="dxa" w:w="3120"/>
            <w:shd w:val="clear" w:color="auto" w:fill="F2F5FA"/>
          </w:tcPr>
          <w:p>
            <w:pPr>
              <w:spacing w:after="40" w:before="40"/>
            </w:pPr>
            <w:r>
              <w:rPr>
                <w:rFonts w:ascii="Calibri" w:hAnsi="Calibri"/>
                <w:b/>
                <w:color w:val="000000"/>
                <w:sz w:val="20"/>
              </w:rPr>
              <w:t>Decided by a human</w:t>
            </w:r>
          </w:p>
        </w:tc>
      </w:tr>
      <w:tr>
        <w:tc>
          <w:tcPr>
            <w:tcW w:type="dxa" w:w="3120"/>
          </w:tcPr>
          <w:p>
            <w:pPr>
              <w:spacing w:after="40" w:before="40"/>
            </w:pPr>
            <w:r>
              <w:rPr>
                <w:rFonts w:ascii="Calibri" w:hAnsi="Calibri"/>
                <w:b w:val="0"/>
                <w:color w:val="000000"/>
                <w:sz w:val="20"/>
              </w:rPr>
              <w:t>Bucket override</w:t>
            </w:r>
          </w:p>
        </w:tc>
        <w:tc>
          <w:tcPr>
            <w:tcW w:type="dxa" w:w="3120"/>
          </w:tcPr>
          <w:p>
            <w:pPr>
              <w:spacing w:after="40" w:before="40"/>
            </w:pPr>
            <w:r>
              <w:rPr>
                <w:rFonts w:ascii="Calibri" w:hAnsi="Calibri"/>
                <w:b w:val="0"/>
                <w:color w:val="000000"/>
                <w:sz w:val="20"/>
              </w:rPr>
              <w:t>No</w:t>
            </w:r>
          </w:p>
        </w:tc>
        <w:tc>
          <w:tcPr>
            <w:tcW w:type="dxa" w:w="3120"/>
          </w:tcPr>
          <w:p>
            <w:pPr>
              <w:spacing w:after="40" w:before="40"/>
            </w:pPr>
            <w:r>
              <w:rPr>
                <w:rFonts w:ascii="Calibri" w:hAnsi="Calibri"/>
                <w:b w:val="0"/>
                <w:color w:val="000000"/>
                <w:sz w:val="20"/>
              </w:rPr>
              <w:t>Senior analyst</w:t>
            </w:r>
          </w:p>
        </w:tc>
      </w:tr>
      <w:tr>
        <w:tc>
          <w:tcPr>
            <w:tcW w:type="dxa" w:w="3120"/>
            <w:shd w:val="clear" w:color="auto" w:fill="F2F5FA"/>
          </w:tcPr>
          <w:p>
            <w:pPr>
              <w:spacing w:after="40" w:before="40"/>
            </w:pPr>
            <w:r>
              <w:rPr>
                <w:rFonts w:ascii="Calibri" w:hAnsi="Calibri"/>
                <w:b w:val="0"/>
                <w:color w:val="000000"/>
                <w:sz w:val="20"/>
              </w:rPr>
              <w:t>Methodology approval</w:t>
            </w:r>
          </w:p>
        </w:tc>
        <w:tc>
          <w:tcPr>
            <w:tcW w:type="dxa" w:w="3120"/>
            <w:shd w:val="clear" w:color="auto" w:fill="F2F5FA"/>
          </w:tcPr>
          <w:p>
            <w:pPr>
              <w:spacing w:after="40" w:before="40"/>
            </w:pPr>
            <w:r>
              <w:rPr>
                <w:rFonts w:ascii="Calibri" w:hAnsi="Calibri"/>
                <w:b w:val="0"/>
                <w:color w:val="000000"/>
                <w:sz w:val="20"/>
              </w:rPr>
              <w:t>No</w:t>
            </w:r>
          </w:p>
        </w:tc>
        <w:tc>
          <w:tcPr>
            <w:tcW w:type="dxa" w:w="3120"/>
            <w:shd w:val="clear" w:color="auto" w:fill="F2F5FA"/>
          </w:tcPr>
          <w:p>
            <w:pPr>
              <w:spacing w:after="40" w:before="40"/>
            </w:pPr>
            <w:r>
              <w:rPr>
                <w:rFonts w:ascii="Calibri" w:hAnsi="Calibri"/>
                <w:b w:val="0"/>
                <w:color w:val="000000"/>
                <w:sz w:val="20"/>
              </w:rPr>
              <w:t>QA lead</w:t>
            </w:r>
          </w:p>
        </w:tc>
      </w:tr>
      <w:tr>
        <w:tc>
          <w:tcPr>
            <w:tcW w:type="dxa" w:w="3120"/>
          </w:tcPr>
          <w:p>
            <w:pPr>
              <w:spacing w:after="40" w:before="40"/>
            </w:pPr>
            <w:r>
              <w:rPr>
                <w:rFonts w:ascii="Calibri" w:hAnsi="Calibri"/>
                <w:b w:val="0"/>
                <w:color w:val="000000"/>
                <w:sz w:val="20"/>
              </w:rPr>
              <w:t>Deliverable submission</w:t>
            </w:r>
          </w:p>
        </w:tc>
        <w:tc>
          <w:tcPr>
            <w:tcW w:type="dxa" w:w="3120"/>
          </w:tcPr>
          <w:p>
            <w:pPr>
              <w:spacing w:after="40" w:before="40"/>
            </w:pPr>
            <w:r>
              <w:rPr>
                <w:rFonts w:ascii="Calibri" w:hAnsi="Calibri"/>
                <w:b w:val="0"/>
                <w:color w:val="000000"/>
                <w:sz w:val="20"/>
              </w:rPr>
              <w:t>No</w:t>
            </w:r>
          </w:p>
        </w:tc>
        <w:tc>
          <w:tcPr>
            <w:tcW w:type="dxa" w:w="3120"/>
          </w:tcPr>
          <w:p>
            <w:pPr>
              <w:spacing w:after="40" w:before="40"/>
            </w:pPr>
            <w:r>
              <w:rPr>
                <w:rFonts w:ascii="Calibri" w:hAnsi="Calibri"/>
                <w:b w:val="0"/>
                <w:color w:val="000000"/>
                <w:sz w:val="20"/>
              </w:rPr>
              <w:t>Programme manager</w:t>
            </w:r>
          </w:p>
        </w:tc>
      </w:tr>
    </w:tbl>
    <w:p>
      <w:pPr>
        <w:spacing w:after="80"/>
      </w:pPr>
    </w:p>
    <w:p>
      <w:pPr>
        <w:spacing w:after="120" w:before="0"/>
      </w:pPr>
      <w:r>
        <w:rPr>
          <w:rFonts w:ascii="Calibri" w:hAnsi="Calibri"/>
          <w:b/>
          <w:color w:val="000000"/>
          <w:sz w:val="22"/>
        </w:rPr>
        <w:t>Only one path completes without a human:</w:t>
      </w:r>
      <w:r>
        <w:rPr>
          <w:rFonts w:ascii="Calibri" w:hAnsi="Calibri"/>
          <w:b w:val="0"/>
          <w:color w:val="000000"/>
          <w:sz w:val="22"/>
        </w:rPr>
        <w:t xml:space="preserve"> bucket B1, confidence 0.95 or above, and full source coverage. Anything less reaches a person.</w:t>
      </w:r>
    </w:p>
    <w:p>
      <w:pPr>
        <w:pStyle w:val="Heading2"/>
        <w:keepNext/>
        <w:spacing w:before="200" w:after="120"/>
        <w:outlineLvl w:val="1"/>
      </w:pPr>
      <w:r>
        <w:rPr>
          <w:rFonts w:ascii="Calibri" w:hAnsi="Calibri"/>
          <w:b/>
          <w:color w:val="003087"/>
          <w:sz w:val="25"/>
        </w:rPr>
        <w:t>13.2 Conditions that force human review</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Condition</w:t>
            </w:r>
          </w:p>
        </w:tc>
        <w:tc>
          <w:tcPr>
            <w:tcW w:type="dxa" w:w="4680"/>
            <w:shd w:val="clear" w:color="auto" w:fill="003087"/>
          </w:tcPr>
          <w:p>
            <w:pPr>
              <w:spacing w:after="40" w:before="40"/>
            </w:pPr>
            <w:r>
              <w:rPr>
                <w:rFonts w:ascii="Calibri" w:hAnsi="Calibri"/>
                <w:b/>
                <w:color w:val="FFFFFF"/>
                <w:sz w:val="20"/>
              </w:rPr>
              <w:t>Why</w:t>
            </w:r>
          </w:p>
        </w:tc>
      </w:tr>
      <w:tr>
        <w:tc>
          <w:tcPr>
            <w:tcW w:type="dxa" w:w="4680"/>
          </w:tcPr>
          <w:p>
            <w:pPr>
              <w:spacing w:after="40" w:before="40"/>
            </w:pPr>
            <w:r>
              <w:rPr>
                <w:rFonts w:ascii="Calibri" w:hAnsi="Calibri"/>
                <w:b w:val="0"/>
                <w:color w:val="000000"/>
                <w:sz w:val="20"/>
              </w:rPr>
              <w:t>Any required source unavailable</w:t>
            </w:r>
          </w:p>
        </w:tc>
        <w:tc>
          <w:tcPr>
            <w:tcW w:type="dxa" w:w="4680"/>
          </w:tcPr>
          <w:p>
            <w:pPr>
              <w:spacing w:after="40" w:before="40"/>
            </w:pPr>
            <w:r>
              <w:rPr>
                <w:rFonts w:ascii="Calibri" w:hAnsi="Calibri"/>
                <w:b w:val="0"/>
                <w:color w:val="000000"/>
                <w:sz w:val="20"/>
              </w:rPr>
              <w:t>Evidence is incomplete; the result cannot be trusted</w:t>
            </w:r>
          </w:p>
        </w:tc>
      </w:tr>
      <w:tr>
        <w:tc>
          <w:tcPr>
            <w:tcW w:type="dxa" w:w="4680"/>
            <w:shd w:val="clear" w:color="auto" w:fill="F2F5FA"/>
          </w:tcPr>
          <w:p>
            <w:pPr>
              <w:spacing w:after="40" w:before="40"/>
            </w:pPr>
            <w:r>
              <w:rPr>
                <w:rFonts w:ascii="Calibri" w:hAnsi="Calibri"/>
                <w:b w:val="0"/>
                <w:color w:val="000000"/>
                <w:sz w:val="20"/>
              </w:rPr>
              <w:t>Bucket B3</w:t>
            </w:r>
          </w:p>
        </w:tc>
        <w:tc>
          <w:tcPr>
            <w:tcW w:type="dxa" w:w="4680"/>
            <w:shd w:val="clear" w:color="auto" w:fill="F2F5FA"/>
          </w:tcPr>
          <w:p>
            <w:pPr>
              <w:spacing w:after="40" w:before="40"/>
            </w:pPr>
            <w:r>
              <w:rPr>
                <w:rFonts w:ascii="Calibri" w:hAnsi="Calibri"/>
                <w:b w:val="0"/>
                <w:color w:val="000000"/>
                <w:sz w:val="20"/>
              </w:rPr>
              <w:t>The rules could not explain the evidence — that is the definition of B3</w:t>
            </w:r>
          </w:p>
        </w:tc>
      </w:tr>
      <w:tr>
        <w:tc>
          <w:tcPr>
            <w:tcW w:type="dxa" w:w="4680"/>
          </w:tcPr>
          <w:p>
            <w:pPr>
              <w:spacing w:after="40" w:before="40"/>
            </w:pPr>
            <w:r>
              <w:rPr>
                <w:rFonts w:ascii="Calibri" w:hAnsi="Calibri"/>
                <w:b w:val="0"/>
                <w:color w:val="000000"/>
                <w:sz w:val="20"/>
              </w:rPr>
              <w:t>Bucket B4</w:t>
            </w:r>
          </w:p>
        </w:tc>
        <w:tc>
          <w:tcPr>
            <w:tcW w:type="dxa" w:w="4680"/>
          </w:tcPr>
          <w:p>
            <w:pPr>
              <w:spacing w:after="40" w:before="40"/>
            </w:pPr>
            <w:r>
              <w:rPr>
                <w:rFonts w:ascii="Calibri" w:hAnsi="Calibri"/>
                <w:b w:val="0"/>
                <w:color w:val="000000"/>
                <w:sz w:val="20"/>
              </w:rPr>
              <w:t>A disqualifying condition needs human accountability</w:t>
            </w:r>
          </w:p>
        </w:tc>
      </w:tr>
      <w:tr>
        <w:tc>
          <w:tcPr>
            <w:tcW w:type="dxa" w:w="4680"/>
            <w:shd w:val="clear" w:color="auto" w:fill="F2F5FA"/>
          </w:tcPr>
          <w:p>
            <w:pPr>
              <w:spacing w:after="40" w:before="40"/>
            </w:pPr>
            <w:r>
              <w:rPr>
                <w:rFonts w:ascii="Calibri" w:hAnsi="Calibri"/>
                <w:b w:val="0"/>
                <w:color w:val="000000"/>
                <w:sz w:val="20"/>
              </w:rPr>
              <w:t>Bucket B2</w:t>
            </w:r>
          </w:p>
        </w:tc>
        <w:tc>
          <w:tcPr>
            <w:tcW w:type="dxa" w:w="4680"/>
            <w:shd w:val="clear" w:color="auto" w:fill="F2F5FA"/>
          </w:tcPr>
          <w:p>
            <w:pPr>
              <w:spacing w:after="40" w:before="40"/>
            </w:pPr>
            <w:r>
              <w:rPr>
                <w:rFonts w:ascii="Calibri" w:hAnsi="Calibri"/>
                <w:b w:val="0"/>
                <w:color w:val="000000"/>
                <w:sz w:val="20"/>
              </w:rPr>
              <w:t>A real difference exists and someone must confirm the explanation</w:t>
            </w:r>
          </w:p>
        </w:tc>
      </w:tr>
      <w:tr>
        <w:tc>
          <w:tcPr>
            <w:tcW w:type="dxa" w:w="4680"/>
          </w:tcPr>
          <w:p>
            <w:pPr>
              <w:spacing w:after="40" w:before="40"/>
            </w:pPr>
            <w:r>
              <w:rPr>
                <w:rFonts w:ascii="Calibri" w:hAnsi="Calibri"/>
                <w:b w:val="0"/>
                <w:color w:val="000000"/>
                <w:sz w:val="20"/>
              </w:rPr>
              <w:t>Confidence below 0.95 on B1</w:t>
            </w:r>
          </w:p>
        </w:tc>
        <w:tc>
          <w:tcPr>
            <w:tcW w:type="dxa" w:w="4680"/>
          </w:tcPr>
          <w:p>
            <w:pPr>
              <w:spacing w:after="40" w:before="40"/>
            </w:pPr>
            <w:r>
              <w:rPr>
                <w:rFonts w:ascii="Calibri" w:hAnsi="Calibri"/>
                <w:b w:val="0"/>
                <w:color w:val="000000"/>
                <w:sz w:val="20"/>
              </w:rPr>
              <w:t>The clean result is not certain enough to stand alone</w:t>
            </w:r>
          </w:p>
        </w:tc>
      </w:tr>
      <w:tr>
        <w:tc>
          <w:tcPr>
            <w:tcW w:type="dxa" w:w="4680"/>
            <w:shd w:val="clear" w:color="auto" w:fill="F2F5FA"/>
          </w:tcPr>
          <w:p>
            <w:pPr>
              <w:spacing w:after="40" w:before="40"/>
            </w:pPr>
            <w:r>
              <w:rPr>
                <w:rFonts w:ascii="Calibri" w:hAnsi="Calibri"/>
                <w:b w:val="0"/>
                <w:color w:val="000000"/>
                <w:sz w:val="20"/>
              </w:rPr>
              <w:t>Source conflict</w:t>
            </w:r>
          </w:p>
        </w:tc>
        <w:tc>
          <w:tcPr>
            <w:tcW w:type="dxa" w:w="4680"/>
            <w:shd w:val="clear" w:color="auto" w:fill="F2F5FA"/>
          </w:tcPr>
          <w:p>
            <w:pPr>
              <w:spacing w:after="40" w:before="40"/>
            </w:pPr>
            <w:r>
              <w:rPr>
                <w:rFonts w:ascii="Calibri" w:hAnsi="Calibri"/>
                <w:b w:val="0"/>
                <w:color w:val="000000"/>
                <w:sz w:val="20"/>
              </w:rPr>
              <w:t>Two sources that both answered contradict each other</w:t>
            </w:r>
          </w:p>
        </w:tc>
      </w:tr>
      <w:tr>
        <w:tc>
          <w:tcPr>
            <w:tcW w:type="dxa" w:w="4680"/>
          </w:tcPr>
          <w:p>
            <w:pPr>
              <w:spacing w:after="40" w:before="40"/>
            </w:pPr>
            <w:r>
              <w:rPr>
                <w:rFonts w:ascii="Calibri" w:hAnsi="Calibri"/>
                <w:b w:val="0"/>
                <w:color w:val="000000"/>
                <w:sz w:val="20"/>
              </w:rPr>
              <w:t>AI consulted at any confidence</w:t>
            </w:r>
          </w:p>
        </w:tc>
        <w:tc>
          <w:tcPr>
            <w:tcW w:type="dxa" w:w="4680"/>
          </w:tcPr>
          <w:p>
            <w:pPr>
              <w:spacing w:after="40" w:before="40"/>
            </w:pPr>
            <w:r>
              <w:rPr>
                <w:rFonts w:ascii="Calibri" w:hAnsi="Calibri"/>
                <w:b w:val="0"/>
                <w:color w:val="000000"/>
                <w:sz w:val="20"/>
              </w:rPr>
              <w:t>The recommendation is context, never a decision</w:t>
            </w:r>
          </w:p>
        </w:tc>
      </w:tr>
    </w:tbl>
    <w:p>
      <w:pPr>
        <w:spacing w:after="80"/>
      </w:pPr>
    </w:p>
    <w:p>
      <w:pPr>
        <w:pStyle w:val="Heading2"/>
        <w:keepNext/>
        <w:spacing w:before="200" w:after="120"/>
        <w:outlineLvl w:val="1"/>
      </w:pPr>
      <w:r>
        <w:rPr>
          <w:rFonts w:ascii="Calibri" w:hAnsi="Calibri"/>
          <w:b/>
          <w:color w:val="003087"/>
          <w:sz w:val="25"/>
        </w:rPr>
        <w:t>13.3 Source conflict</w:t>
      </w:r>
    </w:p>
    <w:p>
      <w:pPr>
        <w:spacing w:after="120" w:before="0"/>
      </w:pPr>
      <w:r>
        <w:rPr>
          <w:rFonts w:ascii="Calibri" w:hAnsi="Calibri"/>
          <w:b w:val="0"/>
          <w:color w:val="000000"/>
          <w:sz w:val="22"/>
        </w:rPr>
        <w:t xml:space="preserve">The platform recognizes two specific contradictions, and only between sources that </w:t>
      </w:r>
      <w:r>
        <w:rPr>
          <w:rFonts w:ascii="Calibri" w:hAnsi="Calibri"/>
          <w:b/>
          <w:color w:val="000000"/>
          <w:sz w:val="22"/>
        </w:rPr>
        <w:t>both actually answered</w:t>
      </w:r>
      <w:r>
        <w:rPr>
          <w:rFonts w:ascii="Calibri" w:hAnsi="Calibri"/>
          <w:b w:val="0"/>
          <w:color w:val="000000"/>
          <w:sz w:val="22"/>
        </w:rPr>
        <w:t xml:space="preserve"> — if one is unavailable there is a gap, not a disagreement, and calling that a conflict would manufacture a B3 out of an outage:</w:t>
      </w:r>
    </w:p>
    <w:p>
      <w:pPr>
        <w:pStyle w:val="ListNumber"/>
        <w:spacing w:after="40"/>
      </w:pPr>
      <w:r>
        <w:rPr>
          <w:rFonts w:ascii="Calibri" w:hAnsi="Calibri"/>
          <w:b w:val="0"/>
          <w:color w:val="000000"/>
          <w:sz w:val="21"/>
        </w:rPr>
        <w:t>NPPES holds the provider but the Medicare enrollment indicator does not — an enrolment inconsistency.</w:t>
      </w:r>
    </w:p>
    <w:p>
      <w:pPr>
        <w:pStyle w:val="ListNumber"/>
        <w:spacing w:after="40"/>
      </w:pPr>
      <w:r>
        <w:rPr>
          <w:rFonts w:ascii="Calibri" w:hAnsi="Calibri"/>
          <w:b w:val="0"/>
          <w:color w:val="000000"/>
          <w:sz w:val="21"/>
        </w:rPr>
        <w:t>The enrollment indicator shows the provider enrolled while OIG lists them as excluded — the more serious pairing, since an excluded provider should not be actively enrolled.</w:t>
      </w:r>
    </w:p>
    <w:p>
      <w:pPr>
        <w:spacing w:after="120" w:before="0"/>
      </w:pPr>
      <w:r>
        <w:rPr>
          <w:rFonts w:ascii="Calibri" w:hAnsi="Calibri"/>
          <w:b w:val="0"/>
          <w:color w:val="000000"/>
          <w:sz w:val="22"/>
        </w:rPr>
        <w:t>Either condition routes the record to human review.</w:t>
      </w:r>
    </w:p>
    <w:p>
      <w:pPr>
        <w:pStyle w:val="Heading2"/>
        <w:keepNext/>
        <w:spacing w:before="200" w:after="120"/>
        <w:outlineLvl w:val="1"/>
      </w:pPr>
      <w:r>
        <w:rPr>
          <w:rFonts w:ascii="Calibri" w:hAnsi="Calibri"/>
          <w:b/>
          <w:color w:val="003087"/>
          <w:sz w:val="25"/>
        </w:rPr>
        <w:t>13.4 How to work an exception</w:t>
      </w:r>
    </w:p>
    <w:p>
      <w:pPr>
        <w:pStyle w:val="ListNumber"/>
        <w:spacing w:after="40"/>
      </w:pPr>
      <w:r>
        <w:rPr>
          <w:rFonts w:ascii="Calibri" w:hAnsi="Calibri"/>
          <w:b/>
          <w:color w:val="000000"/>
          <w:sz w:val="21"/>
        </w:rPr>
        <w:t>Establish coverage first.</w:t>
      </w:r>
      <w:r>
        <w:rPr>
          <w:rFonts w:ascii="Calibri" w:hAnsi="Calibri"/>
          <w:b w:val="0"/>
          <w:color w:val="000000"/>
          <w:sz w:val="21"/>
        </w:rPr>
        <w:t xml:space="preserve"> Read the coverage note. Which sources answered?</w:t>
      </w:r>
    </w:p>
    <w:p>
      <w:pPr>
        <w:pStyle w:val="ListNumber"/>
        <w:spacing w:after="40"/>
      </w:pPr>
      <w:r>
        <w:rPr>
          <w:rFonts w:ascii="Calibri" w:hAnsi="Calibri"/>
          <w:b/>
          <w:color w:val="000000"/>
          <w:sz w:val="21"/>
        </w:rPr>
        <w:t>Read each source result individually</w:t>
      </w:r>
      <w:r>
        <w:rPr>
          <w:rFonts w:ascii="Calibri" w:hAnsi="Calibri"/>
          <w:b w:val="0"/>
          <w:color w:val="000000"/>
          <w:sz w:val="21"/>
        </w:rPr>
        <w:t>, including its reason text.</w:t>
      </w:r>
    </w:p>
    <w:p>
      <w:pPr>
        <w:pStyle w:val="ListNumber"/>
        <w:spacing w:after="40"/>
      </w:pPr>
      <w:r>
        <w:rPr>
          <w:rFonts w:ascii="Calibri" w:hAnsi="Calibri"/>
          <w:b/>
          <w:color w:val="000000"/>
          <w:sz w:val="21"/>
        </w:rPr>
        <w:t>Identify the specific finding codes</w:t>
      </w:r>
      <w:r>
        <w:rPr>
          <w:rFonts w:ascii="Calibri" w:hAnsi="Calibri"/>
          <w:b w:val="0"/>
          <w:color w:val="000000"/>
          <w:sz w:val="21"/>
        </w:rPr>
        <w:t xml:space="preserve"> raised, and read their descriptions.</w:t>
      </w:r>
    </w:p>
    <w:p>
      <w:pPr>
        <w:pStyle w:val="ListNumber"/>
        <w:spacing w:after="40"/>
      </w:pPr>
      <w:r>
        <w:rPr>
          <w:rFonts w:ascii="Calibri" w:hAnsi="Calibri"/>
          <w:b/>
          <w:color w:val="000000"/>
          <w:sz w:val="21"/>
        </w:rPr>
        <w:t>Decide whether the finding is explicable.</w:t>
      </w:r>
      <w:r>
        <w:rPr>
          <w:rFonts w:ascii="Calibri" w:hAnsi="Calibri"/>
          <w:b w:val="0"/>
          <w:color w:val="000000"/>
          <w:sz w:val="21"/>
        </w:rPr>
        <w:t xml:space="preserve"> An abbreviation difference is explicable. A different organization at a different address is not.</w:t>
      </w:r>
    </w:p>
    <w:p>
      <w:pPr>
        <w:pStyle w:val="ListNumber"/>
        <w:spacing w:after="40"/>
      </w:pPr>
      <w:r>
        <w:rPr>
          <w:rFonts w:ascii="Calibri" w:hAnsi="Calibri"/>
          <w:b/>
          <w:color w:val="000000"/>
          <w:sz w:val="21"/>
        </w:rPr>
        <w:t>Confirm or reclassify</w:t>
      </w:r>
      <w:r>
        <w:rPr>
          <w:rFonts w:ascii="Calibri" w:hAnsi="Calibri"/>
          <w:b w:val="0"/>
          <w:color w:val="000000"/>
          <w:sz w:val="21"/>
        </w:rPr>
        <w:t>, with a rationale that names the sources and the evidence.</w:t>
      </w:r>
    </w:p>
    <w:p>
      <w:pPr>
        <w:pStyle w:val="ListNumber"/>
        <w:spacing w:after="40"/>
      </w:pPr>
      <w:r>
        <w:rPr>
          <w:rFonts w:ascii="Calibri" w:hAnsi="Calibri"/>
          <w:b/>
          <w:color w:val="000000"/>
          <w:sz w:val="21"/>
        </w:rPr>
        <w:t>Escalate</w:t>
      </w:r>
      <w:r>
        <w:rPr>
          <w:rFonts w:ascii="Calibri" w:hAnsi="Calibri"/>
          <w:b w:val="0"/>
          <w:color w:val="000000"/>
          <w:sz w:val="21"/>
        </w:rPr>
        <w:t xml:space="preserve"> if the determination exceeds your authority or your confidence.</w:t>
      </w:r>
    </w:p>
    <w:p>
      <w:pPr>
        <w:pStyle w:val="Heading2"/>
        <w:keepNext/>
        <w:spacing w:before="200" w:after="120"/>
        <w:outlineLvl w:val="1"/>
      </w:pPr>
      <w:r>
        <w:rPr>
          <w:rFonts w:ascii="Calibri" w:hAnsi="Calibri"/>
          <w:b/>
          <w:color w:val="003087"/>
          <w:sz w:val="25"/>
        </w:rPr>
        <w:t>13.5 What must never happen</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PROHIBITED</w:t>
            </w:r>
          </w:p>
          <w:p>
            <w:pPr>
              <w:spacing w:after="60" w:before="0"/>
            </w:pPr>
            <w:r>
              <w:rPr>
                <w:rFonts w:ascii="Calibri" w:hAnsi="Calibri"/>
                <w:b w:val="0"/>
                <w:color w:val="000000"/>
                <w:sz w:val="21"/>
              </w:rPr>
              <w:t>Do not close an Indeterminate record as clean.</w:t>
            </w:r>
          </w:p>
          <w:p>
            <w:pPr>
              <w:spacing w:after="60" w:before="0"/>
            </w:pPr>
            <w:r>
              <w:rPr>
                <w:rFonts w:ascii="Calibri" w:hAnsi="Calibri"/>
                <w:b w:val="0"/>
                <w:color w:val="000000"/>
                <w:sz w:val="21"/>
              </w:rPr>
              <w:t xml:space="preserve">Do not treat </w:t>
            </w:r>
            <w:r>
              <w:rPr>
                <w:rFonts w:ascii="Consolas" w:hAnsi="Consolas"/>
                <w:color w:val="000000"/>
                <w:sz w:val="21"/>
              </w:rPr>
              <w:t>unavailable</w:t>
            </w:r>
            <w:r>
              <w:rPr>
                <w:rFonts w:ascii="Calibri" w:hAnsi="Calibri"/>
                <w:b w:val="0"/>
                <w:color w:val="000000"/>
                <w:sz w:val="21"/>
              </w:rPr>
              <w:t xml:space="preserve"> as </w:t>
            </w:r>
            <w:r>
              <w:rPr>
                <w:rFonts w:ascii="Consolas" w:hAnsi="Consolas"/>
                <w:color w:val="000000"/>
                <w:sz w:val="21"/>
              </w:rPr>
              <w:t>not_found</w:t>
            </w:r>
            <w:r>
              <w:rPr>
                <w:rFonts w:ascii="Calibri" w:hAnsi="Calibri"/>
                <w:b w:val="0"/>
                <w:color w:val="000000"/>
                <w:sz w:val="21"/>
              </w:rPr>
              <w:t>, or either as verified.</w:t>
            </w:r>
          </w:p>
          <w:p>
            <w:pPr>
              <w:spacing w:after="60" w:before="0"/>
            </w:pPr>
            <w:r>
              <w:rPr>
                <w:rFonts w:ascii="Calibri" w:hAnsi="Calibri"/>
                <w:b w:val="0"/>
                <w:color w:val="000000"/>
                <w:sz w:val="21"/>
              </w:rPr>
              <w:t>Do not modify submitted entity data to make a check pass.</w:t>
            </w:r>
          </w:p>
          <w:p>
            <w:pPr>
              <w:spacing w:after="60" w:before="0"/>
            </w:pPr>
            <w:r>
              <w:rPr>
                <w:rFonts w:ascii="Calibri" w:hAnsi="Calibri"/>
                <w:b w:val="0"/>
                <w:color w:val="000000"/>
                <w:sz w:val="21"/>
              </w:rPr>
              <w:t>Do not resolve a record without a rationale you would defend in an audit.</w:t>
            </w:r>
          </w:p>
          <w:p>
            <w:pPr>
              <w:spacing w:after="0" w:before="0"/>
            </w:pPr>
            <w:r>
              <w:rPr>
                <w:rFonts w:ascii="Calibri" w:hAnsi="Calibri"/>
                <w:b w:val="0"/>
                <w:color w:val="000000"/>
                <w:sz w:val="21"/>
              </w:rPr>
              <w:t>Do not use an AI recommendation as the evidence for a determination.</w:t>
            </w:r>
          </w:p>
        </w:tc>
      </w:tr>
    </w:tbl>
    <w:p>
      <w:pPr>
        <w:spacing w:after="80"/>
      </w:pPr>
    </w:p>
    <w:p>
      <w:r>
        <w:br w:type="page"/>
      </w:r>
    </w:p>
    <w:p>
      <w:pPr>
        <w:pStyle w:val="Heading1"/>
        <w:keepNext/>
        <w:spacing w:before="280" w:after="120"/>
        <w:outlineLvl w:val="0"/>
      </w:pPr>
      <w:r>
        <w:rPr>
          <w:rFonts w:ascii="Calibri" w:hAnsi="Calibri"/>
          <w:b/>
          <w:color w:val="003087"/>
          <w:sz w:val="28"/>
        </w:rPr>
        <w:t>14. AI-Assisted Analysis (What It Does and Does Not Do)</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 — AI IS CURRENTLY DISABLED</w:t>
            </w:r>
          </w:p>
          <w:p>
            <w:pPr>
              <w:spacing w:after="0" w:before="0"/>
            </w:pPr>
            <w:r>
              <w:rPr>
                <w:rFonts w:ascii="Calibri" w:hAnsi="Calibri"/>
                <w:b w:val="0"/>
                <w:color w:val="000000"/>
                <w:sz w:val="21"/>
              </w:rPr>
              <w:t xml:space="preserve">AI entity resolution is </w:t>
            </w:r>
            <w:r>
              <w:rPr>
                <w:rFonts w:ascii="Calibri" w:hAnsi="Calibri"/>
                <w:b/>
                <w:color w:val="000000"/>
                <w:sz w:val="21"/>
              </w:rPr>
              <w:t>disabled on both the development and production environments</w:t>
            </w:r>
            <w:r>
              <w:rPr>
                <w:rFonts w:ascii="Calibri" w:hAnsi="Calibri"/>
                <w:b w:val="0"/>
                <w:color w:val="000000"/>
                <w:sz w:val="21"/>
              </w:rPr>
              <w:t>. The feature flag that controls it is not set on either environment, and the system defaults to disabled. The platform is fully functional without it. This section documents the capability so that its controls are understood before it is ever switched on.</w:t>
            </w:r>
          </w:p>
        </w:tc>
      </w:tr>
    </w:tbl>
    <w:p>
      <w:pPr>
        <w:spacing w:after="80"/>
      </w:pPr>
    </w:p>
    <w:p>
      <w:pPr>
        <w:pStyle w:val="Heading2"/>
        <w:keepNext/>
        <w:spacing w:before="200" w:after="120"/>
        <w:outlineLvl w:val="1"/>
      </w:pPr>
      <w:r>
        <w:rPr>
          <w:rFonts w:ascii="Calibri" w:hAnsi="Calibri"/>
          <w:b/>
          <w:color w:val="003087"/>
          <w:sz w:val="25"/>
        </w:rPr>
        <w:t>14.1 The three modes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Mode</w:t>
            </w:r>
          </w:p>
        </w:tc>
        <w:tc>
          <w:tcPr>
            <w:tcW w:type="dxa" w:w="4680"/>
            <w:shd w:val="clear" w:color="auto" w:fill="003087"/>
          </w:tcPr>
          <w:p>
            <w:pPr>
              <w:spacing w:after="40" w:before="40"/>
            </w:pPr>
            <w:r>
              <w:rPr>
                <w:rFonts w:ascii="Calibri" w:hAnsi="Calibri"/>
                <w:b/>
                <w:color w:val="FFFFFF"/>
                <w:sz w:val="20"/>
              </w:rPr>
              <w:t>Behaviour</w:t>
            </w:r>
          </w:p>
        </w:tc>
      </w:tr>
      <w:tr>
        <w:tc>
          <w:tcPr>
            <w:tcW w:type="dxa" w:w="4680"/>
          </w:tcPr>
          <w:p>
            <w:pPr>
              <w:spacing w:after="40" w:before="40"/>
            </w:pPr>
            <w:r>
              <w:rPr>
                <w:rFonts w:ascii="Calibri" w:hAnsi="Calibri"/>
                <w:b/>
                <w:color w:val="000000"/>
                <w:sz w:val="20"/>
              </w:rPr>
              <w:t>disabled</w:t>
            </w:r>
          </w:p>
        </w:tc>
        <w:tc>
          <w:tcPr>
            <w:tcW w:type="dxa" w:w="4680"/>
          </w:tcPr>
          <w:p>
            <w:pPr>
              <w:spacing w:after="40" w:before="40"/>
            </w:pPr>
            <w:r>
              <w:rPr>
                <w:rFonts w:ascii="Calibri" w:hAnsi="Calibri"/>
                <w:b w:val="0"/>
                <w:color w:val="000000"/>
                <w:sz w:val="20"/>
              </w:rPr>
              <w:t>AI is never called. This is the default and the current setting on both environments</w:t>
            </w:r>
          </w:p>
        </w:tc>
      </w:tr>
      <w:tr>
        <w:tc>
          <w:tcPr>
            <w:tcW w:type="dxa" w:w="4680"/>
            <w:shd w:val="clear" w:color="auto" w:fill="F2F5FA"/>
          </w:tcPr>
          <w:p>
            <w:pPr>
              <w:spacing w:after="40" w:before="40"/>
            </w:pPr>
            <w:r>
              <w:rPr>
                <w:rFonts w:ascii="Calibri" w:hAnsi="Calibri"/>
                <w:b/>
                <w:color w:val="000000"/>
                <w:sz w:val="20"/>
              </w:rPr>
              <w:t>advisory</w:t>
            </w:r>
          </w:p>
        </w:tc>
        <w:tc>
          <w:tcPr>
            <w:tcW w:type="dxa" w:w="4680"/>
            <w:shd w:val="clear" w:color="auto" w:fill="F2F5FA"/>
          </w:tcPr>
          <w:p>
            <w:pPr>
              <w:spacing w:after="40" w:before="40"/>
            </w:pPr>
            <w:r>
              <w:rPr>
                <w:rFonts w:ascii="Calibri" w:hAnsi="Calibri"/>
                <w:b w:val="0"/>
                <w:color w:val="000000"/>
                <w:sz w:val="20"/>
              </w:rPr>
              <w:t>AI may be consulted, but its answer is context for the reviewer only and never sets the match outcome</w:t>
            </w:r>
          </w:p>
        </w:tc>
      </w:tr>
      <w:tr>
        <w:tc>
          <w:tcPr>
            <w:tcW w:type="dxa" w:w="4680"/>
          </w:tcPr>
          <w:p>
            <w:pPr>
              <w:spacing w:after="40" w:before="40"/>
            </w:pPr>
            <w:r>
              <w:rPr>
                <w:rFonts w:ascii="Calibri" w:hAnsi="Calibri"/>
                <w:b/>
                <w:color w:val="000000"/>
                <w:sz w:val="20"/>
              </w:rPr>
              <w:t>production</w:t>
            </w:r>
          </w:p>
        </w:tc>
        <w:tc>
          <w:tcPr>
            <w:tcW w:type="dxa" w:w="4680"/>
          </w:tcPr>
          <w:p>
            <w:pPr>
              <w:spacing w:after="40" w:before="40"/>
            </w:pPr>
            <w:r>
              <w:rPr>
                <w:rFonts w:ascii="Calibri" w:hAnsi="Calibri"/>
                <w:b w:val="0"/>
                <w:color w:val="000000"/>
                <w:sz w:val="20"/>
              </w:rPr>
              <w:t>AI may set a provisional match outcome, but the record still requires manual review</w:t>
            </w:r>
          </w:p>
        </w:tc>
      </w:tr>
    </w:tbl>
    <w:p>
      <w:pPr>
        <w:spacing w:after="80"/>
      </w:pPr>
    </w:p>
    <w:p>
      <w:pPr>
        <w:spacing w:after="120" w:before="0"/>
      </w:pPr>
      <w:r>
        <w:rPr>
          <w:rFonts w:ascii="Calibri" w:hAnsi="Calibri"/>
          <w:b w:val="0"/>
          <w:color w:val="000000"/>
          <w:sz w:val="22"/>
        </w:rPr>
        <w:t xml:space="preserve">The setting fails closed. An unrecognized or misspelled value is treated as </w:t>
      </w:r>
      <w:r>
        <w:rPr>
          <w:rFonts w:ascii="Calibri" w:hAnsi="Calibri"/>
          <w:b/>
          <w:color w:val="000000"/>
          <w:sz w:val="22"/>
        </w:rPr>
        <w:t>disabled</w:t>
      </w:r>
      <w:r>
        <w:rPr>
          <w:rFonts w:ascii="Calibri" w:hAnsi="Calibri"/>
          <w:b w:val="0"/>
          <w:color w:val="000000"/>
          <w:sz w:val="22"/>
        </w:rPr>
        <w:t xml:space="preserve"> rather than being interpreted generously — a typo in configuration must not silently switch AI on in a pipeline that produces compliance evidence.</w:t>
      </w:r>
    </w:p>
    <w:p>
      <w:pPr>
        <w:pStyle w:val="Heading2"/>
        <w:keepNext/>
        <w:spacing w:before="200" w:after="120"/>
        <w:outlineLvl w:val="1"/>
      </w:pPr>
      <w:r>
        <w:rPr>
          <w:rFonts w:ascii="Calibri" w:hAnsi="Calibri"/>
          <w:b/>
          <w:color w:val="003087"/>
          <w:sz w:val="25"/>
        </w:rPr>
        <w:t>14.2 When AI would be called</w:t>
      </w:r>
    </w:p>
    <w:p>
      <w:pPr>
        <w:spacing w:after="120" w:before="0"/>
      </w:pPr>
      <w:r>
        <w:rPr>
          <w:rFonts w:ascii="Calibri" w:hAnsi="Calibri"/>
          <w:b w:val="0"/>
          <w:color w:val="000000"/>
          <w:sz w:val="22"/>
        </w:rPr>
        <w:t>AI is the fourth and last step of entity resolution, and it is reached only when the first three cannot decide:</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1. EXACT IDENTIFIER MATCH  (NPI or TEFCAID)</w:t>
            </w:r>
          </w:p>
          <w:p>
            <w:pPr>
              <w:spacing w:after="0" w:before="0"/>
            </w:pPr>
            <w:r>
              <w:rPr>
                <w:rFonts w:ascii="Consolas" w:hAnsi="Consolas"/>
                <w:color w:val="444444"/>
                <w:sz w:val="16"/>
              </w:rPr>
              <w:t xml:space="preserve">     Decisive both ways. Same identifier = same entity.</w:t>
            </w:r>
          </w:p>
          <w:p>
            <w:pPr>
              <w:spacing w:after="0" w:before="0"/>
            </w:pPr>
            <w:r>
              <w:rPr>
                <w:rFonts w:ascii="Consolas" w:hAnsi="Consolas"/>
                <w:color w:val="444444"/>
                <w:sz w:val="16"/>
              </w:rPr>
              <w:t xml:space="preserve">     Different identifiers in the same space = different entities.</w:t>
            </w:r>
          </w:p>
          <w:p>
            <w:pPr>
              <w:spacing w:after="0" w:before="0"/>
            </w:pPr>
            <w:r>
              <w:rPr>
                <w:rFonts w:ascii="Consolas" w:hAnsi="Consolas"/>
                <w:color w:val="444444"/>
                <w:sz w:val="16"/>
              </w:rPr>
              <w:t xml:space="preserve">                |  no identifier available on both records</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2. USPS ADDRESS NORMALIZATION</w:t>
            </w:r>
          </w:p>
          <w:p>
            <w:pPr>
              <w:spacing w:after="0" w:before="0"/>
            </w:pPr>
            <w:r>
              <w:rPr>
                <w:rFonts w:ascii="Consolas" w:hAnsi="Consolas"/>
                <w:color w:val="444444"/>
                <w:sz w:val="16"/>
              </w:rPr>
              <w:t xml:space="preserve">     Deterministic, free, always available.</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3. JARO-WINKLER NAME SIMILARITY</w:t>
            </w:r>
          </w:p>
          <w:p>
            <w:pPr>
              <w:spacing w:after="0" w:before="0"/>
            </w:pPr>
            <w:r>
              <w:rPr>
                <w:rFonts w:ascii="Consolas" w:hAnsi="Consolas"/>
                <w:color w:val="444444"/>
                <w:sz w:val="16"/>
              </w:rPr>
              <w:t xml:space="preserve">     Deterministic, free.</w:t>
            </w:r>
          </w:p>
          <w:p>
            <w:pPr>
              <w:spacing w:after="0" w:before="0"/>
            </w:pPr>
            <w:r>
              <w:rPr>
                <w:rFonts w:ascii="Consolas" w:hAnsi="Consolas"/>
                <w:color w:val="444444"/>
                <w:sz w:val="16"/>
              </w:rPr>
              <w:t xml:space="preserve">     Both signals strong  -&gt; MATCH, no AI</w:t>
            </w:r>
          </w:p>
          <w:p>
            <w:pPr>
              <w:spacing w:after="0" w:before="0"/>
            </w:pPr>
            <w:r>
              <w:rPr>
                <w:rFonts w:ascii="Consolas" w:hAnsi="Consolas"/>
                <w:color w:val="444444"/>
                <w:sz w:val="16"/>
              </w:rPr>
              <w:t xml:space="preserve">     Both signals weak    -&gt; NO MATCH, no AI</w:t>
            </w:r>
          </w:p>
          <w:p>
            <w:pPr>
              <w:spacing w:after="0" w:before="0"/>
            </w:pPr>
            <w:r>
              <w:rPr>
                <w:rFonts w:ascii="Consolas" w:hAnsi="Consolas"/>
                <w:color w:val="444444"/>
                <w:sz w:val="16"/>
              </w:rPr>
              <w:t xml:space="preserve">                |  signals disagree</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4. AI ADJUDICATION</w:t>
            </w:r>
          </w:p>
          <w:p>
            <w:pPr>
              <w:spacing w:after="0" w:before="0"/>
            </w:pPr>
            <w:r>
              <w:rPr>
                <w:rFonts w:ascii="Consolas" w:hAnsi="Consolas"/>
                <w:color w:val="444444"/>
                <w:sz w:val="16"/>
              </w:rPr>
              <w:t xml:space="preserve">     Only if AI is enabled. Only on this residue.</w:t>
            </w:r>
          </w:p>
        </w:tc>
      </w:tr>
    </w:tbl>
    <w:p>
      <w:pPr>
        <w:spacing w:after="80"/>
      </w:pPr>
    </w:p>
    <w:p>
      <w:pPr>
        <w:spacing w:after="120" w:before="0"/>
      </w:pPr>
      <w:r>
        <w:rPr>
          <w:rFonts w:ascii="Calibri" w:hAnsi="Calibri"/>
          <w:b w:val="0"/>
          <w:color w:val="000000"/>
          <w:sz w:val="22"/>
        </w:rPr>
        <w:t>Steps 1 to 3 settle the overwhelming majority of cases. Step 4 exists for the narrow residue where two records plausibly describe one organization and no deterministic signal decides it.</w:t>
      </w:r>
    </w:p>
    <w:p>
      <w:pPr>
        <w:pStyle w:val="Heading2"/>
        <w:keepNext/>
        <w:spacing w:before="200" w:after="120"/>
        <w:outlineLvl w:val="1"/>
      </w:pPr>
      <w:r>
        <w:rPr>
          <w:rFonts w:ascii="Calibri" w:hAnsi="Calibri"/>
          <w:b/>
          <w:color w:val="003087"/>
          <w:sz w:val="25"/>
        </w:rPr>
        <w:t>14.3 What AI does</w:t>
      </w:r>
    </w:p>
    <w:p>
      <w:pPr>
        <w:pStyle w:val="ListBullet"/>
        <w:spacing w:after="40"/>
      </w:pPr>
      <w:r>
        <w:rPr>
          <w:rFonts w:ascii="Calibri" w:hAnsi="Calibri"/>
          <w:b w:val="0"/>
          <w:color w:val="000000"/>
          <w:sz w:val="21"/>
        </w:rPr>
        <w:t>Receives two organization records and returns a single structured judgement: whether they refer to the same real-world entity, a confidence value between 0 and 1, and one sentence of reasoning.</w:t>
      </w:r>
    </w:p>
    <w:p>
      <w:pPr>
        <w:pStyle w:val="ListBullet"/>
        <w:spacing w:after="40"/>
      </w:pPr>
      <w:r>
        <w:rPr>
          <w:rFonts w:ascii="Calibri" w:hAnsi="Calibri"/>
          <w:b w:val="0"/>
          <w:color w:val="000000"/>
          <w:sz w:val="21"/>
        </w:rPr>
        <w:t>It is instructed to be conservative and to return low confidence rather than guess when evidence is genuinely ambiguous.</w:t>
      </w:r>
    </w:p>
    <w:p>
      <w:pPr>
        <w:pStyle w:val="ListBullet"/>
        <w:spacing w:after="40"/>
      </w:pPr>
      <w:r>
        <w:rPr>
          <w:rFonts w:ascii="Calibri" w:hAnsi="Calibri"/>
          <w:b w:val="0"/>
          <w:color w:val="000000"/>
          <w:sz w:val="21"/>
        </w:rPr>
        <w:t>Its output is explicitly framed to the model itself as *a recommendation for a human reviewer, not a decision*.</w:t>
      </w:r>
    </w:p>
    <w:p>
      <w:pPr>
        <w:pStyle w:val="Heading2"/>
        <w:keepNext/>
        <w:spacing w:before="200" w:after="120"/>
        <w:outlineLvl w:val="1"/>
      </w:pPr>
      <w:r>
        <w:rPr>
          <w:rFonts w:ascii="Calibri" w:hAnsi="Calibri"/>
          <w:b/>
          <w:color w:val="003087"/>
          <w:sz w:val="25"/>
        </w:rPr>
        <w:t>14.4 What AI does not do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AI does not</w:t>
            </w:r>
          </w:p>
        </w:tc>
        <w:tc>
          <w:tcPr>
            <w:tcW w:type="dxa" w:w="4680"/>
            <w:shd w:val="clear" w:color="auto" w:fill="003087"/>
          </w:tcPr>
          <w:p>
            <w:pPr>
              <w:spacing w:after="40" w:before="40"/>
            </w:pPr>
            <w:r>
              <w:rPr>
                <w:rFonts w:ascii="Calibri" w:hAnsi="Calibri"/>
                <w:b/>
                <w:color w:val="FFFFFF"/>
                <w:sz w:val="20"/>
              </w:rPr>
              <w:t>Enforced how</w:t>
            </w:r>
          </w:p>
        </w:tc>
      </w:tr>
      <w:tr>
        <w:tc>
          <w:tcPr>
            <w:tcW w:type="dxa" w:w="4680"/>
          </w:tcPr>
          <w:p>
            <w:pPr>
              <w:spacing w:after="40" w:before="40"/>
            </w:pPr>
            <w:r>
              <w:rPr>
                <w:rFonts w:ascii="Calibri" w:hAnsi="Calibri"/>
                <w:b w:val="0"/>
                <w:color w:val="000000"/>
                <w:sz w:val="20"/>
              </w:rPr>
              <w:t>Make the determination</w:t>
            </w:r>
          </w:p>
        </w:tc>
        <w:tc>
          <w:tcPr>
            <w:tcW w:type="dxa" w:w="4680"/>
          </w:tcPr>
          <w:p>
            <w:pPr>
              <w:spacing w:after="40" w:before="40"/>
            </w:pPr>
            <w:r>
              <w:rPr>
                <w:rFonts w:ascii="Calibri" w:hAnsi="Calibri"/>
                <w:b w:val="0"/>
                <w:color w:val="000000"/>
                <w:sz w:val="20"/>
              </w:rPr>
              <w:t>Every AI-touched result carries mandatory manual review, at any confidence</w:t>
            </w:r>
          </w:p>
        </w:tc>
      </w:tr>
      <w:tr>
        <w:tc>
          <w:tcPr>
            <w:tcW w:type="dxa" w:w="4680"/>
            <w:shd w:val="clear" w:color="auto" w:fill="F2F5FA"/>
          </w:tcPr>
          <w:p>
            <w:pPr>
              <w:spacing w:after="40" w:before="40"/>
            </w:pPr>
            <w:r>
              <w:rPr>
                <w:rFonts w:ascii="Calibri" w:hAnsi="Calibri"/>
                <w:b w:val="0"/>
                <w:color w:val="000000"/>
                <w:sz w:val="20"/>
              </w:rPr>
              <w:t>Replace an authoritative source lookup</w:t>
            </w:r>
          </w:p>
        </w:tc>
        <w:tc>
          <w:tcPr>
            <w:tcW w:type="dxa" w:w="4680"/>
            <w:shd w:val="clear" w:color="auto" w:fill="F2F5FA"/>
          </w:tcPr>
          <w:p>
            <w:pPr>
              <w:spacing w:after="40" w:before="40"/>
            </w:pPr>
            <w:r>
              <w:rPr>
                <w:rFonts w:ascii="Calibri" w:hAnsi="Calibri"/>
                <w:b w:val="0"/>
                <w:color w:val="000000"/>
                <w:sz w:val="20"/>
              </w:rPr>
              <w:t>AI is never consulted in place of NPPES, LEIE, or any federal source. It adjudicates between two records; it does not fetch facts</w:t>
            </w:r>
          </w:p>
        </w:tc>
      </w:tr>
      <w:tr>
        <w:tc>
          <w:tcPr>
            <w:tcW w:type="dxa" w:w="4680"/>
          </w:tcPr>
          <w:p>
            <w:pPr>
              <w:spacing w:after="40" w:before="40"/>
            </w:pPr>
            <w:r>
              <w:rPr>
                <w:rFonts w:ascii="Calibri" w:hAnsi="Calibri"/>
                <w:b w:val="0"/>
                <w:color w:val="000000"/>
                <w:sz w:val="20"/>
              </w:rPr>
              <w:t>Receive PHI or patient data</w:t>
            </w:r>
          </w:p>
        </w:tc>
        <w:tc>
          <w:tcPr>
            <w:tcW w:type="dxa" w:w="4680"/>
          </w:tcPr>
          <w:p>
            <w:pPr>
              <w:spacing w:after="40" w:before="40"/>
            </w:pPr>
            <w:r>
              <w:rPr>
                <w:rFonts w:ascii="Calibri" w:hAnsi="Calibri"/>
                <w:b w:val="0"/>
                <w:color w:val="000000"/>
                <w:sz w:val="20"/>
              </w:rPr>
              <w:t>An allowlist restricts the payload to six public fields</w:t>
            </w:r>
          </w:p>
        </w:tc>
      </w:tr>
      <w:tr>
        <w:tc>
          <w:tcPr>
            <w:tcW w:type="dxa" w:w="4680"/>
            <w:shd w:val="clear" w:color="auto" w:fill="F2F5FA"/>
          </w:tcPr>
          <w:p>
            <w:pPr>
              <w:spacing w:after="40" w:before="40"/>
            </w:pPr>
            <w:r>
              <w:rPr>
                <w:rFonts w:ascii="Calibri" w:hAnsi="Calibri"/>
                <w:b w:val="0"/>
                <w:color w:val="000000"/>
                <w:sz w:val="20"/>
              </w:rPr>
              <w:t>Set the outcome in advisory mode</w:t>
            </w:r>
          </w:p>
        </w:tc>
        <w:tc>
          <w:tcPr>
            <w:tcW w:type="dxa" w:w="4680"/>
            <w:shd w:val="clear" w:color="auto" w:fill="F2F5FA"/>
          </w:tcPr>
          <w:p>
            <w:pPr>
              <w:spacing w:after="40" w:before="40"/>
            </w:pPr>
            <w:r>
              <w:rPr>
                <w:rFonts w:ascii="Calibri" w:hAnsi="Calibri"/>
                <w:b w:val="0"/>
                <w:color w:val="000000"/>
                <w:sz w:val="20"/>
              </w:rPr>
              <w:t>The match value is not populated at all in advisory mode</w:t>
            </w:r>
          </w:p>
        </w:tc>
      </w:tr>
      <w:tr>
        <w:tc>
          <w:tcPr>
            <w:tcW w:type="dxa" w:w="4680"/>
          </w:tcPr>
          <w:p>
            <w:pPr>
              <w:spacing w:after="40" w:before="40"/>
            </w:pPr>
            <w:r>
              <w:rPr>
                <w:rFonts w:ascii="Calibri" w:hAnsi="Calibri"/>
                <w:b w:val="0"/>
                <w:color w:val="000000"/>
                <w:sz w:val="20"/>
              </w:rPr>
              <w:t>Break the pipeline when it fails</w:t>
            </w:r>
          </w:p>
        </w:tc>
        <w:tc>
          <w:tcPr>
            <w:tcW w:type="dxa" w:w="4680"/>
          </w:tcPr>
          <w:p>
            <w:pPr>
              <w:spacing w:after="40" w:before="40"/>
            </w:pPr>
            <w:r>
              <w:rPr>
                <w:rFonts w:ascii="Calibri" w:hAnsi="Calibri"/>
                <w:b w:val="0"/>
                <w:color w:val="000000"/>
                <w:sz w:val="20"/>
              </w:rPr>
              <w:t>Failures are caught, recorded, and the deterministic result is returned</w:t>
            </w:r>
          </w:p>
        </w:tc>
      </w:tr>
    </w:tbl>
    <w:p>
      <w:pPr>
        <w:spacing w:after="80"/>
      </w:pPr>
    </w:p>
    <w:p>
      <w:pPr>
        <w:pStyle w:val="Heading2"/>
        <w:keepNext/>
        <w:spacing w:before="200" w:after="120"/>
        <w:outlineLvl w:val="1"/>
      </w:pPr>
      <w:r>
        <w:rPr>
          <w:rFonts w:ascii="Calibri" w:hAnsi="Calibri"/>
          <w:b/>
          <w:color w:val="003087"/>
          <w:sz w:val="25"/>
        </w:rPr>
        <w:t>14.5 What data is sent</w:t>
      </w:r>
    </w:p>
    <w:p>
      <w:pPr>
        <w:spacing w:after="120" w:before="0"/>
      </w:pPr>
      <w:r>
        <w:rPr>
          <w:rFonts w:ascii="Calibri" w:hAnsi="Calibri"/>
          <w:b w:val="0"/>
          <w:color w:val="000000"/>
          <w:sz w:val="22"/>
        </w:rPr>
        <w:t>Only these six fields, and only when present:</w:t>
      </w:r>
    </w:p>
    <w:p>
      <w:pPr>
        <w:spacing w:after="120" w:before="0"/>
      </w:pPr>
      <w:r>
        <w:rPr>
          <w:rFonts w:ascii="Calibri" w:hAnsi="Calibri"/>
          <w:b/>
          <w:color w:val="000000"/>
          <w:sz w:val="22"/>
        </w:rPr>
        <w:t>name · address · npi · entity_type · state · tefcaid</w:t>
      </w:r>
    </w:p>
    <w:p>
      <w:pPr>
        <w:spacing w:after="120" w:before="0"/>
      </w:pPr>
      <w:r>
        <w:rPr>
          <w:rFonts w:ascii="Calibri" w:hAnsi="Calibri"/>
          <w:b w:val="0"/>
          <w:color w:val="000000"/>
          <w:sz w:val="22"/>
        </w:rPr>
        <w:t>This is an allowlist, not a blocklist. Any field not on this list is dropped before the payload is built, so a future column added to the entity model — including one carrying protected information — cannot leak by default.</w:t>
      </w:r>
    </w:p>
    <w:p>
      <w:pPr>
        <w:spacing w:after="120" w:before="0"/>
      </w:pPr>
      <w:r>
        <w:rPr>
          <w:rFonts w:ascii="Calibri" w:hAnsi="Calibri"/>
          <w:b/>
          <w:color w:val="000000"/>
          <w:sz w:val="22"/>
        </w:rPr>
        <w:t>Never sent:</w:t>
      </w:r>
      <w:r>
        <w:rPr>
          <w:rFonts w:ascii="Calibri" w:hAnsi="Calibri"/>
          <w:b w:val="0"/>
          <w:color w:val="000000"/>
          <w:sz w:val="22"/>
        </w:rPr>
        <w:t xml:space="preserve"> protected health information, patient data, Social Security numbers, internal identifiers, review history, reviewer notes, or findings.</w:t>
      </w:r>
    </w:p>
    <w:p>
      <w:pPr>
        <w:pStyle w:val="Heading2"/>
        <w:keepNext/>
        <w:spacing w:before="200" w:after="120"/>
        <w:outlineLvl w:val="1"/>
      </w:pPr>
      <w:r>
        <w:rPr>
          <w:rFonts w:ascii="Calibri" w:hAnsi="Calibri"/>
          <w:b/>
          <w:color w:val="003087"/>
          <w:sz w:val="25"/>
        </w:rPr>
        <w:t>14.6 Confidence thresholds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Confidence</w:t>
            </w:r>
          </w:p>
        </w:tc>
        <w:tc>
          <w:tcPr>
            <w:tcW w:type="dxa" w:w="3120"/>
            <w:shd w:val="clear" w:color="auto" w:fill="003087"/>
          </w:tcPr>
          <w:p>
            <w:pPr>
              <w:spacing w:after="40" w:before="40"/>
            </w:pPr>
            <w:r>
              <w:rPr>
                <w:rFonts w:ascii="Calibri" w:hAnsi="Calibri"/>
                <w:b/>
                <w:color w:val="FFFFFF"/>
                <w:sz w:val="20"/>
              </w:rPr>
              <w:t>Threshold applied</w:t>
            </w:r>
          </w:p>
        </w:tc>
        <w:tc>
          <w:tcPr>
            <w:tcW w:type="dxa" w:w="3120"/>
            <w:shd w:val="clear" w:color="auto" w:fill="003087"/>
          </w:tcPr>
          <w:p>
            <w:pPr>
              <w:spacing w:after="40" w:before="40"/>
            </w:pPr>
            <w:r>
              <w:rPr>
                <w:rFonts w:ascii="Calibri" w:hAnsi="Calibri"/>
                <w:b/>
                <w:color w:val="FFFFFF"/>
                <w:sz w:val="20"/>
              </w:rPr>
              <w:t>Effect</w:t>
            </w:r>
          </w:p>
        </w:tc>
      </w:tr>
      <w:tr>
        <w:tc>
          <w:tcPr>
            <w:tcW w:type="dxa" w:w="3120"/>
          </w:tcPr>
          <w:p>
            <w:pPr>
              <w:spacing w:after="40" w:before="40"/>
            </w:pPr>
            <w:r>
              <w:rPr>
                <w:rFonts w:ascii="Calibri" w:hAnsi="Calibri"/>
                <w:b w:val="0"/>
                <w:color w:val="000000"/>
                <w:sz w:val="20"/>
              </w:rPr>
              <w:t>0.95 and above</w:t>
            </w:r>
          </w:p>
        </w:tc>
        <w:tc>
          <w:tcPr>
            <w:tcW w:type="dxa" w:w="3120"/>
          </w:tcPr>
          <w:p>
            <w:pPr>
              <w:spacing w:after="40" w:before="40"/>
            </w:pPr>
            <w:r>
              <w:rPr>
                <w:rFonts w:ascii="Consolas" w:hAnsi="Consolas"/>
                <w:color w:val="000000"/>
                <w:sz w:val="20"/>
              </w:rPr>
              <w:t>show_recommendation</w:t>
            </w:r>
          </w:p>
        </w:tc>
        <w:tc>
          <w:tcPr>
            <w:tcW w:type="dxa" w:w="3120"/>
          </w:tcPr>
          <w:p>
            <w:pPr>
              <w:spacing w:after="40" w:before="40"/>
            </w:pPr>
            <w:r>
              <w:rPr>
                <w:rFonts w:ascii="Calibri" w:hAnsi="Calibri"/>
                <w:b w:val="0"/>
                <w:color w:val="000000"/>
                <w:sz w:val="20"/>
              </w:rPr>
              <w:t>The recommendation is surfaced to the reviewer as context</w:t>
            </w:r>
          </w:p>
        </w:tc>
      </w:tr>
      <w:tr>
        <w:tc>
          <w:tcPr>
            <w:tcW w:type="dxa" w:w="3120"/>
            <w:shd w:val="clear" w:color="auto" w:fill="F2F5FA"/>
          </w:tcPr>
          <w:p>
            <w:pPr>
              <w:spacing w:after="40" w:before="40"/>
            </w:pPr>
            <w:r>
              <w:rPr>
                <w:rFonts w:ascii="Calibri" w:hAnsi="Calibri"/>
                <w:b w:val="0"/>
                <w:color w:val="000000"/>
                <w:sz w:val="20"/>
              </w:rPr>
              <w:t>0.70 to 0.94</w:t>
            </w:r>
          </w:p>
        </w:tc>
        <w:tc>
          <w:tcPr>
            <w:tcW w:type="dxa" w:w="3120"/>
            <w:shd w:val="clear" w:color="auto" w:fill="F2F5FA"/>
          </w:tcPr>
          <w:p>
            <w:pPr>
              <w:spacing w:after="40" w:before="40"/>
            </w:pPr>
            <w:r>
              <w:rPr>
                <w:rFonts w:ascii="Consolas" w:hAnsi="Consolas"/>
                <w:color w:val="000000"/>
                <w:sz w:val="20"/>
              </w:rPr>
              <w:t>mandatory_manual_review</w:t>
            </w:r>
          </w:p>
        </w:tc>
        <w:tc>
          <w:tcPr>
            <w:tcW w:type="dxa" w:w="3120"/>
            <w:shd w:val="clear" w:color="auto" w:fill="F2F5FA"/>
          </w:tcPr>
          <w:p>
            <w:pPr>
              <w:spacing w:after="40" w:before="40"/>
            </w:pPr>
            <w:r>
              <w:rPr>
                <w:rFonts w:ascii="Calibri" w:hAnsi="Calibri"/>
                <w:b w:val="0"/>
                <w:color w:val="000000"/>
                <w:sz w:val="20"/>
              </w:rPr>
              <w:t>Shown as context only; manual review is compulsory</w:t>
            </w:r>
          </w:p>
        </w:tc>
      </w:tr>
      <w:tr>
        <w:tc>
          <w:tcPr>
            <w:tcW w:type="dxa" w:w="3120"/>
          </w:tcPr>
          <w:p>
            <w:pPr>
              <w:spacing w:after="40" w:before="40"/>
            </w:pPr>
            <w:r>
              <w:rPr>
                <w:rFonts w:ascii="Calibri" w:hAnsi="Calibri"/>
                <w:b w:val="0"/>
                <w:color w:val="000000"/>
                <w:sz w:val="20"/>
              </w:rPr>
              <w:t>Below 0.70</w:t>
            </w:r>
          </w:p>
        </w:tc>
        <w:tc>
          <w:tcPr>
            <w:tcW w:type="dxa" w:w="3120"/>
          </w:tcPr>
          <w:p>
            <w:pPr>
              <w:spacing w:after="40" w:before="40"/>
            </w:pPr>
            <w:r>
              <w:rPr>
                <w:rFonts w:ascii="Consolas" w:hAnsi="Consolas"/>
                <w:color w:val="000000"/>
                <w:sz w:val="20"/>
              </w:rPr>
              <w:t>ignored_below_threshold</w:t>
            </w:r>
          </w:p>
        </w:tc>
        <w:tc>
          <w:tcPr>
            <w:tcW w:type="dxa" w:w="3120"/>
          </w:tcPr>
          <w:p>
            <w:pPr>
              <w:spacing w:after="40" w:before="40"/>
            </w:pPr>
            <w:r>
              <w:rPr>
                <w:rFonts w:ascii="Calibri" w:hAnsi="Calibri"/>
                <w:b/>
                <w:color w:val="000000"/>
                <w:sz w:val="20"/>
              </w:rPr>
              <w:t>The recommendation is discarded entirely</w:t>
            </w:r>
            <w:r>
              <w:rPr>
                <w:rFonts w:ascii="Calibri" w:hAnsi="Calibri"/>
                <w:b w:val="0"/>
                <w:color w:val="000000"/>
                <w:sz w:val="20"/>
              </w:rPr>
              <w:t xml:space="preserve"> — not downgraded, not shown</w:t>
            </w:r>
          </w:p>
        </w:tc>
      </w:tr>
    </w:tbl>
    <w:p>
      <w:pPr>
        <w:spacing w:after="80"/>
      </w:pPr>
    </w:p>
    <w:p>
      <w:pPr>
        <w:spacing w:after="120" w:before="0"/>
      </w:pPr>
      <w:r>
        <w:rPr>
          <w:rFonts w:ascii="Calibri" w:hAnsi="Calibri"/>
          <w:b w:val="0"/>
          <w:color w:val="000000"/>
          <w:sz w:val="22"/>
        </w:rPr>
        <w:t>A low-confidence guess must not reach a reviewer as evidence, so it is dropped rather than displayed with a caveat.</w:t>
      </w:r>
    </w:p>
    <w:p>
      <w:pPr>
        <w:pStyle w:val="Heading2"/>
        <w:keepNext/>
        <w:spacing w:before="200" w:after="120"/>
        <w:outlineLvl w:val="1"/>
      </w:pPr>
      <w:r>
        <w:rPr>
          <w:rFonts w:ascii="Calibri" w:hAnsi="Calibri"/>
          <w:b/>
          <w:color w:val="003087"/>
          <w:sz w:val="25"/>
        </w:rPr>
        <w:t>14.7 What is recorded for every AI call</w:t>
      </w:r>
    </w:p>
    <w:p>
      <w:pPr>
        <w:spacing w:after="120" w:before="0"/>
      </w:pPr>
      <w:r>
        <w:rPr>
          <w:rFonts w:ascii="Calibri" w:hAnsi="Calibri"/>
          <w:b w:val="0"/>
          <w:color w:val="000000"/>
          <w:sz w:val="22"/>
        </w:rPr>
        <w:t>Every call is audit-logged with: model identifier, prompt version, the exact input payload, the output, the confidence, the threshold applied, the timestamp, the latency, the software version, and any error. This is the record that lets an auditor reconstruct precisely what the model was asked and what it said.</w:t>
      </w:r>
    </w:p>
    <w:p>
      <w:pPr>
        <w:pStyle w:val="Heading2"/>
        <w:keepNext/>
        <w:spacing w:before="200" w:after="120"/>
        <w:outlineLvl w:val="1"/>
      </w:pPr>
      <w:r>
        <w:rPr>
          <w:rFonts w:ascii="Calibri" w:hAnsi="Calibri"/>
          <w:b/>
          <w:color w:val="003087"/>
          <w:sz w:val="25"/>
        </w:rPr>
        <w:t>14.8 Fallback when AI is unavailable</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AI unavailable, disabled, or failing</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Deterministic matching continues</w:t>
            </w:r>
          </w:p>
          <w:p>
            <w:pPr>
              <w:spacing w:after="0" w:before="0"/>
            </w:pPr>
            <w:r>
              <w:rPr>
                <w:rFonts w:ascii="Consolas" w:hAnsi="Consolas"/>
                <w:color w:val="444444"/>
                <w:sz w:val="16"/>
              </w:rPr>
              <w:t xml:space="preserve">   (identifier, USPS address normalization, Jaro-Winkler)</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No AI-generated content produced</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Entity flagged for manual review</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Human reviewer makes the determination</w:t>
            </w:r>
          </w:p>
          <w:p>
            <w:pPr>
              <w:spacing w:after="0" w:before="0"/>
            </w:pPr>
            <w:r>
              <w:rPr>
                <w:rFonts w:ascii="Consolas" w:hAnsi="Consolas"/>
                <w:color w:val="444444"/>
                <w:sz w:val="16"/>
              </w:rPr>
              <w:t xml:space="preserve">                |</w:t>
            </w:r>
          </w:p>
          <w:p>
            <w:pPr>
              <w:spacing w:after="0" w:before="0"/>
            </w:pPr>
            <w:r>
              <w:rPr>
                <w:rFonts w:ascii="Consolas" w:hAnsi="Consolas"/>
                <w:color w:val="444444"/>
                <w:sz w:val="16"/>
              </w:rPr>
              <w:t xml:space="preserve">                v</w:t>
            </w:r>
          </w:p>
          <w:p>
            <w:pPr>
              <w:spacing w:after="0" w:before="0"/>
            </w:pPr>
            <w:r>
              <w:rPr>
                <w:rFonts w:ascii="Consolas" w:hAnsi="Consolas"/>
                <w:color w:val="444444"/>
                <w:sz w:val="16"/>
              </w:rPr>
              <w:t xml:space="preserve">   System continues operating without AI</w:t>
            </w:r>
          </w:p>
        </w:tc>
      </w:tr>
    </w:tbl>
    <w:p>
      <w:pPr>
        <w:spacing w:after="80"/>
      </w:pPr>
    </w:p>
    <w:p>
      <w:pPr>
        <w:spacing w:after="120" w:before="0"/>
      </w:pPr>
      <w:r>
        <w:rPr>
          <w:rFonts w:ascii="Calibri" w:hAnsi="Calibri"/>
          <w:b w:val="0"/>
          <w:color w:val="000000"/>
          <w:sz w:val="22"/>
        </w:rPr>
        <w:t>The failure is caught, logged with its exception type, and the deterministic result is returned. An AI outage is visible in the audit record and invisible in the outcome — the review simply proceeds without it.</w:t>
      </w:r>
    </w:p>
    <w:p>
      <w:pPr>
        <w:pStyle w:val="Heading2"/>
        <w:keepNext/>
        <w:spacing w:before="200" w:after="120"/>
        <w:outlineLvl w:val="1"/>
      </w:pPr>
      <w:r>
        <w:rPr>
          <w:rFonts w:ascii="Calibri" w:hAnsi="Calibri"/>
          <w:b/>
          <w:color w:val="003087"/>
          <w:sz w:val="25"/>
        </w:rPr>
        <w:t>14.9 The rule for users</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PROHIBITED</w:t>
            </w:r>
          </w:p>
          <w:p>
            <w:pPr>
              <w:spacing w:after="0" w:before="0"/>
            </w:pPr>
            <w:r>
              <w:rPr>
                <w:rFonts w:ascii="Calibri" w:hAnsi="Calibri"/>
                <w:b w:val="0"/>
                <w:color w:val="000000"/>
                <w:sz w:val="21"/>
              </w:rPr>
              <w:t>Do not treat AI-generated content as authoritative evidence. An AI recommendation is never the basis for a determination. Your rationale must cite what a federal source returned, not what a model suggested.</w:t>
            </w:r>
          </w:p>
        </w:tc>
      </w:tr>
    </w:tbl>
    <w:p>
      <w:pPr>
        <w:spacing w:after="80"/>
      </w:pPr>
    </w:p>
    <w:p>
      <w:pPr>
        <w:pStyle w:val="Heading2"/>
        <w:keepNext/>
        <w:spacing w:before="200" w:after="120"/>
        <w:outlineLvl w:val="1"/>
      </w:pPr>
      <w:r>
        <w:rPr>
          <w:rFonts w:ascii="Calibri" w:hAnsi="Calibri"/>
          <w:b/>
          <w:color w:val="003087"/>
          <w:sz w:val="25"/>
        </w:rPr>
        <w:t>14.10 A note on scope</w:t>
      </w:r>
    </w:p>
    <w:p>
      <w:pPr>
        <w:spacing w:after="120" w:before="0"/>
      </w:pPr>
      <w:r>
        <w:rPr>
          <w:rFonts w:ascii="Calibri" w:hAnsi="Calibri"/>
          <w:b w:val="0"/>
          <w:color w:val="000000"/>
          <w:sz w:val="22"/>
        </w:rPr>
        <w:t xml:space="preserve">The AI capability described here is the TEFCA entity-resolution adjudicator. A separate platform-level AI governance module exists in the codebase but is </w:t>
      </w:r>
      <w:r>
        <w:rPr>
          <w:rFonts w:ascii="Calibri" w:hAnsi="Calibri"/>
          <w:b/>
          <w:color w:val="000000"/>
          <w:sz w:val="22"/>
        </w:rPr>
        <w:t>not mounted on production</w:t>
      </w:r>
      <w:r>
        <w:rPr>
          <w:rFonts w:ascii="Calibri" w:hAnsi="Calibri"/>
          <w:b w:val="0"/>
          <w:color w:val="000000"/>
          <w:sz w:val="22"/>
        </w:rPr>
        <w:t xml:space="preserve"> — its endpoints return 404 — and it is therefore not part of the operating system described by this guide.</w:t>
      </w:r>
    </w:p>
    <w:p>
      <w:r>
        <w:br w:type="page"/>
      </w:r>
    </w:p>
    <w:p>
      <w:pPr>
        <w:pStyle w:val="Heading1"/>
        <w:keepNext/>
        <w:spacing w:before="280" w:after="120"/>
        <w:outlineLvl w:val="0"/>
      </w:pPr>
      <w:r>
        <w:rPr>
          <w:rFonts w:ascii="Calibri" w:hAnsi="Calibri"/>
          <w:b/>
          <w:color w:val="003087"/>
          <w:sz w:val="28"/>
        </w:rPr>
        <w:t>15. QA and Approval</w:t>
      </w:r>
    </w:p>
    <w:p>
      <w:pPr>
        <w:pStyle w:val="Heading2"/>
        <w:keepNext/>
        <w:spacing w:before="200" w:after="120"/>
        <w:outlineLvl w:val="1"/>
      </w:pPr>
      <w:r>
        <w:rPr>
          <w:rFonts w:ascii="Calibri" w:hAnsi="Calibri"/>
          <w:b/>
          <w:color w:val="003087"/>
          <w:sz w:val="25"/>
        </w:rPr>
        <w:t>15.1 What QA is for</w:t>
      </w:r>
    </w:p>
    <w:p>
      <w:pPr>
        <w:spacing w:after="120" w:before="0"/>
      </w:pPr>
      <w:r>
        <w:rPr>
          <w:rFonts w:ascii="Calibri" w:hAnsi="Calibri"/>
          <w:b w:val="0"/>
          <w:color w:val="000000"/>
          <w:sz w:val="22"/>
        </w:rPr>
        <w:t xml:space="preserve">QA in DocuAction examines </w:t>
      </w:r>
      <w:r>
        <w:rPr>
          <w:rFonts w:ascii="Calibri" w:hAnsi="Calibri"/>
          <w:b/>
          <w:color w:val="000000"/>
          <w:sz w:val="22"/>
        </w:rPr>
        <w:t>the review process</w:t>
      </w:r>
      <w:r>
        <w:rPr>
          <w:rFonts w:ascii="Calibri" w:hAnsi="Calibri"/>
          <w:b w:val="0"/>
          <w:color w:val="000000"/>
          <w:sz w:val="22"/>
        </w:rPr>
        <w:t>, not individual entities. Its purpose is to catch systematic error — a reviewer consistently misclassifying a pattern, a sample that was not drawn correctly, evidence that was not retained, a deliverable being assembled from incomplete work — before any of it reaches the government.</w:t>
      </w:r>
    </w:p>
    <w:p>
      <w:pPr>
        <w:spacing w:after="120" w:before="0"/>
      </w:pPr>
      <w:r>
        <w:rPr>
          <w:rFonts w:ascii="Calibri" w:hAnsi="Calibri"/>
          <w:b w:val="0"/>
          <w:color w:val="000000"/>
          <w:sz w:val="22"/>
        </w:rPr>
        <w:t xml:space="preserve">QA Operations is at </w:t>
      </w:r>
      <w:r>
        <w:rPr>
          <w:rFonts w:ascii="Consolas" w:hAnsi="Consolas"/>
          <w:color w:val="000000"/>
          <w:sz w:val="22"/>
        </w:rPr>
        <w:t>/tefca-arc/qa</w:t>
      </w:r>
      <w:r>
        <w:rPr>
          <w:rFonts w:ascii="Calibri" w:hAnsi="Calibri"/>
          <w:b w:val="0"/>
          <w:color w:val="000000"/>
          <w:sz w:val="22"/>
        </w:rPr>
        <w:t xml:space="preserve"> and is available to the </w:t>
      </w:r>
      <w:r>
        <w:rPr>
          <w:rFonts w:ascii="Calibri" w:hAnsi="Calibri"/>
          <w:b/>
          <w:color w:val="000000"/>
          <w:sz w:val="22"/>
        </w:rPr>
        <w:t>qalead</w:t>
      </w:r>
      <w:r>
        <w:rPr>
          <w:rFonts w:ascii="Calibri" w:hAnsi="Calibri"/>
          <w:b w:val="0"/>
          <w:color w:val="000000"/>
          <w:sz w:val="22"/>
        </w:rPr>
        <w:t xml:space="preserve"> role and above.</w:t>
      </w:r>
    </w:p>
    <w:p>
      <w:pPr>
        <w:pStyle w:val="Heading2"/>
        <w:keepNext/>
        <w:spacing w:before="200" w:after="120"/>
        <w:outlineLvl w:val="1"/>
      </w:pPr>
      <w:r>
        <w:rPr>
          <w:rFonts w:ascii="Calibri" w:hAnsi="Calibri"/>
          <w:b/>
          <w:color w:val="003087"/>
          <w:sz w:val="25"/>
        </w:rPr>
        <w:t>15.2 The QA gates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Gate</w:t>
            </w:r>
          </w:p>
        </w:tc>
        <w:tc>
          <w:tcPr>
            <w:tcW w:type="dxa" w:w="3120"/>
            <w:shd w:val="clear" w:color="auto" w:fill="003087"/>
          </w:tcPr>
          <w:p>
            <w:pPr>
              <w:spacing w:after="40" w:before="40"/>
            </w:pPr>
            <w:r>
              <w:rPr>
                <w:rFonts w:ascii="Calibri" w:hAnsi="Calibri"/>
                <w:b/>
                <w:color w:val="FFFFFF"/>
                <w:sz w:val="20"/>
              </w:rPr>
              <w:t>What it checks</w:t>
            </w:r>
          </w:p>
        </w:tc>
        <w:tc>
          <w:tcPr>
            <w:tcW w:type="dxa" w:w="3120"/>
            <w:shd w:val="clear" w:color="auto" w:fill="003087"/>
          </w:tcPr>
          <w:p>
            <w:pPr>
              <w:spacing w:after="40" w:before="40"/>
            </w:pPr>
            <w:r>
              <w:rPr>
                <w:rFonts w:ascii="Calibri" w:hAnsi="Calibri"/>
                <w:b/>
                <w:color w:val="FFFFFF"/>
                <w:sz w:val="20"/>
              </w:rPr>
              <w:t>What a failure means</w:t>
            </w:r>
          </w:p>
        </w:tc>
      </w:tr>
      <w:tr>
        <w:tc>
          <w:tcPr>
            <w:tcW w:type="dxa" w:w="3120"/>
          </w:tcPr>
          <w:p>
            <w:pPr>
              <w:spacing w:after="40" w:before="40"/>
            </w:pPr>
            <w:r>
              <w:rPr>
                <w:rFonts w:ascii="Calibri" w:hAnsi="Calibri"/>
                <w:b/>
                <w:color w:val="000000"/>
                <w:sz w:val="20"/>
              </w:rPr>
              <w:t>QA score</w:t>
            </w:r>
          </w:p>
        </w:tc>
        <w:tc>
          <w:tcPr>
            <w:tcW w:type="dxa" w:w="3120"/>
          </w:tcPr>
          <w:p>
            <w:pPr>
              <w:spacing w:after="40" w:before="40"/>
            </w:pPr>
            <w:r>
              <w:rPr>
                <w:rFonts w:ascii="Calibri" w:hAnsi="Calibri"/>
                <w:b w:val="0"/>
                <w:color w:val="000000"/>
                <w:sz w:val="20"/>
              </w:rPr>
              <w:t>Overall composite quality measure</w:t>
            </w:r>
          </w:p>
        </w:tc>
        <w:tc>
          <w:tcPr>
            <w:tcW w:type="dxa" w:w="3120"/>
          </w:tcPr>
          <w:p>
            <w:pPr>
              <w:spacing w:after="40" w:before="40"/>
            </w:pPr>
            <w:r>
              <w:rPr>
                <w:rFonts w:ascii="Calibri" w:hAnsi="Calibri"/>
                <w:b w:val="0"/>
                <w:color w:val="000000"/>
                <w:sz w:val="20"/>
              </w:rPr>
              <w:t>Aggregate degradation; investigate the contributing gates</w:t>
            </w:r>
          </w:p>
        </w:tc>
      </w:tr>
      <w:tr>
        <w:tc>
          <w:tcPr>
            <w:tcW w:type="dxa" w:w="3120"/>
            <w:shd w:val="clear" w:color="auto" w:fill="F2F5FA"/>
          </w:tcPr>
          <w:p>
            <w:pPr>
              <w:spacing w:after="40" w:before="40"/>
            </w:pPr>
            <w:r>
              <w:rPr>
                <w:rFonts w:ascii="Calibri" w:hAnsi="Calibri"/>
                <w:b/>
                <w:color w:val="000000"/>
                <w:sz w:val="20"/>
              </w:rPr>
              <w:t>Evidence summary / validate evidence</w:t>
            </w:r>
          </w:p>
        </w:tc>
        <w:tc>
          <w:tcPr>
            <w:tcW w:type="dxa" w:w="3120"/>
            <w:shd w:val="clear" w:color="auto" w:fill="F2F5FA"/>
          </w:tcPr>
          <w:p>
            <w:pPr>
              <w:spacing w:after="40" w:before="40"/>
            </w:pPr>
            <w:r>
              <w:rPr>
                <w:rFonts w:ascii="Calibri" w:hAnsi="Calibri"/>
                <w:b w:val="0"/>
                <w:color w:val="000000"/>
                <w:sz w:val="20"/>
              </w:rPr>
              <w:t>That each review retained the source evidence supporting its determination</w:t>
            </w:r>
          </w:p>
        </w:tc>
        <w:tc>
          <w:tcPr>
            <w:tcW w:type="dxa" w:w="3120"/>
            <w:shd w:val="clear" w:color="auto" w:fill="F2F5FA"/>
          </w:tcPr>
          <w:p>
            <w:pPr>
              <w:spacing w:after="40" w:before="40"/>
            </w:pPr>
            <w:r>
              <w:rPr>
                <w:rFonts w:ascii="Calibri" w:hAnsi="Calibri"/>
                <w:b w:val="0"/>
                <w:color w:val="000000"/>
                <w:sz w:val="20"/>
              </w:rPr>
              <w:t>A determination exists without the evidence behind it. Blocks reporting</w:t>
            </w:r>
          </w:p>
        </w:tc>
      </w:tr>
      <w:tr>
        <w:tc>
          <w:tcPr>
            <w:tcW w:type="dxa" w:w="3120"/>
          </w:tcPr>
          <w:p>
            <w:pPr>
              <w:spacing w:after="40" w:before="40"/>
            </w:pPr>
            <w:r>
              <w:rPr>
                <w:rFonts w:ascii="Calibri" w:hAnsi="Calibri"/>
                <w:b/>
                <w:color w:val="000000"/>
                <w:sz w:val="20"/>
              </w:rPr>
              <w:t>Validate review</w:t>
            </w:r>
          </w:p>
        </w:tc>
        <w:tc>
          <w:tcPr>
            <w:tcW w:type="dxa" w:w="3120"/>
          </w:tcPr>
          <w:p>
            <w:pPr>
              <w:spacing w:after="40" w:before="40"/>
            </w:pPr>
            <w:r>
              <w:rPr>
                <w:rFonts w:ascii="Calibri" w:hAnsi="Calibri"/>
                <w:b w:val="0"/>
                <w:color w:val="000000"/>
                <w:sz w:val="20"/>
              </w:rPr>
              <w:t>That an individual review is internally complete and correctly formed</w:t>
            </w:r>
          </w:p>
        </w:tc>
        <w:tc>
          <w:tcPr>
            <w:tcW w:type="dxa" w:w="3120"/>
          </w:tcPr>
          <w:p>
            <w:pPr>
              <w:spacing w:after="40" w:before="40"/>
            </w:pPr>
            <w:r>
              <w:rPr>
                <w:rFonts w:ascii="Calibri" w:hAnsi="Calibri"/>
                <w:b w:val="0"/>
                <w:color w:val="000000"/>
                <w:sz w:val="20"/>
              </w:rPr>
              <w:t>The review cannot be relied upon</w:t>
            </w:r>
          </w:p>
        </w:tc>
      </w:tr>
      <w:tr>
        <w:tc>
          <w:tcPr>
            <w:tcW w:type="dxa" w:w="3120"/>
            <w:shd w:val="clear" w:color="auto" w:fill="F2F5FA"/>
          </w:tcPr>
          <w:p>
            <w:pPr>
              <w:spacing w:after="40" w:before="40"/>
            </w:pPr>
            <w:r>
              <w:rPr>
                <w:rFonts w:ascii="Calibri" w:hAnsi="Calibri"/>
                <w:b/>
                <w:color w:val="000000"/>
                <w:sz w:val="20"/>
              </w:rPr>
              <w:t>Internal consistency</w:t>
            </w:r>
          </w:p>
        </w:tc>
        <w:tc>
          <w:tcPr>
            <w:tcW w:type="dxa" w:w="3120"/>
            <w:shd w:val="clear" w:color="auto" w:fill="F2F5FA"/>
          </w:tcPr>
          <w:p>
            <w:pPr>
              <w:spacing w:after="40" w:before="40"/>
            </w:pPr>
            <w:r>
              <w:rPr>
                <w:rFonts w:ascii="Calibri" w:hAnsi="Calibri"/>
                <w:b w:val="0"/>
                <w:color w:val="000000"/>
                <w:sz w:val="20"/>
              </w:rPr>
              <w:t>That classifications agree with the findings that produced them</w:t>
            </w:r>
          </w:p>
        </w:tc>
        <w:tc>
          <w:tcPr>
            <w:tcW w:type="dxa" w:w="3120"/>
            <w:shd w:val="clear" w:color="auto" w:fill="F2F5FA"/>
          </w:tcPr>
          <w:p>
            <w:pPr>
              <w:spacing w:after="40" w:before="40"/>
            </w:pPr>
            <w:r>
              <w:rPr>
                <w:rFonts w:ascii="Calibri" w:hAnsi="Calibri"/>
                <w:b w:val="0"/>
                <w:color w:val="000000"/>
                <w:sz w:val="20"/>
              </w:rPr>
              <w:t>A bucket does not match its own evidence</w:t>
            </w:r>
          </w:p>
        </w:tc>
      </w:tr>
      <w:tr>
        <w:tc>
          <w:tcPr>
            <w:tcW w:type="dxa" w:w="3120"/>
          </w:tcPr>
          <w:p>
            <w:pPr>
              <w:spacing w:after="40" w:before="40"/>
            </w:pPr>
            <w:r>
              <w:rPr>
                <w:rFonts w:ascii="Calibri" w:hAnsi="Calibri"/>
                <w:b/>
                <w:color w:val="000000"/>
                <w:sz w:val="20"/>
              </w:rPr>
              <w:t>Sampling validation</w:t>
            </w:r>
          </w:p>
        </w:tc>
        <w:tc>
          <w:tcPr>
            <w:tcW w:type="dxa" w:w="3120"/>
          </w:tcPr>
          <w:p>
            <w:pPr>
              <w:spacing w:after="40" w:before="40"/>
            </w:pPr>
            <w:r>
              <w:rPr>
                <w:rFonts w:ascii="Calibri" w:hAnsi="Calibri"/>
                <w:b w:val="0"/>
                <w:color w:val="000000"/>
                <w:sz w:val="20"/>
              </w:rPr>
              <w:t>That the sample was drawn correctly and is statistically valid</w:t>
            </w:r>
          </w:p>
        </w:tc>
        <w:tc>
          <w:tcPr>
            <w:tcW w:type="dxa" w:w="3120"/>
          </w:tcPr>
          <w:p>
            <w:pPr>
              <w:spacing w:after="40" w:before="40"/>
            </w:pPr>
            <w:r>
              <w:rPr>
                <w:rFonts w:ascii="Calibri" w:hAnsi="Calibri"/>
                <w:b w:val="0"/>
                <w:color w:val="000000"/>
                <w:sz w:val="20"/>
              </w:rPr>
              <w:t>The population conclusions cannot be supported</w:t>
            </w:r>
          </w:p>
        </w:tc>
      </w:tr>
      <w:tr>
        <w:tc>
          <w:tcPr>
            <w:tcW w:type="dxa" w:w="3120"/>
            <w:shd w:val="clear" w:color="auto" w:fill="F2F5FA"/>
          </w:tcPr>
          <w:p>
            <w:pPr>
              <w:spacing w:after="40" w:before="40"/>
            </w:pPr>
            <w:r>
              <w:rPr>
                <w:rFonts w:ascii="Calibri" w:hAnsi="Calibri"/>
                <w:b/>
                <w:color w:val="000000"/>
                <w:sz w:val="20"/>
              </w:rPr>
              <w:t>Inter-rater agreement</w:t>
            </w:r>
          </w:p>
        </w:tc>
        <w:tc>
          <w:tcPr>
            <w:tcW w:type="dxa" w:w="3120"/>
            <w:shd w:val="clear" w:color="auto" w:fill="F2F5FA"/>
          </w:tcPr>
          <w:p>
            <w:pPr>
              <w:spacing w:after="40" w:before="40"/>
            </w:pPr>
            <w:r>
              <w:rPr>
                <w:rFonts w:ascii="Calibri" w:hAnsi="Calibri"/>
                <w:b w:val="0"/>
                <w:color w:val="000000"/>
                <w:sz w:val="20"/>
              </w:rPr>
              <w:t>Whether reviewers classify comparable records the same way</w:t>
            </w:r>
          </w:p>
        </w:tc>
        <w:tc>
          <w:tcPr>
            <w:tcW w:type="dxa" w:w="3120"/>
            <w:shd w:val="clear" w:color="auto" w:fill="F2F5FA"/>
          </w:tcPr>
          <w:p>
            <w:pPr>
              <w:spacing w:after="40" w:before="40"/>
            </w:pPr>
            <w:r>
              <w:rPr>
                <w:rFonts w:ascii="Calibri" w:hAnsi="Calibri"/>
                <w:b w:val="0"/>
                <w:color w:val="000000"/>
                <w:sz w:val="20"/>
              </w:rPr>
              <w:t>Reviewers are diverging; calibration needed</w:t>
            </w:r>
          </w:p>
        </w:tc>
      </w:tr>
      <w:tr>
        <w:tc>
          <w:tcPr>
            <w:tcW w:type="dxa" w:w="3120"/>
          </w:tcPr>
          <w:p>
            <w:pPr>
              <w:spacing w:after="40" w:before="40"/>
            </w:pPr>
            <w:r>
              <w:rPr>
                <w:rFonts w:ascii="Calibri" w:hAnsi="Calibri"/>
                <w:b/>
                <w:color w:val="000000"/>
                <w:sz w:val="20"/>
              </w:rPr>
              <w:t>Statistical</w:t>
            </w:r>
          </w:p>
        </w:tc>
        <w:tc>
          <w:tcPr>
            <w:tcW w:type="dxa" w:w="3120"/>
          </w:tcPr>
          <w:p>
            <w:pPr>
              <w:spacing w:after="40" w:before="40"/>
            </w:pPr>
            <w:r>
              <w:rPr>
                <w:rFonts w:ascii="Calibri" w:hAnsi="Calibri"/>
                <w:b w:val="0"/>
                <w:color w:val="000000"/>
                <w:sz w:val="20"/>
              </w:rPr>
              <w:t>Distribution and outlier checks across the cycle</w:t>
            </w:r>
          </w:p>
        </w:tc>
        <w:tc>
          <w:tcPr>
            <w:tcW w:type="dxa" w:w="3120"/>
          </w:tcPr>
          <w:p>
            <w:pPr>
              <w:spacing w:after="40" w:before="40"/>
            </w:pPr>
            <w:r>
              <w:rPr>
                <w:rFonts w:ascii="Calibri" w:hAnsi="Calibri"/>
                <w:b w:val="0"/>
                <w:color w:val="000000"/>
                <w:sz w:val="20"/>
              </w:rPr>
              <w:t>Results are skewed in a way that warrants explanation</w:t>
            </w:r>
          </w:p>
        </w:tc>
      </w:tr>
      <w:tr>
        <w:tc>
          <w:tcPr>
            <w:tcW w:type="dxa" w:w="3120"/>
            <w:shd w:val="clear" w:color="auto" w:fill="F2F5FA"/>
          </w:tcPr>
          <w:p>
            <w:pPr>
              <w:spacing w:after="40" w:before="40"/>
            </w:pPr>
            <w:r>
              <w:rPr>
                <w:rFonts w:ascii="Calibri" w:hAnsi="Calibri"/>
                <w:b/>
                <w:color w:val="000000"/>
                <w:sz w:val="20"/>
              </w:rPr>
              <w:t>Golden records</w:t>
            </w:r>
          </w:p>
        </w:tc>
        <w:tc>
          <w:tcPr>
            <w:tcW w:type="dxa" w:w="3120"/>
            <w:shd w:val="clear" w:color="auto" w:fill="F2F5FA"/>
          </w:tcPr>
          <w:p>
            <w:pPr>
              <w:spacing w:after="40" w:before="40"/>
            </w:pPr>
            <w:r>
              <w:rPr>
                <w:rFonts w:ascii="Calibri" w:hAnsi="Calibri"/>
                <w:b w:val="0"/>
                <w:color w:val="000000"/>
                <w:sz w:val="20"/>
              </w:rPr>
              <w:t>Known-answer records that must classify correctly</w:t>
            </w:r>
          </w:p>
        </w:tc>
        <w:tc>
          <w:tcPr>
            <w:tcW w:type="dxa" w:w="3120"/>
            <w:shd w:val="clear" w:color="auto" w:fill="F2F5FA"/>
          </w:tcPr>
          <w:p>
            <w:pPr>
              <w:spacing w:after="40" w:before="40"/>
            </w:pPr>
            <w:r>
              <w:rPr>
                <w:rFonts w:ascii="Calibri" w:hAnsi="Calibri"/>
                <w:b w:val="0"/>
                <w:color w:val="000000"/>
                <w:sz w:val="20"/>
              </w:rPr>
              <w:t>The engine's behaviour has changed</w:t>
            </w:r>
          </w:p>
        </w:tc>
      </w:tr>
      <w:tr>
        <w:tc>
          <w:tcPr>
            <w:tcW w:type="dxa" w:w="3120"/>
          </w:tcPr>
          <w:p>
            <w:pPr>
              <w:spacing w:after="40" w:before="40"/>
            </w:pPr>
            <w:r>
              <w:rPr>
                <w:rFonts w:ascii="Calibri" w:hAnsi="Calibri"/>
                <w:b/>
                <w:color w:val="000000"/>
                <w:sz w:val="20"/>
              </w:rPr>
              <w:t>Regression</w:t>
            </w:r>
          </w:p>
        </w:tc>
        <w:tc>
          <w:tcPr>
            <w:tcW w:type="dxa" w:w="3120"/>
          </w:tcPr>
          <w:p>
            <w:pPr>
              <w:spacing w:after="40" w:before="40"/>
            </w:pPr>
            <w:r>
              <w:rPr>
                <w:rFonts w:ascii="Calibri" w:hAnsi="Calibri"/>
                <w:b w:val="0"/>
                <w:color w:val="000000"/>
                <w:sz w:val="20"/>
              </w:rPr>
              <w:t>That previously correct behaviour has not degraded</w:t>
            </w:r>
          </w:p>
        </w:tc>
        <w:tc>
          <w:tcPr>
            <w:tcW w:type="dxa" w:w="3120"/>
          </w:tcPr>
          <w:p>
            <w:pPr>
              <w:spacing w:after="40" w:before="40"/>
            </w:pPr>
            <w:r>
              <w:rPr>
                <w:rFonts w:ascii="Calibri" w:hAnsi="Calibri"/>
                <w:b w:val="0"/>
                <w:color w:val="000000"/>
                <w:sz w:val="20"/>
              </w:rPr>
              <w:t>A change broke something that used to work</w:t>
            </w:r>
          </w:p>
        </w:tc>
      </w:tr>
      <w:tr>
        <w:tc>
          <w:tcPr>
            <w:tcW w:type="dxa" w:w="3120"/>
            <w:shd w:val="clear" w:color="auto" w:fill="F2F5FA"/>
          </w:tcPr>
          <w:p>
            <w:pPr>
              <w:spacing w:after="40" w:before="40"/>
            </w:pPr>
            <w:r>
              <w:rPr>
                <w:rFonts w:ascii="Calibri" w:hAnsi="Calibri"/>
                <w:b/>
                <w:color w:val="000000"/>
                <w:sz w:val="20"/>
              </w:rPr>
              <w:t>SLA</w:t>
            </w:r>
          </w:p>
        </w:tc>
        <w:tc>
          <w:tcPr>
            <w:tcW w:type="dxa" w:w="3120"/>
            <w:shd w:val="clear" w:color="auto" w:fill="F2F5FA"/>
          </w:tcPr>
          <w:p>
            <w:pPr>
              <w:spacing w:after="40" w:before="40"/>
            </w:pPr>
            <w:r>
              <w:rPr>
                <w:rFonts w:ascii="Calibri" w:hAnsi="Calibri"/>
                <w:b w:val="0"/>
                <w:color w:val="000000"/>
                <w:sz w:val="20"/>
              </w:rPr>
              <w:t>Due dates, overdue counts, and status bands</w:t>
            </w:r>
          </w:p>
        </w:tc>
        <w:tc>
          <w:tcPr>
            <w:tcW w:type="dxa" w:w="3120"/>
            <w:shd w:val="clear" w:color="auto" w:fill="F2F5FA"/>
          </w:tcPr>
          <w:p>
            <w:pPr>
              <w:spacing w:after="40" w:before="40"/>
            </w:pPr>
            <w:r>
              <w:rPr>
                <w:rFonts w:ascii="Calibri" w:hAnsi="Calibri"/>
                <w:b w:val="0"/>
                <w:color w:val="000000"/>
                <w:sz w:val="20"/>
              </w:rPr>
              <w:t>Delivery risk</w:t>
            </w:r>
          </w:p>
        </w:tc>
      </w:tr>
      <w:tr>
        <w:tc>
          <w:tcPr>
            <w:tcW w:type="dxa" w:w="3120"/>
          </w:tcPr>
          <w:p>
            <w:pPr>
              <w:spacing w:after="40" w:before="40"/>
            </w:pPr>
            <w:r>
              <w:rPr>
                <w:rFonts w:ascii="Calibri" w:hAnsi="Calibri"/>
                <w:b/>
                <w:color w:val="000000"/>
                <w:sz w:val="20"/>
              </w:rPr>
              <w:t>Connector health</w:t>
            </w:r>
          </w:p>
        </w:tc>
        <w:tc>
          <w:tcPr>
            <w:tcW w:type="dxa" w:w="3120"/>
          </w:tcPr>
          <w:p>
            <w:pPr>
              <w:spacing w:after="40" w:before="40"/>
            </w:pPr>
            <w:r>
              <w:rPr>
                <w:rFonts w:ascii="Calibri" w:hAnsi="Calibri"/>
                <w:b w:val="0"/>
                <w:color w:val="000000"/>
                <w:sz w:val="20"/>
              </w:rPr>
              <w:t>Source availability from the QA perspective</w:t>
            </w:r>
          </w:p>
        </w:tc>
        <w:tc>
          <w:tcPr>
            <w:tcW w:type="dxa" w:w="3120"/>
          </w:tcPr>
          <w:p>
            <w:pPr>
              <w:spacing w:after="40" w:before="40"/>
            </w:pPr>
            <w:r>
              <w:rPr>
                <w:rFonts w:ascii="Calibri" w:hAnsi="Calibri"/>
                <w:b w:val="0"/>
                <w:color w:val="000000"/>
                <w:sz w:val="20"/>
              </w:rPr>
              <w:t>Coverage risk to the cycle</w:t>
            </w:r>
          </w:p>
        </w:tc>
      </w:tr>
      <w:tr>
        <w:tc>
          <w:tcPr>
            <w:tcW w:type="dxa" w:w="3120"/>
            <w:shd w:val="clear" w:color="auto" w:fill="F2F5FA"/>
          </w:tcPr>
          <w:p>
            <w:pPr>
              <w:spacing w:after="40" w:before="40"/>
            </w:pPr>
            <w:r>
              <w:rPr>
                <w:rFonts w:ascii="Calibri" w:hAnsi="Calibri"/>
                <w:b/>
                <w:color w:val="000000"/>
                <w:sz w:val="20"/>
              </w:rPr>
              <w:t>Sweep</w:t>
            </w:r>
          </w:p>
        </w:tc>
        <w:tc>
          <w:tcPr>
            <w:tcW w:type="dxa" w:w="3120"/>
            <w:shd w:val="clear" w:color="auto" w:fill="F2F5FA"/>
          </w:tcPr>
          <w:p>
            <w:pPr>
              <w:spacing w:after="40" w:before="40"/>
            </w:pPr>
            <w:r>
              <w:rPr>
                <w:rFonts w:ascii="Calibri" w:hAnsi="Calibri"/>
                <w:b w:val="0"/>
                <w:color w:val="000000"/>
                <w:sz w:val="20"/>
              </w:rPr>
              <w:t>Broad cross-check across the cycle</w:t>
            </w:r>
          </w:p>
        </w:tc>
        <w:tc>
          <w:tcPr>
            <w:tcW w:type="dxa" w:w="3120"/>
            <w:shd w:val="clear" w:color="auto" w:fill="F2F5FA"/>
          </w:tcPr>
          <w:p>
            <w:pPr>
              <w:spacing w:after="40" w:before="40"/>
            </w:pPr>
            <w:r>
              <w:rPr>
                <w:rFonts w:ascii="Calibri" w:hAnsi="Calibri"/>
                <w:b w:val="0"/>
                <w:color w:val="000000"/>
                <w:sz w:val="20"/>
              </w:rPr>
              <w:t>Systemic issue</w:t>
            </w:r>
          </w:p>
        </w:tc>
      </w:tr>
      <w:tr>
        <w:tc>
          <w:tcPr>
            <w:tcW w:type="dxa" w:w="3120"/>
          </w:tcPr>
          <w:p>
            <w:pPr>
              <w:spacing w:after="40" w:before="40"/>
            </w:pPr>
            <w:r>
              <w:rPr>
                <w:rFonts w:ascii="Calibri" w:hAnsi="Calibri"/>
                <w:b/>
                <w:color w:val="000000"/>
                <w:sz w:val="20"/>
              </w:rPr>
              <w:t>Alerts</w:t>
            </w:r>
          </w:p>
        </w:tc>
        <w:tc>
          <w:tcPr>
            <w:tcW w:type="dxa" w:w="3120"/>
          </w:tcPr>
          <w:p>
            <w:pPr>
              <w:spacing w:after="40" w:before="40"/>
            </w:pPr>
            <w:r>
              <w:rPr>
                <w:rFonts w:ascii="Calibri" w:hAnsi="Calibri"/>
                <w:b w:val="0"/>
                <w:color w:val="000000"/>
                <w:sz w:val="20"/>
              </w:rPr>
              <w:t>Active QA alerts</w:t>
            </w:r>
          </w:p>
        </w:tc>
        <w:tc>
          <w:tcPr>
            <w:tcW w:type="dxa" w:w="3120"/>
          </w:tcPr>
          <w:p>
            <w:pPr>
              <w:spacing w:after="40" w:before="40"/>
            </w:pPr>
            <w:r>
              <w:rPr>
                <w:rFonts w:ascii="Calibri" w:hAnsi="Calibri"/>
                <w:b w:val="0"/>
                <w:color w:val="000000"/>
                <w:sz w:val="20"/>
              </w:rPr>
              <w:t>Something needs attention now</w:t>
            </w:r>
          </w:p>
        </w:tc>
      </w:tr>
      <w:tr>
        <w:tc>
          <w:tcPr>
            <w:tcW w:type="dxa" w:w="3120"/>
            <w:shd w:val="clear" w:color="auto" w:fill="F2F5FA"/>
          </w:tcPr>
          <w:p>
            <w:pPr>
              <w:spacing w:after="40" w:before="40"/>
            </w:pPr>
            <w:r>
              <w:rPr>
                <w:rFonts w:ascii="Calibri" w:hAnsi="Calibri"/>
                <w:b/>
                <w:color w:val="000000"/>
                <w:sz w:val="20"/>
              </w:rPr>
              <w:t>Report gate</w:t>
            </w:r>
          </w:p>
        </w:tc>
        <w:tc>
          <w:tcPr>
            <w:tcW w:type="dxa" w:w="3120"/>
            <w:shd w:val="clear" w:color="auto" w:fill="F2F5FA"/>
          </w:tcPr>
          <w:p>
            <w:pPr>
              <w:spacing w:after="40" w:before="40"/>
            </w:pPr>
            <w:r>
              <w:rPr>
                <w:rFonts w:ascii="Calibri" w:hAnsi="Calibri"/>
                <w:b/>
                <w:color w:val="000000"/>
                <w:sz w:val="20"/>
              </w:rPr>
              <w:t>The go / no-go check before a deliverable is generated</w:t>
            </w:r>
          </w:p>
        </w:tc>
        <w:tc>
          <w:tcPr>
            <w:tcW w:type="dxa" w:w="3120"/>
            <w:shd w:val="clear" w:color="auto" w:fill="F2F5FA"/>
          </w:tcPr>
          <w:p>
            <w:pPr>
              <w:spacing w:after="40" w:before="40"/>
            </w:pPr>
            <w:r>
              <w:rPr>
                <w:rFonts w:ascii="Calibri" w:hAnsi="Calibri"/>
                <w:b/>
                <w:color w:val="000000"/>
                <w:sz w:val="20"/>
              </w:rPr>
              <w:t>The deliverable is blocked</w:t>
            </w:r>
          </w:p>
        </w:tc>
      </w:tr>
      <w:tr>
        <w:tc>
          <w:tcPr>
            <w:tcW w:type="dxa" w:w="3120"/>
          </w:tcPr>
          <w:p>
            <w:pPr>
              <w:spacing w:after="40" w:before="40"/>
            </w:pPr>
            <w:r>
              <w:rPr>
                <w:rFonts w:ascii="Calibri" w:hAnsi="Calibri"/>
                <w:b/>
                <w:color w:val="000000"/>
                <w:sz w:val="20"/>
              </w:rPr>
              <w:t>QA audit / audit export</w:t>
            </w:r>
          </w:p>
        </w:tc>
        <w:tc>
          <w:tcPr>
            <w:tcW w:type="dxa" w:w="3120"/>
          </w:tcPr>
          <w:p>
            <w:pPr>
              <w:spacing w:after="40" w:before="40"/>
            </w:pPr>
            <w:r>
              <w:rPr>
                <w:rFonts w:ascii="Calibri" w:hAnsi="Calibri"/>
                <w:b w:val="0"/>
                <w:color w:val="000000"/>
                <w:sz w:val="20"/>
              </w:rPr>
              <w:t>The QA activity trail, exportable</w:t>
            </w:r>
          </w:p>
        </w:tc>
        <w:tc>
          <w:tcPr>
            <w:tcW w:type="dxa" w:w="3120"/>
          </w:tcPr>
          <w:p>
            <w:pPr>
              <w:spacing w:after="40" w:before="40"/>
            </w:pPr>
            <w:r>
              <w:rPr>
                <w:rFonts w:ascii="Calibri" w:hAnsi="Calibri"/>
                <w:b w:val="0"/>
                <w:color w:val="000000"/>
                <w:sz w:val="20"/>
              </w:rPr>
              <w:t>Evidence for the government</w:t>
            </w:r>
          </w:p>
        </w:tc>
      </w:tr>
    </w:tbl>
    <w:p>
      <w:pPr>
        <w:spacing w:after="80"/>
      </w:pPr>
    </w:p>
    <w:p>
      <w:pPr>
        <w:pStyle w:val="Heading2"/>
        <w:keepNext/>
        <w:spacing w:before="200" w:after="120"/>
        <w:outlineLvl w:val="1"/>
      </w:pPr>
      <w:r>
        <w:rPr>
          <w:rFonts w:ascii="Calibri" w:hAnsi="Calibri"/>
          <w:b/>
          <w:color w:val="003087"/>
          <w:sz w:val="25"/>
        </w:rPr>
        <w:t>15.3 The report gate</w:t>
      </w:r>
    </w:p>
    <w:p>
      <w:pPr>
        <w:spacing w:after="120" w:before="0"/>
      </w:pPr>
      <w:r>
        <w:rPr>
          <w:rFonts w:ascii="Calibri" w:hAnsi="Calibri"/>
          <w:b w:val="0"/>
          <w:color w:val="000000"/>
          <w:sz w:val="22"/>
        </w:rPr>
        <w:t>The report gate is the most consequential control in the QA set. It is run before a deliverable is generated, and a failure blocks the deliverable.</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A blocked report gate is the control working correctly. It is not an obstacle to be worked around. Do not generate a deliverable by another route when the gate has failed. Resolve the underlying condition, re-run the gate, and then generate.</w:t>
            </w:r>
          </w:p>
        </w:tc>
      </w:tr>
    </w:tbl>
    <w:p>
      <w:pPr>
        <w:spacing w:after="80"/>
      </w:pPr>
    </w:p>
    <w:p>
      <w:pPr>
        <w:pStyle w:val="Heading2"/>
        <w:keepNext/>
        <w:spacing w:before="200" w:after="120"/>
        <w:outlineLvl w:val="1"/>
      </w:pPr>
      <w:r>
        <w:rPr>
          <w:rFonts w:ascii="Calibri" w:hAnsi="Calibri"/>
          <w:b/>
          <w:color w:val="003087"/>
          <w:sz w:val="25"/>
        </w:rPr>
        <w:t>15.4 QA checklist before accepting a completed entity review</w:t>
      </w:r>
    </w:p>
    <w:p>
      <w:pPr>
        <w:spacing w:after="120" w:before="0"/>
      </w:pPr>
      <w:r>
        <w:rPr>
          <w:rFonts w:ascii="Calibri" w:hAnsi="Calibri"/>
          <w:b w:val="0"/>
          <w:color w:val="000000"/>
          <w:sz w:val="22"/>
        </w:rPr>
        <w:t>Work through this for each review being accepted:</w:t>
      </w:r>
    </w:p>
    <w:p>
      <w:pPr>
        <w:pStyle w:val="ListBullet"/>
        <w:spacing w:after="40"/>
      </w:pPr>
      <w:r>
        <w:rPr>
          <w:rFonts w:ascii="Calibri" w:hAnsi="Calibri"/>
          <w:b/>
          <w:color w:val="000000"/>
          <w:sz w:val="21"/>
        </w:rPr>
        <w:t>Entity identity validated</w:t>
      </w:r>
      <w:r>
        <w:rPr>
          <w:rFonts w:ascii="Calibri" w:hAnsi="Calibri"/>
          <w:b w:val="0"/>
          <w:color w:val="000000"/>
          <w:sz w:val="21"/>
        </w:rPr>
        <w:t xml:space="preserve"> — the submitted identifiers are well-formed and the NPI passed the check-digit test</w:t>
      </w:r>
    </w:p>
    <w:p>
      <w:pPr>
        <w:pStyle w:val="ListBullet"/>
        <w:spacing w:after="40"/>
      </w:pPr>
      <w:r>
        <w:rPr>
          <w:rFonts w:ascii="Calibri" w:hAnsi="Calibri"/>
          <w:b/>
          <w:color w:val="000000"/>
          <w:sz w:val="21"/>
        </w:rPr>
        <w:t>Source coverage confirmed</w:t>
      </w:r>
      <w:r>
        <w:rPr>
          <w:rFonts w:ascii="Calibri" w:hAnsi="Calibri"/>
          <w:b w:val="0"/>
          <w:color w:val="000000"/>
          <w:sz w:val="21"/>
        </w:rPr>
        <w:t xml:space="preserve"> — you know which sources answered and which did not; the coverage note is present</w:t>
      </w:r>
    </w:p>
    <w:p>
      <w:pPr>
        <w:pStyle w:val="ListBullet"/>
        <w:spacing w:after="40"/>
      </w:pPr>
      <w:r>
        <w:rPr>
          <w:rFonts w:ascii="Calibri" w:hAnsi="Calibri"/>
          <w:b/>
          <w:color w:val="000000"/>
          <w:sz w:val="21"/>
        </w:rPr>
        <w:t>NPI verified</w:t>
      </w:r>
      <w:r>
        <w:rPr>
          <w:rFonts w:ascii="Calibri" w:hAnsi="Calibri"/>
          <w:b w:val="0"/>
          <w:color w:val="000000"/>
          <w:sz w:val="21"/>
        </w:rPr>
        <w:t xml:space="preserve"> — NPPES was actually queried and its result recorded, not inferred</w:t>
      </w:r>
    </w:p>
    <w:p>
      <w:pPr>
        <w:pStyle w:val="ListBullet"/>
        <w:spacing w:after="40"/>
      </w:pPr>
      <w:r>
        <w:rPr>
          <w:rFonts w:ascii="Calibri" w:hAnsi="Calibri"/>
          <w:b/>
          <w:color w:val="000000"/>
          <w:sz w:val="21"/>
        </w:rPr>
        <w:t>Name match reviewed</w:t>
      </w:r>
      <w:r>
        <w:rPr>
          <w:rFonts w:ascii="Calibri" w:hAnsi="Calibri"/>
          <w:b w:val="0"/>
          <w:color w:val="000000"/>
          <w:sz w:val="21"/>
        </w:rPr>
        <w:t xml:space="preserve"> — the similarity finding matches what the names actually show</w:t>
      </w:r>
    </w:p>
    <w:p>
      <w:pPr>
        <w:pStyle w:val="ListBullet"/>
        <w:spacing w:after="40"/>
      </w:pPr>
      <w:r>
        <w:rPr>
          <w:rFonts w:ascii="Calibri" w:hAnsi="Calibri"/>
          <w:b/>
          <w:color w:val="000000"/>
          <w:sz w:val="21"/>
        </w:rPr>
        <w:t>Address evidence reviewed</w:t>
      </w:r>
      <w:r>
        <w:rPr>
          <w:rFonts w:ascii="Calibri" w:hAnsi="Calibri"/>
          <w:b w:val="0"/>
          <w:color w:val="000000"/>
          <w:sz w:val="21"/>
        </w:rPr>
        <w:t xml:space="preserve"> — normalization was applied and the comparison result is recorded</w:t>
      </w:r>
    </w:p>
    <w:p>
      <w:pPr>
        <w:pStyle w:val="ListBullet"/>
        <w:spacing w:after="40"/>
      </w:pPr>
      <w:r>
        <w:rPr>
          <w:rFonts w:ascii="Calibri" w:hAnsi="Calibri"/>
          <w:b/>
          <w:color w:val="000000"/>
          <w:sz w:val="21"/>
        </w:rPr>
        <w:t>Exclusion screening completed</w:t>
      </w:r>
      <w:r>
        <w:rPr>
          <w:rFonts w:ascii="Calibri" w:hAnsi="Calibri"/>
          <w:b w:val="0"/>
          <w:color w:val="000000"/>
          <w:sz w:val="21"/>
        </w:rPr>
        <w:t xml:space="preserve"> — LEIE answered; if it did not, the record is Indeterminate and not closed as clean</w:t>
      </w:r>
    </w:p>
    <w:p>
      <w:pPr>
        <w:pStyle w:val="ListBullet"/>
        <w:spacing w:after="40"/>
      </w:pPr>
      <w:r>
        <w:rPr>
          <w:rFonts w:ascii="Calibri" w:hAnsi="Calibri"/>
          <w:b/>
          <w:color w:val="000000"/>
          <w:sz w:val="21"/>
        </w:rPr>
        <w:t>Medicare enrollment reviewed</w:t>
      </w:r>
      <w:r>
        <w:rPr>
          <w:rFonts w:ascii="Calibri" w:hAnsi="Calibri"/>
          <w:b w:val="0"/>
          <w:color w:val="000000"/>
          <w:sz w:val="21"/>
        </w:rPr>
        <w:t xml:space="preserve"> — noting that payment suspension is not available from the current source and its absence is not evidence of absence</w:t>
      </w:r>
    </w:p>
    <w:p>
      <w:pPr>
        <w:pStyle w:val="ListBullet"/>
        <w:spacing w:after="40"/>
      </w:pPr>
      <w:r>
        <w:rPr>
          <w:rFonts w:ascii="Calibri" w:hAnsi="Calibri"/>
          <w:b/>
          <w:color w:val="000000"/>
          <w:sz w:val="21"/>
        </w:rPr>
        <w:t>SAM status understood</w:t>
      </w:r>
      <w:r>
        <w:rPr>
          <w:rFonts w:ascii="Calibri" w:hAnsi="Calibri"/>
          <w:b w:val="0"/>
          <w:color w:val="000000"/>
          <w:sz w:val="21"/>
        </w:rPr>
        <w:t xml:space="preserve"> — SAM is currently non-functional upstream; no SAM-dependent conclusion has been drawn</w:t>
      </w:r>
    </w:p>
    <w:p>
      <w:pPr>
        <w:pStyle w:val="ListBullet"/>
        <w:spacing w:after="40"/>
      </w:pPr>
      <w:r>
        <w:rPr>
          <w:rFonts w:ascii="Calibri" w:hAnsi="Calibri"/>
          <w:b/>
          <w:color w:val="000000"/>
          <w:sz w:val="21"/>
        </w:rPr>
        <w:t>Indeterminate handled correctly</w:t>
      </w:r>
      <w:r>
        <w:rPr>
          <w:rFonts w:ascii="Calibri" w:hAnsi="Calibri"/>
          <w:b w:val="0"/>
          <w:color w:val="000000"/>
          <w:sz w:val="21"/>
        </w:rPr>
        <w:t xml:space="preserve"> — no Indeterminate record has been closed as clean</w:t>
      </w:r>
    </w:p>
    <w:p>
      <w:pPr>
        <w:pStyle w:val="ListBullet"/>
        <w:spacing w:after="40"/>
      </w:pPr>
      <w:r>
        <w:rPr>
          <w:rFonts w:ascii="Calibri" w:hAnsi="Calibri"/>
          <w:b/>
          <w:color w:val="000000"/>
          <w:sz w:val="21"/>
        </w:rPr>
        <w:t>Exceptions resolved or documented</w:t>
      </w:r>
      <w:r>
        <w:rPr>
          <w:rFonts w:ascii="Calibri" w:hAnsi="Calibri"/>
          <w:b w:val="0"/>
          <w:color w:val="000000"/>
          <w:sz w:val="21"/>
        </w:rPr>
        <w:t xml:space="preserve"> — every finding has a disposition</w:t>
      </w:r>
    </w:p>
    <w:p>
      <w:pPr>
        <w:pStyle w:val="ListBullet"/>
        <w:spacing w:after="40"/>
      </w:pPr>
      <w:r>
        <w:rPr>
          <w:rFonts w:ascii="Calibri" w:hAnsi="Calibri"/>
          <w:b/>
          <w:color w:val="000000"/>
          <w:sz w:val="21"/>
        </w:rPr>
        <w:t>Source evidence retained</w:t>
      </w:r>
      <w:r>
        <w:rPr>
          <w:rFonts w:ascii="Calibri" w:hAnsi="Calibri"/>
          <w:b w:val="0"/>
          <w:color w:val="000000"/>
          <w:sz w:val="21"/>
        </w:rPr>
        <w:t xml:space="preserve"> — the raw source results are attached to the record</w:t>
      </w:r>
    </w:p>
    <w:p>
      <w:pPr>
        <w:pStyle w:val="ListBullet"/>
        <w:spacing w:after="40"/>
      </w:pPr>
      <w:r>
        <w:rPr>
          <w:rFonts w:ascii="Calibri" w:hAnsi="Calibri"/>
          <w:b/>
          <w:color w:val="000000"/>
          <w:sz w:val="21"/>
        </w:rPr>
        <w:t>Required human review completed</w:t>
      </w:r>
      <w:r>
        <w:rPr>
          <w:rFonts w:ascii="Calibri" w:hAnsi="Calibri"/>
          <w:b w:val="0"/>
          <w:color w:val="000000"/>
          <w:sz w:val="21"/>
        </w:rPr>
        <w:t xml:space="preserve"> — nothing in Tier 2 or 3 was auto-closed</w:t>
      </w:r>
    </w:p>
    <w:p>
      <w:pPr>
        <w:pStyle w:val="ListBullet"/>
        <w:spacing w:after="40"/>
      </w:pPr>
      <w:r>
        <w:rPr>
          <w:rFonts w:ascii="Calibri" w:hAnsi="Calibri"/>
          <w:b/>
          <w:color w:val="000000"/>
          <w:sz w:val="21"/>
        </w:rPr>
        <w:t>Final disposition supported by evidence</w:t>
      </w:r>
      <w:r>
        <w:rPr>
          <w:rFonts w:ascii="Calibri" w:hAnsi="Calibri"/>
          <w:b w:val="0"/>
          <w:color w:val="000000"/>
          <w:sz w:val="21"/>
        </w:rPr>
        <w:t xml:space="preserve"> — the rationale names the sources and what they said</w:t>
      </w:r>
    </w:p>
    <w:p>
      <w:pPr>
        <w:pStyle w:val="ListBullet"/>
        <w:spacing w:after="40"/>
      </w:pPr>
      <w:r>
        <w:rPr>
          <w:rFonts w:ascii="Calibri" w:hAnsi="Calibri"/>
          <w:b/>
          <w:color w:val="000000"/>
          <w:sz w:val="21"/>
        </w:rPr>
        <w:t>Rationale is defensible in an audit</w:t>
      </w:r>
      <w:r>
        <w:rPr>
          <w:rFonts w:ascii="Calibri" w:hAnsi="Calibri"/>
          <w:b w:val="0"/>
          <w:color w:val="000000"/>
          <w:sz w:val="21"/>
        </w:rPr>
        <w:t xml:space="preserve"> — a reader with no context could follow it</w:t>
      </w:r>
    </w:p>
    <w:p>
      <w:pPr>
        <w:pStyle w:val="ListBullet"/>
        <w:spacing w:after="40"/>
      </w:pPr>
      <w:r>
        <w:rPr>
          <w:rFonts w:ascii="Calibri" w:hAnsi="Calibri"/>
          <w:b/>
          <w:color w:val="000000"/>
          <w:sz w:val="21"/>
        </w:rPr>
        <w:t>Audit trail complete</w:t>
      </w:r>
      <w:r>
        <w:rPr>
          <w:rFonts w:ascii="Calibri" w:hAnsi="Calibri"/>
          <w:b w:val="0"/>
          <w:color w:val="000000"/>
          <w:sz w:val="21"/>
        </w:rPr>
        <w:t xml:space="preserve"> — actor, timestamp, resolution, and rationale are all present</w:t>
      </w:r>
    </w:p>
    <w:p>
      <w:pPr>
        <w:pStyle w:val="ListBullet"/>
        <w:spacing w:after="40"/>
      </w:pPr>
      <w:r>
        <w:rPr>
          <w:rFonts w:ascii="Calibri" w:hAnsi="Calibri"/>
          <w:b/>
          <w:color w:val="000000"/>
          <w:sz w:val="21"/>
        </w:rPr>
        <w:t>Bucket overrides justified</w:t>
      </w:r>
      <w:r>
        <w:rPr>
          <w:rFonts w:ascii="Calibri" w:hAnsi="Calibri"/>
          <w:b w:val="0"/>
          <w:color w:val="000000"/>
          <w:sz w:val="21"/>
        </w:rPr>
        <w:t xml:space="preserve"> — any override carries a senior analyst's recorded reason</w:t>
      </w:r>
    </w:p>
    <w:p>
      <w:pPr>
        <w:pStyle w:val="Heading2"/>
        <w:keepNext/>
        <w:spacing w:before="200" w:after="120"/>
        <w:outlineLvl w:val="1"/>
      </w:pPr>
      <w:r>
        <w:rPr>
          <w:rFonts w:ascii="Calibri" w:hAnsi="Calibri"/>
          <w:b/>
          <w:color w:val="003087"/>
          <w:sz w:val="25"/>
        </w:rPr>
        <w:t>15.5 Approval authority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Decision</w:t>
            </w:r>
          </w:p>
        </w:tc>
        <w:tc>
          <w:tcPr>
            <w:tcW w:type="dxa" w:w="4680"/>
            <w:shd w:val="clear" w:color="auto" w:fill="003087"/>
          </w:tcPr>
          <w:p>
            <w:pPr>
              <w:spacing w:after="40" w:before="40"/>
            </w:pPr>
            <w:r>
              <w:rPr>
                <w:rFonts w:ascii="Calibri" w:hAnsi="Calibri"/>
                <w:b/>
                <w:color w:val="FFFFFF"/>
                <w:sz w:val="20"/>
              </w:rPr>
              <w:t>Authority</w:t>
            </w:r>
          </w:p>
        </w:tc>
      </w:tr>
      <w:tr>
        <w:tc>
          <w:tcPr>
            <w:tcW w:type="dxa" w:w="4680"/>
          </w:tcPr>
          <w:p>
            <w:pPr>
              <w:spacing w:after="40" w:before="40"/>
            </w:pPr>
            <w:r>
              <w:rPr>
                <w:rFonts w:ascii="Calibri" w:hAnsi="Calibri"/>
                <w:b w:val="0"/>
                <w:color w:val="000000"/>
                <w:sz w:val="20"/>
              </w:rPr>
              <w:t>Entity disposition (B1–B3)</w:t>
            </w:r>
          </w:p>
        </w:tc>
        <w:tc>
          <w:tcPr>
            <w:tcW w:type="dxa" w:w="4680"/>
          </w:tcPr>
          <w:p>
            <w:pPr>
              <w:spacing w:after="40" w:before="40"/>
            </w:pPr>
            <w:r>
              <w:rPr>
                <w:rFonts w:ascii="Calibri" w:hAnsi="Calibri"/>
                <w:b w:val="0"/>
                <w:color w:val="000000"/>
                <w:sz w:val="20"/>
              </w:rPr>
              <w:t>reviewer</w:t>
            </w:r>
          </w:p>
        </w:tc>
      </w:tr>
      <w:tr>
        <w:tc>
          <w:tcPr>
            <w:tcW w:type="dxa" w:w="4680"/>
            <w:shd w:val="clear" w:color="auto" w:fill="F2F5FA"/>
          </w:tcPr>
          <w:p>
            <w:pPr>
              <w:spacing w:after="40" w:before="40"/>
            </w:pPr>
            <w:r>
              <w:rPr>
                <w:rFonts w:ascii="Calibri" w:hAnsi="Calibri"/>
                <w:b w:val="0"/>
                <w:color w:val="000000"/>
                <w:sz w:val="20"/>
              </w:rPr>
              <w:t>Bucket override</w:t>
            </w:r>
          </w:p>
        </w:tc>
        <w:tc>
          <w:tcPr>
            <w:tcW w:type="dxa" w:w="4680"/>
            <w:shd w:val="clear" w:color="auto" w:fill="F2F5FA"/>
          </w:tcPr>
          <w:p>
            <w:pPr>
              <w:spacing w:after="40" w:before="40"/>
            </w:pPr>
            <w:r>
              <w:rPr>
                <w:rFonts w:ascii="Calibri" w:hAnsi="Calibri"/>
                <w:b w:val="0"/>
                <w:color w:val="000000"/>
                <w:sz w:val="20"/>
              </w:rPr>
              <w:t>senior_analyst</w:t>
            </w:r>
          </w:p>
        </w:tc>
      </w:tr>
      <w:tr>
        <w:tc>
          <w:tcPr>
            <w:tcW w:type="dxa" w:w="4680"/>
          </w:tcPr>
          <w:p>
            <w:pPr>
              <w:spacing w:after="40" w:before="40"/>
            </w:pPr>
            <w:r>
              <w:rPr>
                <w:rFonts w:ascii="Calibri" w:hAnsi="Calibri"/>
                <w:b w:val="0"/>
                <w:color w:val="000000"/>
                <w:sz w:val="20"/>
              </w:rPr>
              <w:t>B4 / Tier 3 escalation outcome</w:t>
            </w:r>
          </w:p>
        </w:tc>
        <w:tc>
          <w:tcPr>
            <w:tcW w:type="dxa" w:w="4680"/>
          </w:tcPr>
          <w:p>
            <w:pPr>
              <w:spacing w:after="40" w:before="40"/>
            </w:pPr>
            <w:r>
              <w:rPr>
                <w:rFonts w:ascii="Calibri" w:hAnsi="Calibri"/>
                <w:b w:val="0"/>
                <w:color w:val="000000"/>
                <w:sz w:val="20"/>
              </w:rPr>
              <w:t>senior_analyst and above</w:t>
            </w:r>
          </w:p>
        </w:tc>
      </w:tr>
      <w:tr>
        <w:tc>
          <w:tcPr>
            <w:tcW w:type="dxa" w:w="4680"/>
            <w:shd w:val="clear" w:color="auto" w:fill="F2F5FA"/>
          </w:tcPr>
          <w:p>
            <w:pPr>
              <w:spacing w:after="40" w:before="40"/>
            </w:pPr>
            <w:r>
              <w:rPr>
                <w:rFonts w:ascii="Calibri" w:hAnsi="Calibri"/>
                <w:b w:val="0"/>
                <w:color w:val="000000"/>
                <w:sz w:val="20"/>
              </w:rPr>
              <w:t>Methodology approval</w:t>
            </w:r>
          </w:p>
        </w:tc>
        <w:tc>
          <w:tcPr>
            <w:tcW w:type="dxa" w:w="4680"/>
            <w:shd w:val="clear" w:color="auto" w:fill="F2F5FA"/>
          </w:tcPr>
          <w:p>
            <w:pPr>
              <w:spacing w:after="40" w:before="40"/>
            </w:pPr>
            <w:r>
              <w:rPr>
                <w:rFonts w:ascii="Calibri" w:hAnsi="Calibri"/>
                <w:b w:val="0"/>
                <w:color w:val="000000"/>
                <w:sz w:val="20"/>
              </w:rPr>
              <w:t>qalead</w:t>
            </w:r>
          </w:p>
        </w:tc>
      </w:tr>
      <w:tr>
        <w:tc>
          <w:tcPr>
            <w:tcW w:type="dxa" w:w="4680"/>
          </w:tcPr>
          <w:p>
            <w:pPr>
              <w:spacing w:after="40" w:before="40"/>
            </w:pPr>
            <w:r>
              <w:rPr>
                <w:rFonts w:ascii="Calibri" w:hAnsi="Calibri"/>
                <w:b w:val="0"/>
                <w:color w:val="000000"/>
                <w:sz w:val="20"/>
              </w:rPr>
              <w:t>QA sign-off</w:t>
            </w:r>
          </w:p>
        </w:tc>
        <w:tc>
          <w:tcPr>
            <w:tcW w:type="dxa" w:w="4680"/>
          </w:tcPr>
          <w:p>
            <w:pPr>
              <w:spacing w:after="40" w:before="40"/>
            </w:pPr>
            <w:r>
              <w:rPr>
                <w:rFonts w:ascii="Calibri" w:hAnsi="Calibri"/>
                <w:b w:val="0"/>
                <w:color w:val="000000"/>
                <w:sz w:val="20"/>
              </w:rPr>
              <w:t>qalead</w:t>
            </w:r>
          </w:p>
        </w:tc>
      </w:tr>
      <w:tr>
        <w:tc>
          <w:tcPr>
            <w:tcW w:type="dxa" w:w="4680"/>
            <w:shd w:val="clear" w:color="auto" w:fill="F2F5FA"/>
          </w:tcPr>
          <w:p>
            <w:pPr>
              <w:spacing w:after="40" w:before="40"/>
            </w:pPr>
            <w:r>
              <w:rPr>
                <w:rFonts w:ascii="Calibri" w:hAnsi="Calibri"/>
                <w:b w:val="0"/>
                <w:color w:val="000000"/>
                <w:sz w:val="20"/>
              </w:rPr>
              <w:t>Deliverable generation and submission</w:t>
            </w:r>
          </w:p>
        </w:tc>
        <w:tc>
          <w:tcPr>
            <w:tcW w:type="dxa" w:w="4680"/>
            <w:shd w:val="clear" w:color="auto" w:fill="F2F5FA"/>
          </w:tcPr>
          <w:p>
            <w:pPr>
              <w:spacing w:after="40" w:before="40"/>
            </w:pPr>
            <w:r>
              <w:rPr>
                <w:rFonts w:ascii="Calibri" w:hAnsi="Calibri"/>
                <w:b w:val="0"/>
                <w:color w:val="000000"/>
                <w:sz w:val="20"/>
              </w:rPr>
              <w:t>program_manager</w:t>
            </w:r>
          </w:p>
        </w:tc>
      </w:tr>
      <w:tr>
        <w:tc>
          <w:tcPr>
            <w:tcW w:type="dxa" w:w="4680"/>
          </w:tcPr>
          <w:p>
            <w:pPr>
              <w:spacing w:after="40" w:before="40"/>
            </w:pPr>
            <w:r>
              <w:rPr>
                <w:rFonts w:ascii="Calibri" w:hAnsi="Calibri"/>
                <w:b w:val="0"/>
                <w:color w:val="000000"/>
                <w:sz w:val="20"/>
              </w:rPr>
              <w:t>Classification rule authoring and versioning</w:t>
            </w:r>
          </w:p>
        </w:tc>
        <w:tc>
          <w:tcPr>
            <w:tcW w:type="dxa" w:w="4680"/>
          </w:tcPr>
          <w:p>
            <w:pPr>
              <w:spacing w:after="40" w:before="40"/>
            </w:pPr>
            <w:r>
              <w:rPr>
                <w:rFonts w:ascii="Calibri" w:hAnsi="Calibri"/>
                <w:b w:val="0"/>
                <w:color w:val="000000"/>
                <w:sz w:val="20"/>
              </w:rPr>
              <w:t>admin</w:t>
            </w:r>
          </w:p>
        </w:tc>
      </w:tr>
    </w:tbl>
    <w:p>
      <w:pPr>
        <w:spacing w:after="80"/>
      </w:pPr>
    </w:p>
    <w:p>
      <w:pPr>
        <w:spacing w:after="120" w:before="0"/>
      </w:pPr>
      <w:r>
        <w:rPr>
          <w:rFonts w:ascii="Calibri" w:hAnsi="Calibri"/>
          <w:b w:val="0"/>
          <w:color w:val="000000"/>
          <w:sz w:val="22"/>
        </w:rPr>
        <w:t>Classification rules are versioned, and a review records the rule code and rule version that classified it. A record classified under an earlier rule version remains valid under that version — changing the rules does not retroactively reclassify completed work.</w:t>
      </w:r>
    </w:p>
    <w:p>
      <w:r>
        <w:br w:type="page"/>
      </w:r>
    </w:p>
    <w:p>
      <w:pPr>
        <w:pStyle w:val="Heading1"/>
        <w:keepNext/>
        <w:spacing w:before="280" w:after="120"/>
        <w:outlineLvl w:val="0"/>
      </w:pPr>
      <w:r>
        <w:rPr>
          <w:rFonts w:ascii="Calibri" w:hAnsi="Calibri"/>
          <w:b/>
          <w:color w:val="003087"/>
          <w:sz w:val="28"/>
        </w:rPr>
        <w:t>16. Reports and Outputs</w:t>
      </w:r>
    </w:p>
    <w:p>
      <w:pPr>
        <w:pStyle w:val="Heading2"/>
        <w:keepNext/>
        <w:spacing w:before="200" w:after="120"/>
        <w:outlineLvl w:val="1"/>
      </w:pPr>
      <w:r>
        <w:rPr>
          <w:rFonts w:ascii="Calibri" w:hAnsi="Calibri"/>
          <w:b/>
          <w:color w:val="003087"/>
          <w:sz w:val="25"/>
        </w:rPr>
        <w:t>16.1 Report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Report</w:t>
            </w:r>
          </w:p>
        </w:tc>
        <w:tc>
          <w:tcPr>
            <w:tcW w:type="dxa" w:w="3120"/>
            <w:shd w:val="clear" w:color="auto" w:fill="003087"/>
          </w:tcPr>
          <w:p>
            <w:pPr>
              <w:spacing w:after="40" w:before="40"/>
            </w:pPr>
            <w:r>
              <w:rPr>
                <w:rFonts w:ascii="Calibri" w:hAnsi="Calibri"/>
                <w:b/>
                <w:color w:val="FFFFFF"/>
                <w:sz w:val="20"/>
              </w:rPr>
              <w:t>Cadence</w:t>
            </w:r>
          </w:p>
        </w:tc>
        <w:tc>
          <w:tcPr>
            <w:tcW w:type="dxa" w:w="3120"/>
            <w:shd w:val="clear" w:color="auto" w:fill="003087"/>
          </w:tcPr>
          <w:p>
            <w:pPr>
              <w:spacing w:after="40" w:before="40"/>
            </w:pPr>
            <w:r>
              <w:rPr>
                <w:rFonts w:ascii="Calibri" w:hAnsi="Calibri"/>
                <w:b/>
                <w:color w:val="FFFFFF"/>
                <w:sz w:val="20"/>
              </w:rPr>
              <w:t>Produced by</w:t>
            </w:r>
          </w:p>
        </w:tc>
      </w:tr>
      <w:tr>
        <w:tc>
          <w:tcPr>
            <w:tcW w:type="dxa" w:w="3120"/>
          </w:tcPr>
          <w:p>
            <w:pPr>
              <w:spacing w:after="40" w:before="40"/>
            </w:pPr>
            <w:r>
              <w:rPr>
                <w:rFonts w:ascii="Calibri" w:hAnsi="Calibri"/>
                <w:b/>
                <w:color w:val="000000"/>
                <w:sz w:val="20"/>
              </w:rPr>
              <w:t>Weekly</w:t>
            </w:r>
          </w:p>
        </w:tc>
        <w:tc>
          <w:tcPr>
            <w:tcW w:type="dxa" w:w="3120"/>
          </w:tcPr>
          <w:p>
            <w:pPr>
              <w:spacing w:after="40" w:before="40"/>
            </w:pPr>
            <w:r>
              <w:rPr>
                <w:rFonts w:ascii="Calibri" w:hAnsi="Calibri"/>
                <w:b w:val="0"/>
                <w:color w:val="000000"/>
                <w:sz w:val="20"/>
              </w:rPr>
              <w:t>Weekly during a cycle</w:t>
            </w:r>
          </w:p>
        </w:tc>
        <w:tc>
          <w:tcPr>
            <w:tcW w:type="dxa" w:w="3120"/>
          </w:tcPr>
          <w:p>
            <w:pPr>
              <w:spacing w:after="40" w:before="40"/>
            </w:pPr>
            <w:r>
              <w:rPr>
                <w:rFonts w:ascii="Calibri" w:hAnsi="Calibri"/>
                <w:b w:val="0"/>
                <w:color w:val="000000"/>
                <w:sz w:val="20"/>
              </w:rPr>
              <w:t>program_manager</w:t>
            </w:r>
          </w:p>
        </w:tc>
      </w:tr>
      <w:tr>
        <w:tc>
          <w:tcPr>
            <w:tcW w:type="dxa" w:w="3120"/>
            <w:shd w:val="clear" w:color="auto" w:fill="F2F5FA"/>
          </w:tcPr>
          <w:p>
            <w:pPr>
              <w:spacing w:after="40" w:before="40"/>
            </w:pPr>
            <w:r>
              <w:rPr>
                <w:rFonts w:ascii="Calibri" w:hAnsi="Calibri"/>
                <w:b/>
                <w:color w:val="000000"/>
                <w:sz w:val="20"/>
              </w:rPr>
              <w:t>Biweekly</w:t>
            </w:r>
          </w:p>
        </w:tc>
        <w:tc>
          <w:tcPr>
            <w:tcW w:type="dxa" w:w="3120"/>
            <w:shd w:val="clear" w:color="auto" w:fill="F2F5FA"/>
          </w:tcPr>
          <w:p>
            <w:pPr>
              <w:spacing w:after="40" w:before="40"/>
            </w:pPr>
            <w:r>
              <w:rPr>
                <w:rFonts w:ascii="Calibri" w:hAnsi="Calibri"/>
                <w:b w:val="0"/>
                <w:color w:val="000000"/>
                <w:sz w:val="20"/>
              </w:rPr>
              <w:t>Every two weeks</w:t>
            </w:r>
          </w:p>
        </w:tc>
        <w:tc>
          <w:tcPr>
            <w:tcW w:type="dxa" w:w="3120"/>
            <w:shd w:val="clear" w:color="auto" w:fill="F2F5FA"/>
          </w:tcPr>
          <w:p>
            <w:pPr>
              <w:spacing w:after="40" w:before="40"/>
            </w:pPr>
            <w:r>
              <w:rPr>
                <w:rFonts w:ascii="Calibri" w:hAnsi="Calibri"/>
                <w:b w:val="0"/>
                <w:color w:val="000000"/>
                <w:sz w:val="20"/>
              </w:rPr>
              <w:t>program_manager</w:t>
            </w:r>
          </w:p>
        </w:tc>
      </w:tr>
      <w:tr>
        <w:tc>
          <w:tcPr>
            <w:tcW w:type="dxa" w:w="3120"/>
          </w:tcPr>
          <w:p>
            <w:pPr>
              <w:spacing w:after="40" w:before="40"/>
            </w:pPr>
            <w:r>
              <w:rPr>
                <w:rFonts w:ascii="Calibri" w:hAnsi="Calibri"/>
                <w:b/>
                <w:color w:val="000000"/>
                <w:sz w:val="20"/>
              </w:rPr>
              <w:t>Quarterly</w:t>
            </w:r>
          </w:p>
        </w:tc>
        <w:tc>
          <w:tcPr>
            <w:tcW w:type="dxa" w:w="3120"/>
          </w:tcPr>
          <w:p>
            <w:pPr>
              <w:spacing w:after="40" w:before="40"/>
            </w:pPr>
            <w:r>
              <w:rPr>
                <w:rFonts w:ascii="Calibri" w:hAnsi="Calibri"/>
                <w:b w:val="0"/>
                <w:color w:val="000000"/>
                <w:sz w:val="20"/>
              </w:rPr>
              <w:t>Quarterly</w:t>
            </w:r>
          </w:p>
        </w:tc>
        <w:tc>
          <w:tcPr>
            <w:tcW w:type="dxa" w:w="3120"/>
          </w:tcPr>
          <w:p>
            <w:pPr>
              <w:spacing w:after="40" w:before="40"/>
            </w:pPr>
            <w:r>
              <w:rPr>
                <w:rFonts w:ascii="Calibri" w:hAnsi="Calibri"/>
                <w:b w:val="0"/>
                <w:color w:val="000000"/>
                <w:sz w:val="20"/>
              </w:rPr>
              <w:t>program_manager</w:t>
            </w:r>
          </w:p>
        </w:tc>
      </w:tr>
      <w:tr>
        <w:tc>
          <w:tcPr>
            <w:tcW w:type="dxa" w:w="3120"/>
            <w:shd w:val="clear" w:color="auto" w:fill="F2F5FA"/>
          </w:tcPr>
          <w:p>
            <w:pPr>
              <w:spacing w:after="40" w:before="40"/>
            </w:pPr>
            <w:r>
              <w:rPr>
                <w:rFonts w:ascii="Calibri" w:hAnsi="Calibri"/>
                <w:b/>
                <w:color w:val="000000"/>
                <w:sz w:val="20"/>
              </w:rPr>
              <w:t>Final</w:t>
            </w:r>
          </w:p>
        </w:tc>
        <w:tc>
          <w:tcPr>
            <w:tcW w:type="dxa" w:w="3120"/>
            <w:shd w:val="clear" w:color="auto" w:fill="F2F5FA"/>
          </w:tcPr>
          <w:p>
            <w:pPr>
              <w:spacing w:after="40" w:before="40"/>
            </w:pPr>
            <w:r>
              <w:rPr>
                <w:rFonts w:ascii="Calibri" w:hAnsi="Calibri"/>
                <w:b w:val="0"/>
                <w:color w:val="000000"/>
                <w:sz w:val="20"/>
              </w:rPr>
              <w:t>At cycle close</w:t>
            </w:r>
          </w:p>
        </w:tc>
        <w:tc>
          <w:tcPr>
            <w:tcW w:type="dxa" w:w="3120"/>
            <w:shd w:val="clear" w:color="auto" w:fill="F2F5FA"/>
          </w:tcPr>
          <w:p>
            <w:pPr>
              <w:spacing w:after="40" w:before="40"/>
            </w:pPr>
            <w:r>
              <w:rPr>
                <w:rFonts w:ascii="Calibri" w:hAnsi="Calibri"/>
                <w:b w:val="0"/>
                <w:color w:val="000000"/>
                <w:sz w:val="20"/>
              </w:rPr>
              <w:t>program_manager</w:t>
            </w:r>
          </w:p>
        </w:tc>
      </w:tr>
      <w:tr>
        <w:tc>
          <w:tcPr>
            <w:tcW w:type="dxa" w:w="3120"/>
          </w:tcPr>
          <w:p>
            <w:pPr>
              <w:spacing w:after="40" w:before="40"/>
            </w:pPr>
            <w:r>
              <w:rPr>
                <w:rFonts w:ascii="Calibri" w:hAnsi="Calibri"/>
                <w:b/>
                <w:color w:val="000000"/>
                <w:sz w:val="20"/>
              </w:rPr>
              <w:t>Priority / quarterly priority</w:t>
            </w:r>
          </w:p>
        </w:tc>
        <w:tc>
          <w:tcPr>
            <w:tcW w:type="dxa" w:w="3120"/>
          </w:tcPr>
          <w:p>
            <w:pPr>
              <w:spacing w:after="40" w:before="40"/>
            </w:pPr>
            <w:r>
              <w:rPr>
                <w:rFonts w:ascii="Calibri" w:hAnsi="Calibri"/>
                <w:b w:val="0"/>
                <w:color w:val="000000"/>
                <w:sz w:val="20"/>
              </w:rPr>
              <w:t>As directed by the COR</w:t>
            </w:r>
          </w:p>
        </w:tc>
        <w:tc>
          <w:tcPr>
            <w:tcW w:type="dxa" w:w="3120"/>
          </w:tcPr>
          <w:p>
            <w:pPr>
              <w:spacing w:after="40" w:before="40"/>
            </w:pPr>
            <w:r>
              <w:rPr>
                <w:rFonts w:ascii="Calibri" w:hAnsi="Calibri"/>
                <w:b w:val="0"/>
                <w:color w:val="000000"/>
                <w:sz w:val="20"/>
              </w:rPr>
              <w:t>program_manager</w:t>
            </w:r>
          </w:p>
        </w:tc>
      </w:tr>
      <w:tr>
        <w:tc>
          <w:tcPr>
            <w:tcW w:type="dxa" w:w="3120"/>
            <w:shd w:val="clear" w:color="auto" w:fill="F2F5FA"/>
          </w:tcPr>
          <w:p>
            <w:pPr>
              <w:spacing w:after="40" w:before="40"/>
            </w:pPr>
            <w:r>
              <w:rPr>
                <w:rFonts w:ascii="Calibri" w:hAnsi="Calibri"/>
                <w:b/>
                <w:color w:val="000000"/>
                <w:sz w:val="20"/>
              </w:rPr>
              <w:t>QA report</w:t>
            </w:r>
          </w:p>
        </w:tc>
        <w:tc>
          <w:tcPr>
            <w:tcW w:type="dxa" w:w="3120"/>
            <w:shd w:val="clear" w:color="auto" w:fill="F2F5FA"/>
          </w:tcPr>
          <w:p>
            <w:pPr>
              <w:spacing w:after="40" w:before="40"/>
            </w:pPr>
            <w:r>
              <w:rPr>
                <w:rFonts w:ascii="Calibri" w:hAnsi="Calibri"/>
                <w:b w:val="0"/>
                <w:color w:val="000000"/>
                <w:sz w:val="20"/>
              </w:rPr>
              <w:t>On demand</w:t>
            </w:r>
          </w:p>
        </w:tc>
        <w:tc>
          <w:tcPr>
            <w:tcW w:type="dxa" w:w="3120"/>
            <w:shd w:val="clear" w:color="auto" w:fill="F2F5FA"/>
          </w:tcPr>
          <w:p>
            <w:pPr>
              <w:spacing w:after="40" w:before="40"/>
            </w:pPr>
            <w:r>
              <w:rPr>
                <w:rFonts w:ascii="Calibri" w:hAnsi="Calibri"/>
                <w:b w:val="0"/>
                <w:color w:val="000000"/>
                <w:sz w:val="20"/>
              </w:rPr>
              <w:t>qalead</w:t>
            </w:r>
          </w:p>
        </w:tc>
      </w:tr>
    </w:tbl>
    <w:p>
      <w:pPr>
        <w:spacing w:after="80"/>
      </w:pPr>
    </w:p>
    <w:p>
      <w:pPr>
        <w:pStyle w:val="Heading2"/>
        <w:keepNext/>
        <w:spacing w:before="200" w:after="120"/>
        <w:outlineLvl w:val="1"/>
      </w:pPr>
      <w:r>
        <w:rPr>
          <w:rFonts w:ascii="Calibri" w:hAnsi="Calibri"/>
          <w:b/>
          <w:color w:val="003087"/>
          <w:sz w:val="25"/>
        </w:rPr>
        <w:t>16.2 Formats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Format</w:t>
            </w:r>
          </w:p>
        </w:tc>
        <w:tc>
          <w:tcPr>
            <w:tcW w:type="dxa" w:w="4680"/>
            <w:shd w:val="clear" w:color="auto" w:fill="003087"/>
          </w:tcPr>
          <w:p>
            <w:pPr>
              <w:spacing w:after="40" w:before="40"/>
            </w:pPr>
            <w:r>
              <w:rPr>
                <w:rFonts w:ascii="Calibri" w:hAnsi="Calibri"/>
                <w:b/>
                <w:color w:val="FFFFFF"/>
                <w:sz w:val="20"/>
              </w:rPr>
              <w:t>Use</w:t>
            </w:r>
          </w:p>
        </w:tc>
      </w:tr>
      <w:tr>
        <w:tc>
          <w:tcPr>
            <w:tcW w:type="dxa" w:w="4680"/>
          </w:tcPr>
          <w:p>
            <w:pPr>
              <w:spacing w:after="40" w:before="40"/>
            </w:pPr>
            <w:r>
              <w:rPr>
                <w:rFonts w:ascii="Calibri" w:hAnsi="Calibri"/>
                <w:b/>
                <w:color w:val="000000"/>
                <w:sz w:val="20"/>
              </w:rPr>
              <w:t>PDF</w:t>
            </w:r>
          </w:p>
        </w:tc>
        <w:tc>
          <w:tcPr>
            <w:tcW w:type="dxa" w:w="4680"/>
          </w:tcPr>
          <w:p>
            <w:pPr>
              <w:spacing w:after="40" w:before="40"/>
            </w:pPr>
            <w:r>
              <w:rPr>
                <w:rFonts w:ascii="Calibri" w:hAnsi="Calibri"/>
                <w:b w:val="0"/>
                <w:color w:val="000000"/>
                <w:sz w:val="20"/>
              </w:rPr>
              <w:t>Formal delivery and archival</w:t>
            </w:r>
          </w:p>
        </w:tc>
      </w:tr>
      <w:tr>
        <w:tc>
          <w:tcPr>
            <w:tcW w:type="dxa" w:w="4680"/>
            <w:shd w:val="clear" w:color="auto" w:fill="F2F5FA"/>
          </w:tcPr>
          <w:p>
            <w:pPr>
              <w:spacing w:after="40" w:before="40"/>
            </w:pPr>
            <w:r>
              <w:rPr>
                <w:rFonts w:ascii="Calibri" w:hAnsi="Calibri"/>
                <w:b/>
                <w:color w:val="000000"/>
                <w:sz w:val="20"/>
              </w:rPr>
              <w:t>DOCX</w:t>
            </w:r>
          </w:p>
        </w:tc>
        <w:tc>
          <w:tcPr>
            <w:tcW w:type="dxa" w:w="4680"/>
            <w:shd w:val="clear" w:color="auto" w:fill="F2F5FA"/>
          </w:tcPr>
          <w:p>
            <w:pPr>
              <w:spacing w:after="40" w:before="40"/>
            </w:pPr>
            <w:r>
              <w:rPr>
                <w:rFonts w:ascii="Calibri" w:hAnsi="Calibri"/>
                <w:b w:val="0"/>
                <w:color w:val="000000"/>
                <w:sz w:val="20"/>
              </w:rPr>
              <w:t>Delivery where the recipient will annotate</w:t>
            </w:r>
          </w:p>
        </w:tc>
      </w:tr>
      <w:tr>
        <w:tc>
          <w:tcPr>
            <w:tcW w:type="dxa" w:w="4680"/>
          </w:tcPr>
          <w:p>
            <w:pPr>
              <w:spacing w:after="40" w:before="40"/>
            </w:pPr>
            <w:r>
              <w:rPr>
                <w:rFonts w:ascii="Calibri" w:hAnsi="Calibri"/>
                <w:b/>
                <w:color w:val="000000"/>
                <w:sz w:val="20"/>
              </w:rPr>
              <w:t>CSV</w:t>
            </w:r>
          </w:p>
        </w:tc>
        <w:tc>
          <w:tcPr>
            <w:tcW w:type="dxa" w:w="4680"/>
          </w:tcPr>
          <w:p>
            <w:pPr>
              <w:spacing w:after="40" w:before="40"/>
            </w:pPr>
            <w:r>
              <w:rPr>
                <w:rFonts w:ascii="Calibri" w:hAnsi="Calibri"/>
                <w:b w:val="0"/>
                <w:color w:val="000000"/>
                <w:sz w:val="20"/>
              </w:rPr>
              <w:t>Data analysis</w:t>
            </w:r>
          </w:p>
        </w:tc>
      </w:tr>
      <w:tr>
        <w:tc>
          <w:tcPr>
            <w:tcW w:type="dxa" w:w="4680"/>
            <w:shd w:val="clear" w:color="auto" w:fill="F2F5FA"/>
          </w:tcPr>
          <w:p>
            <w:pPr>
              <w:spacing w:after="40" w:before="40"/>
            </w:pPr>
            <w:r>
              <w:rPr>
                <w:rFonts w:ascii="Calibri" w:hAnsi="Calibri"/>
                <w:b/>
                <w:color w:val="000000"/>
                <w:sz w:val="20"/>
              </w:rPr>
              <w:t>Excel</w:t>
            </w:r>
          </w:p>
        </w:tc>
        <w:tc>
          <w:tcPr>
            <w:tcW w:type="dxa" w:w="4680"/>
            <w:shd w:val="clear" w:color="auto" w:fill="F2F5FA"/>
          </w:tcPr>
          <w:p>
            <w:pPr>
              <w:spacing w:after="40" w:before="40"/>
            </w:pPr>
            <w:r>
              <w:rPr>
                <w:rFonts w:ascii="Calibri" w:hAnsi="Calibri"/>
                <w:b w:val="0"/>
                <w:color w:val="000000"/>
                <w:sz w:val="20"/>
              </w:rPr>
              <w:t>Review workbooks and round-trip QA review</w:t>
            </w:r>
          </w:p>
        </w:tc>
      </w:tr>
      <w:tr>
        <w:tc>
          <w:tcPr>
            <w:tcW w:type="dxa" w:w="4680"/>
          </w:tcPr>
          <w:p>
            <w:pPr>
              <w:spacing w:after="40" w:before="40"/>
            </w:pPr>
            <w:r>
              <w:rPr>
                <w:rFonts w:ascii="Calibri" w:hAnsi="Calibri"/>
                <w:b/>
                <w:color w:val="000000"/>
                <w:sz w:val="20"/>
              </w:rPr>
              <w:t>HTML</w:t>
            </w:r>
          </w:p>
        </w:tc>
        <w:tc>
          <w:tcPr>
            <w:tcW w:type="dxa" w:w="4680"/>
          </w:tcPr>
          <w:p>
            <w:pPr>
              <w:spacing w:after="40" w:before="40"/>
            </w:pPr>
            <w:r>
              <w:rPr>
                <w:rFonts w:ascii="Calibri" w:hAnsi="Calibri"/>
                <w:b w:val="0"/>
                <w:color w:val="000000"/>
                <w:sz w:val="20"/>
              </w:rPr>
              <w:t>On-screen viewing</w:t>
            </w:r>
          </w:p>
        </w:tc>
      </w:tr>
    </w:tbl>
    <w:p>
      <w:pPr>
        <w:spacing w:after="80"/>
      </w:pPr>
    </w:p>
    <w:p>
      <w:pPr>
        <w:spacing w:after="120" w:before="0"/>
      </w:pPr>
      <w:r>
        <w:rPr>
          <w:rFonts w:ascii="Calibri" w:hAnsi="Calibri"/>
          <w:b w:val="0"/>
          <w:color w:val="000000"/>
          <w:sz w:val="22"/>
        </w:rPr>
        <w:t>Reports are generated to a stored record and then downloaded, so the artefact delivered is the artefact retained.</w:t>
      </w:r>
    </w:p>
    <w:p>
      <w:pPr>
        <w:pStyle w:val="Heading2"/>
        <w:keepNext/>
        <w:spacing w:before="200" w:after="120"/>
        <w:outlineLvl w:val="1"/>
      </w:pPr>
      <w:r>
        <w:rPr>
          <w:rFonts w:ascii="Calibri" w:hAnsi="Calibri"/>
          <w:b/>
          <w:color w:val="003087"/>
          <w:sz w:val="25"/>
        </w:rPr>
        <w:t>16.3 What a report contains</w:t>
      </w:r>
    </w:p>
    <w:p>
      <w:pPr>
        <w:pStyle w:val="ListBullet"/>
        <w:spacing w:after="40"/>
      </w:pPr>
      <w:r>
        <w:rPr>
          <w:rFonts w:ascii="Calibri" w:hAnsi="Calibri"/>
          <w:b w:val="0"/>
          <w:color w:val="000000"/>
          <w:sz w:val="21"/>
        </w:rPr>
        <w:t>The cycle and its parameters, including the sampling confidence level, margin of error, and seed</w:t>
      </w:r>
    </w:p>
    <w:p>
      <w:pPr>
        <w:pStyle w:val="ListBullet"/>
        <w:spacing w:after="40"/>
      </w:pPr>
      <w:r>
        <w:rPr>
          <w:rFonts w:ascii="Calibri" w:hAnsi="Calibri"/>
          <w:b w:val="0"/>
          <w:color w:val="000000"/>
          <w:sz w:val="21"/>
        </w:rPr>
        <w:t>Population and sample sizes</w:t>
      </w:r>
    </w:p>
    <w:p>
      <w:pPr>
        <w:pStyle w:val="ListBullet"/>
        <w:spacing w:after="40"/>
      </w:pPr>
      <w:r>
        <w:rPr>
          <w:rFonts w:ascii="Calibri" w:hAnsi="Calibri"/>
          <w:b w:val="0"/>
          <w:color w:val="000000"/>
          <w:sz w:val="21"/>
        </w:rPr>
        <w:t xml:space="preserve">Results by bucket, using the </w:t>
      </w:r>
      <w:r>
        <w:rPr>
          <w:rFonts w:ascii="Calibri" w:hAnsi="Calibri"/>
          <w:b/>
          <w:color w:val="000000"/>
          <w:sz w:val="21"/>
        </w:rPr>
        <w:t>effective</w:t>
      </w:r>
      <w:r>
        <w:rPr>
          <w:rFonts w:ascii="Calibri" w:hAnsi="Calibri"/>
          <w:b w:val="0"/>
          <w:color w:val="000000"/>
          <w:sz w:val="21"/>
        </w:rPr>
        <w:t xml:space="preserve"> bucket — the reviewer's decision where one was made</w:t>
      </w:r>
    </w:p>
    <w:p>
      <w:pPr>
        <w:pStyle w:val="ListBullet"/>
        <w:spacing w:after="40"/>
      </w:pPr>
      <w:r>
        <w:rPr>
          <w:rFonts w:ascii="Calibri" w:hAnsi="Calibri"/>
          <w:b w:val="0"/>
          <w:color w:val="000000"/>
          <w:sz w:val="21"/>
        </w:rPr>
        <w:t>Findings and their severities</w:t>
      </w:r>
    </w:p>
    <w:p>
      <w:pPr>
        <w:pStyle w:val="ListBullet"/>
        <w:spacing w:after="40"/>
      </w:pPr>
      <w:r>
        <w:rPr>
          <w:rFonts w:ascii="Calibri" w:hAnsi="Calibri"/>
          <w:b w:val="0"/>
          <w:color w:val="000000"/>
          <w:sz w:val="21"/>
        </w:rPr>
        <w:t>Connector health during the cycle</w:t>
      </w:r>
    </w:p>
    <w:p>
      <w:pPr>
        <w:pStyle w:val="ListBullet"/>
        <w:spacing w:after="40"/>
      </w:pPr>
      <w:r>
        <w:rPr>
          <w:rFonts w:ascii="Calibri" w:hAnsi="Calibri"/>
          <w:b w:val="0"/>
          <w:color w:val="000000"/>
          <w:sz w:val="21"/>
        </w:rPr>
        <w:t>Coverage statements — which sources were checked, which were unavailable, which are not implemented</w:t>
      </w:r>
    </w:p>
    <w:p>
      <w:pPr>
        <w:pStyle w:val="ListBullet"/>
        <w:spacing w:after="40"/>
      </w:pPr>
      <w:r>
        <w:rPr>
          <w:rFonts w:ascii="Calibri" w:hAnsi="Calibri"/>
          <w:b w:val="0"/>
          <w:color w:val="000000"/>
          <w:sz w:val="21"/>
        </w:rPr>
        <w:t>The data-provenance stamp</w:t>
      </w:r>
    </w:p>
    <w:p>
      <w:pPr>
        <w:pStyle w:val="Heading2"/>
        <w:keepNext/>
        <w:spacing w:before="200" w:after="120"/>
        <w:outlineLvl w:val="1"/>
      </w:pPr>
      <w:r>
        <w:rPr>
          <w:rFonts w:ascii="Calibri" w:hAnsi="Calibri"/>
          <w:b/>
          <w:color w:val="003087"/>
          <w:sz w:val="25"/>
        </w:rPr>
        <w:t>16.4 The provenance stamp</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EVERY CURRENT REPORT CARRIES THIS STAMP</w:t>
            </w:r>
          </w:p>
          <w:p>
            <w:pPr>
              <w:spacing w:after="60" w:before="0"/>
            </w:pPr>
            <w:r>
              <w:rPr>
                <w:rFonts w:ascii="Calibri" w:hAnsi="Calibri"/>
                <w:b w:val="0"/>
                <w:color w:val="000000"/>
                <w:sz w:val="21"/>
              </w:rPr>
              <w:t>While the platform is in pre-production demonstration mode, every report, dashboard payload, and status response is stamped:</w:t>
            </w:r>
          </w:p>
          <w:p>
            <w:pPr>
              <w:spacing w:after="60" w:before="0"/>
            </w:pPr>
            <w:r>
              <w:rPr>
                <w:rFonts w:ascii="Calibri" w:hAnsi="Calibri"/>
                <w:b/>
                <w:color w:val="000000"/>
                <w:sz w:val="21"/>
              </w:rPr>
              <w:t>"MOCK — demonstration data only"</w:t>
            </w:r>
            <w:r>
              <w:rPr>
                <w:rFonts w:ascii="Calibri" w:hAnsi="Calibri"/>
                <w:b w:val="0"/>
                <w:color w:val="000000"/>
                <w:sz w:val="21"/>
              </w:rPr>
              <w:t xml:space="preserve"> with the warning </w:t>
            </w:r>
            <w:r>
              <w:rPr>
                <w:rFonts w:ascii="Calibri" w:hAnsi="Calibri"/>
                <w:b/>
                <w:color w:val="000000"/>
                <w:sz w:val="21"/>
              </w:rPr>
              <w:t>"This report uses synthetic demonstration data. Do not use for operational decisions."</w:t>
            </w:r>
          </w:p>
          <w:p>
            <w:pPr>
              <w:spacing w:after="0" w:before="0"/>
            </w:pPr>
            <w:r>
              <w:rPr>
                <w:rFonts w:ascii="Calibri" w:hAnsi="Calibri"/>
                <w:b w:val="0"/>
                <w:color w:val="000000"/>
                <w:sz w:val="21"/>
              </w:rPr>
              <w:t>This stamp is applied automatically from a single source of truth and cannot be removed by a user, an option, or a report setting. It disappears on its own when ONC entity population data is loaded and the entity-data configuration key is set.</w:t>
            </w:r>
          </w:p>
        </w:tc>
      </w:tr>
    </w:tbl>
    <w:p>
      <w:pPr>
        <w:spacing w:after="80"/>
      </w:pPr>
    </w:p>
    <w:p>
      <w:pPr>
        <w:spacing w:after="120" w:before="0"/>
      </w:pPr>
      <w:r>
        <w:rPr>
          <w:rFonts w:ascii="Calibri" w:hAnsi="Calibri"/>
          <w:b w:val="0"/>
          <w:color w:val="000000"/>
          <w:sz w:val="22"/>
        </w:rPr>
        <w:t>Do not circulate a stamped report as an official verification result. Do not remove or crop the stamp from an exported document.</w:t>
      </w:r>
    </w:p>
    <w:p>
      <w:pPr>
        <w:pStyle w:val="Heading2"/>
        <w:keepNext/>
        <w:spacing w:before="200" w:after="120"/>
        <w:outlineLvl w:val="1"/>
      </w:pPr>
      <w:r>
        <w:rPr>
          <w:rFonts w:ascii="Calibri" w:hAnsi="Calibri"/>
          <w:b/>
          <w:color w:val="003087"/>
          <w:sz w:val="25"/>
        </w:rPr>
        <w:t>16.5 Generating a report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Step</w:t>
            </w:r>
          </w:p>
        </w:tc>
        <w:tc>
          <w:tcPr>
            <w:tcW w:type="dxa" w:w="3120"/>
            <w:shd w:val="clear" w:color="auto" w:fill="003087"/>
          </w:tcPr>
          <w:p>
            <w:pPr>
              <w:spacing w:after="40" w:before="40"/>
            </w:pPr>
            <w:r>
              <w:rPr>
                <w:rFonts w:ascii="Calibri" w:hAnsi="Calibri"/>
                <w:b/>
                <w:color w:val="FFFFFF"/>
                <w:sz w:val="20"/>
              </w:rPr>
              <w:t>Where</w:t>
            </w:r>
          </w:p>
        </w:tc>
        <w:tc>
          <w:tcPr>
            <w:tcW w:type="dxa" w:w="3120"/>
            <w:shd w:val="clear" w:color="auto" w:fill="003087"/>
          </w:tcPr>
          <w:p>
            <w:pPr>
              <w:spacing w:after="40" w:before="40"/>
            </w:pPr>
            <w:r>
              <w:rPr>
                <w:rFonts w:ascii="Calibri" w:hAnsi="Calibri"/>
                <w:b/>
                <w:color w:val="FFFFFF"/>
                <w:sz w:val="20"/>
              </w:rPr>
              <w:t>Action</w:t>
            </w:r>
          </w:p>
        </w:tc>
      </w:tr>
      <w:tr>
        <w:tc>
          <w:tcPr>
            <w:tcW w:type="dxa" w:w="3120"/>
          </w:tcPr>
          <w:p>
            <w:pPr>
              <w:spacing w:after="40" w:before="40"/>
            </w:pPr>
            <w:r>
              <w:rPr>
                <w:rFonts w:ascii="Calibri" w:hAnsi="Calibri"/>
                <w:b w:val="0"/>
                <w:color w:val="000000"/>
                <w:sz w:val="20"/>
              </w:rPr>
              <w:t>1</w:t>
            </w:r>
          </w:p>
        </w:tc>
        <w:tc>
          <w:tcPr>
            <w:tcW w:type="dxa" w:w="3120"/>
          </w:tcPr>
          <w:p>
            <w:pPr>
              <w:spacing w:after="40" w:before="40"/>
            </w:pPr>
            <w:r>
              <w:rPr>
                <w:rFonts w:ascii="Calibri" w:hAnsi="Calibri"/>
                <w:b w:val="0"/>
                <w:color w:val="000000"/>
                <w:sz w:val="20"/>
              </w:rPr>
              <w:t>QA Operations</w:t>
            </w:r>
          </w:p>
        </w:tc>
        <w:tc>
          <w:tcPr>
            <w:tcW w:type="dxa" w:w="3120"/>
          </w:tcPr>
          <w:p>
            <w:pPr>
              <w:spacing w:after="40" w:before="40"/>
            </w:pPr>
            <w:r>
              <w:rPr>
                <w:rFonts w:ascii="Calibri" w:hAnsi="Calibri"/>
                <w:b w:val="0"/>
                <w:color w:val="000000"/>
                <w:sz w:val="20"/>
              </w:rPr>
              <w:t xml:space="preserve">Run the </w:t>
            </w:r>
            <w:r>
              <w:rPr>
                <w:rFonts w:ascii="Calibri" w:hAnsi="Calibri"/>
                <w:b/>
                <w:color w:val="000000"/>
                <w:sz w:val="20"/>
              </w:rPr>
              <w:t>report gate</w:t>
            </w:r>
            <w:r>
              <w:rPr>
                <w:rFonts w:ascii="Calibri" w:hAnsi="Calibri"/>
                <w:b w:val="0"/>
                <w:color w:val="000000"/>
                <w:sz w:val="20"/>
              </w:rPr>
              <w:t xml:space="preserve"> and confirm it passes</w:t>
            </w:r>
          </w:p>
        </w:tc>
      </w:tr>
      <w:tr>
        <w:tc>
          <w:tcPr>
            <w:tcW w:type="dxa" w:w="3120"/>
            <w:shd w:val="clear" w:color="auto" w:fill="F2F5FA"/>
          </w:tcPr>
          <w:p>
            <w:pPr>
              <w:spacing w:after="40" w:before="40"/>
            </w:pPr>
            <w:r>
              <w:rPr>
                <w:rFonts w:ascii="Calibri" w:hAnsi="Calibri"/>
                <w:b w:val="0"/>
                <w:color w:val="000000"/>
                <w:sz w:val="20"/>
              </w:rPr>
              <w:t>2</w:t>
            </w:r>
          </w:p>
        </w:tc>
        <w:tc>
          <w:tcPr>
            <w:tcW w:type="dxa" w:w="3120"/>
            <w:shd w:val="clear" w:color="auto" w:fill="F2F5FA"/>
          </w:tcPr>
          <w:p>
            <w:pPr>
              <w:spacing w:after="40" w:before="40"/>
            </w:pPr>
            <w:r>
              <w:rPr>
                <w:rFonts w:ascii="Calibri" w:hAnsi="Calibri"/>
                <w:b w:val="0"/>
                <w:color w:val="000000"/>
                <w:sz w:val="20"/>
              </w:rPr>
              <w:t>Reports (</w:t>
            </w:r>
            <w:r>
              <w:rPr>
                <w:rFonts w:ascii="Consolas" w:hAnsi="Consolas"/>
                <w:color w:val="000000"/>
                <w:sz w:val="20"/>
              </w:rPr>
              <w:t>/tefca-arc/reports</w:t>
            </w:r>
            <w:r>
              <w:rPr>
                <w:rFonts w:ascii="Calibri" w:hAnsi="Calibri"/>
                <w:b w:val="0"/>
                <w:color w:val="000000"/>
                <w:sz w:val="20"/>
              </w:rPr>
              <w:t>)</w:t>
            </w:r>
          </w:p>
        </w:tc>
        <w:tc>
          <w:tcPr>
            <w:tcW w:type="dxa" w:w="3120"/>
            <w:shd w:val="clear" w:color="auto" w:fill="F2F5FA"/>
          </w:tcPr>
          <w:p>
            <w:pPr>
              <w:spacing w:after="40" w:before="40"/>
            </w:pPr>
            <w:r>
              <w:rPr>
                <w:rFonts w:ascii="Calibri" w:hAnsi="Calibri"/>
                <w:b w:val="0"/>
                <w:color w:val="000000"/>
                <w:sz w:val="20"/>
              </w:rPr>
              <w:t>Select the report type and cycle</w:t>
            </w:r>
          </w:p>
        </w:tc>
      </w:tr>
      <w:tr>
        <w:tc>
          <w:tcPr>
            <w:tcW w:type="dxa" w:w="3120"/>
          </w:tcPr>
          <w:p>
            <w:pPr>
              <w:spacing w:after="40" w:before="40"/>
            </w:pPr>
            <w:r>
              <w:rPr>
                <w:rFonts w:ascii="Calibri" w:hAnsi="Calibri"/>
                <w:b w:val="0"/>
                <w:color w:val="000000"/>
                <w:sz w:val="20"/>
              </w:rPr>
              <w:t>3</w:t>
            </w:r>
          </w:p>
        </w:tc>
        <w:tc>
          <w:tcPr>
            <w:tcW w:type="dxa" w:w="3120"/>
          </w:tcPr>
          <w:p>
            <w:pPr>
              <w:spacing w:after="40" w:before="40"/>
            </w:pPr>
            <w:r>
              <w:rPr>
                <w:rFonts w:ascii="Calibri" w:hAnsi="Calibri"/>
                <w:b w:val="0"/>
                <w:color w:val="000000"/>
                <w:sz w:val="20"/>
              </w:rPr>
              <w:t>Reports</w:t>
            </w:r>
          </w:p>
        </w:tc>
        <w:tc>
          <w:tcPr>
            <w:tcW w:type="dxa" w:w="3120"/>
          </w:tcPr>
          <w:p>
            <w:pPr>
              <w:spacing w:after="40" w:before="40"/>
            </w:pPr>
            <w:r>
              <w:rPr>
                <w:rFonts w:ascii="Calibri" w:hAnsi="Calibri"/>
                <w:b w:val="0"/>
                <w:color w:val="000000"/>
                <w:sz w:val="20"/>
              </w:rPr>
              <w:t>Generate</w:t>
            </w:r>
          </w:p>
        </w:tc>
      </w:tr>
      <w:tr>
        <w:tc>
          <w:tcPr>
            <w:tcW w:type="dxa" w:w="3120"/>
            <w:shd w:val="clear" w:color="auto" w:fill="F2F5FA"/>
          </w:tcPr>
          <w:p>
            <w:pPr>
              <w:spacing w:after="40" w:before="40"/>
            </w:pPr>
            <w:r>
              <w:rPr>
                <w:rFonts w:ascii="Calibri" w:hAnsi="Calibri"/>
                <w:b w:val="0"/>
                <w:color w:val="000000"/>
                <w:sz w:val="20"/>
              </w:rPr>
              <w:t>4</w:t>
            </w:r>
          </w:p>
        </w:tc>
        <w:tc>
          <w:tcPr>
            <w:tcW w:type="dxa" w:w="3120"/>
            <w:shd w:val="clear" w:color="auto" w:fill="F2F5FA"/>
          </w:tcPr>
          <w:p>
            <w:pPr>
              <w:spacing w:after="40" w:before="40"/>
            </w:pPr>
            <w:r>
              <w:rPr>
                <w:rFonts w:ascii="Calibri" w:hAnsi="Calibri"/>
                <w:b w:val="0"/>
                <w:color w:val="000000"/>
                <w:sz w:val="20"/>
              </w:rPr>
              <w:t>Reports</w:t>
            </w:r>
          </w:p>
        </w:tc>
        <w:tc>
          <w:tcPr>
            <w:tcW w:type="dxa" w:w="3120"/>
            <w:shd w:val="clear" w:color="auto" w:fill="F2F5FA"/>
          </w:tcPr>
          <w:p>
            <w:pPr>
              <w:spacing w:after="40" w:before="40"/>
            </w:pPr>
            <w:r>
              <w:rPr>
                <w:rFonts w:ascii="Calibri" w:hAnsi="Calibri"/>
                <w:b w:val="0"/>
                <w:color w:val="000000"/>
                <w:sz w:val="20"/>
              </w:rPr>
              <w:t>Download in the required format</w:t>
            </w:r>
          </w:p>
        </w:tc>
      </w:tr>
      <w:tr>
        <w:tc>
          <w:tcPr>
            <w:tcW w:type="dxa" w:w="3120"/>
          </w:tcPr>
          <w:p>
            <w:pPr>
              <w:spacing w:after="40" w:before="40"/>
            </w:pPr>
            <w:r>
              <w:rPr>
                <w:rFonts w:ascii="Calibri" w:hAnsi="Calibri"/>
                <w:b w:val="0"/>
                <w:color w:val="000000"/>
                <w:sz w:val="20"/>
              </w:rPr>
              <w:t>5</w:t>
            </w:r>
          </w:p>
        </w:tc>
        <w:tc>
          <w:tcPr>
            <w:tcW w:type="dxa" w:w="3120"/>
          </w:tcPr>
          <w:p>
            <w:pPr>
              <w:spacing w:after="40" w:before="40"/>
            </w:pPr>
            <w:r>
              <w:rPr>
                <w:rFonts w:ascii="Calibri" w:hAnsi="Calibri"/>
                <w:b w:val="0"/>
                <w:color w:val="000000"/>
                <w:sz w:val="20"/>
              </w:rPr>
              <w:t>—</w:t>
            </w:r>
          </w:p>
        </w:tc>
        <w:tc>
          <w:tcPr>
            <w:tcW w:type="dxa" w:w="3120"/>
          </w:tcPr>
          <w:p>
            <w:pPr>
              <w:spacing w:after="40" w:before="40"/>
            </w:pPr>
            <w:r>
              <w:rPr>
                <w:rFonts w:ascii="Calibri" w:hAnsi="Calibri"/>
                <w:b w:val="0"/>
                <w:color w:val="000000"/>
                <w:sz w:val="20"/>
              </w:rPr>
              <w:t>Confirm the provenance stamp is present and correct before circulating</w:t>
            </w:r>
          </w:p>
        </w:tc>
      </w:tr>
    </w:tbl>
    <w:p>
      <w:pPr>
        <w:spacing w:after="80"/>
      </w:pPr>
    </w:p>
    <w:p>
      <w:r>
        <w:br w:type="page"/>
      </w:r>
    </w:p>
    <w:p>
      <w:pPr>
        <w:pStyle w:val="Heading1"/>
        <w:keepNext/>
        <w:spacing w:before="280" w:after="120"/>
        <w:outlineLvl w:val="0"/>
      </w:pPr>
      <w:r>
        <w:rPr>
          <w:rFonts w:ascii="Calibri" w:hAnsi="Calibri"/>
          <w:b/>
          <w:color w:val="003087"/>
          <w:sz w:val="28"/>
        </w:rPr>
        <w:t>17. Development vs Production</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PRE-PRODUCTION DEMONSTRATION MODE</w:t>
            </w:r>
          </w:p>
          <w:p>
            <w:pPr>
              <w:spacing w:after="60" w:before="0"/>
            </w:pPr>
            <w:r>
              <w:rPr>
                <w:rFonts w:ascii="Calibri" w:hAnsi="Calibri"/>
                <w:b w:val="0"/>
                <w:color w:val="000000"/>
                <w:sz w:val="21"/>
              </w:rPr>
              <w:t>DocuAction TEFCA is currently operating in pre-production demonstration mode. Both development and production environments serve synthetic demonstration data. No ONC entity population data has been received. All verification results shown are operational readiness demonstrations and must NOT be treated as official production verification determinations.</w:t>
            </w:r>
          </w:p>
          <w:p>
            <w:pPr>
              <w:spacing w:after="60" w:before="0"/>
            </w:pPr>
            <w:r>
              <w:rPr>
                <w:rFonts w:ascii="Calibri" w:hAnsi="Calibri"/>
                <w:b w:val="0"/>
                <w:color w:val="000000"/>
                <w:sz w:val="21"/>
              </w:rPr>
              <w:t>The system stamps every report with: "MOCK — demonstration data only. Do not use for operational decisions."</w:t>
            </w:r>
          </w:p>
          <w:p>
            <w:pPr>
              <w:spacing w:after="0" w:before="0"/>
            </w:pPr>
            <w:r>
              <w:rPr>
                <w:rFonts w:ascii="Calibri" w:hAnsi="Calibri"/>
                <w:b w:val="0"/>
                <w:color w:val="000000"/>
                <w:sz w:val="21"/>
              </w:rPr>
              <w:t>When ONC provides the initial entity population data and the entity-data configuration key is configured, the system transitions to production verification mode and this warning is removed automatically.</w:t>
            </w:r>
          </w:p>
        </w:tc>
      </w:tr>
    </w:tbl>
    <w:p>
      <w:pPr>
        <w:spacing w:after="80"/>
      </w:pPr>
    </w:p>
    <w:p>
      <w:pPr>
        <w:pStyle w:val="Heading2"/>
        <w:keepNext/>
        <w:spacing w:before="200" w:after="120"/>
        <w:outlineLvl w:val="1"/>
      </w:pPr>
      <w:r>
        <w:rPr>
          <w:rFonts w:ascii="Calibri" w:hAnsi="Calibri"/>
          <w:b/>
          <w:color w:val="003087"/>
          <w:sz w:val="25"/>
        </w:rPr>
        <w:t>17.1 How the environments are separated</w:t>
      </w:r>
    </w:p>
    <w:p>
      <w:pPr>
        <w:spacing w:after="120" w:before="0"/>
      </w:pPr>
      <w:r>
        <w:rPr>
          <w:rFonts w:ascii="Calibri" w:hAnsi="Calibri"/>
          <w:b w:val="0"/>
          <w:color w:val="000000"/>
          <w:sz w:val="22"/>
        </w:rPr>
        <w:t>Isolation between development and production is architectural, not procedural: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Separation</w:t>
            </w:r>
          </w:p>
        </w:tc>
        <w:tc>
          <w:tcPr>
            <w:tcW w:type="dxa" w:w="4680"/>
            <w:shd w:val="clear" w:color="auto" w:fill="003087"/>
          </w:tcPr>
          <w:p>
            <w:pPr>
              <w:spacing w:after="40" w:before="40"/>
            </w:pPr>
            <w:r>
              <w:rPr>
                <w:rFonts w:ascii="Calibri" w:hAnsi="Calibri"/>
                <w:b/>
                <w:color w:val="FFFFFF"/>
                <w:sz w:val="20"/>
              </w:rPr>
              <w:t>Implementation</w:t>
            </w:r>
          </w:p>
        </w:tc>
      </w:tr>
      <w:tr>
        <w:tc>
          <w:tcPr>
            <w:tcW w:type="dxa" w:w="4680"/>
          </w:tcPr>
          <w:p>
            <w:pPr>
              <w:spacing w:after="40" w:before="40"/>
            </w:pPr>
            <w:r>
              <w:rPr>
                <w:rFonts w:ascii="Calibri" w:hAnsi="Calibri"/>
                <w:b/>
                <w:color w:val="000000"/>
                <w:sz w:val="20"/>
              </w:rPr>
              <w:t>Compute</w:t>
            </w:r>
          </w:p>
        </w:tc>
        <w:tc>
          <w:tcPr>
            <w:tcW w:type="dxa" w:w="4680"/>
          </w:tcPr>
          <w:p>
            <w:pPr>
              <w:spacing w:after="40" w:before="40"/>
            </w:pPr>
            <w:r>
              <w:rPr>
                <w:rFonts w:ascii="Calibri" w:hAnsi="Calibri"/>
                <w:b w:val="0"/>
                <w:color w:val="000000"/>
                <w:sz w:val="20"/>
              </w:rPr>
              <w:t>Separate Azure App Service (Linux) applications. No shared compute</w:t>
            </w:r>
          </w:p>
        </w:tc>
      </w:tr>
      <w:tr>
        <w:tc>
          <w:tcPr>
            <w:tcW w:type="dxa" w:w="4680"/>
            <w:shd w:val="clear" w:color="auto" w:fill="F2F5FA"/>
          </w:tcPr>
          <w:p>
            <w:pPr>
              <w:spacing w:after="40" w:before="40"/>
            </w:pPr>
            <w:r>
              <w:rPr>
                <w:rFonts w:ascii="Calibri" w:hAnsi="Calibri"/>
                <w:b/>
                <w:color w:val="000000"/>
                <w:sz w:val="20"/>
              </w:rPr>
              <w:t>Database</w:t>
            </w:r>
          </w:p>
        </w:tc>
        <w:tc>
          <w:tcPr>
            <w:tcW w:type="dxa" w:w="4680"/>
            <w:shd w:val="clear" w:color="auto" w:fill="F2F5FA"/>
          </w:tcPr>
          <w:p>
            <w:pPr>
              <w:spacing w:after="40" w:before="40"/>
            </w:pPr>
            <w:r>
              <w:rPr>
                <w:rFonts w:ascii="Calibri" w:hAnsi="Calibri"/>
                <w:b w:val="0"/>
                <w:color w:val="000000"/>
                <w:sz w:val="20"/>
              </w:rPr>
              <w:t>Separate Azure Database for PostgreSQL Flexible Servers. Production data never resides on a development server</w:t>
            </w:r>
          </w:p>
        </w:tc>
      </w:tr>
      <w:tr>
        <w:tc>
          <w:tcPr>
            <w:tcW w:type="dxa" w:w="4680"/>
          </w:tcPr>
          <w:p>
            <w:pPr>
              <w:spacing w:after="40" w:before="40"/>
            </w:pPr>
            <w:r>
              <w:rPr>
                <w:rFonts w:ascii="Calibri" w:hAnsi="Calibri"/>
                <w:b/>
                <w:color w:val="000000"/>
                <w:sz w:val="20"/>
              </w:rPr>
              <w:t>Identity</w:t>
            </w:r>
          </w:p>
        </w:tc>
        <w:tc>
          <w:tcPr>
            <w:tcW w:type="dxa" w:w="4680"/>
          </w:tcPr>
          <w:p>
            <w:pPr>
              <w:spacing w:after="40" w:before="40"/>
            </w:pPr>
            <w:r>
              <w:rPr>
                <w:rFonts w:ascii="Calibri" w:hAnsi="Calibri"/>
                <w:b w:val="0"/>
                <w:color w:val="000000"/>
                <w:sz w:val="20"/>
              </w:rPr>
              <w:t>Distinct Microsoft Entra ID app registrations and redirect URIs per environment</w:t>
            </w:r>
          </w:p>
        </w:tc>
      </w:tr>
      <w:tr>
        <w:tc>
          <w:tcPr>
            <w:tcW w:type="dxa" w:w="4680"/>
            <w:shd w:val="clear" w:color="auto" w:fill="F2F5FA"/>
          </w:tcPr>
          <w:p>
            <w:pPr>
              <w:spacing w:after="40" w:before="40"/>
            </w:pPr>
            <w:r>
              <w:rPr>
                <w:rFonts w:ascii="Calibri" w:hAnsi="Calibri"/>
                <w:b/>
                <w:color w:val="000000"/>
                <w:sz w:val="20"/>
              </w:rPr>
              <w:t>Secrets</w:t>
            </w:r>
          </w:p>
        </w:tc>
        <w:tc>
          <w:tcPr>
            <w:tcW w:type="dxa" w:w="4680"/>
            <w:shd w:val="clear" w:color="auto" w:fill="F2F5FA"/>
          </w:tcPr>
          <w:p>
            <w:pPr>
              <w:spacing w:after="40" w:before="40"/>
            </w:pPr>
            <w:r>
              <w:rPr>
                <w:rFonts w:ascii="Calibri" w:hAnsi="Calibri"/>
                <w:b w:val="0"/>
                <w:color w:val="000000"/>
                <w:sz w:val="20"/>
              </w:rPr>
              <w:t>Every secret is unique per environment. A secret is never copied between them</w:t>
            </w:r>
          </w:p>
        </w:tc>
      </w:tr>
      <w:tr>
        <w:tc>
          <w:tcPr>
            <w:tcW w:type="dxa" w:w="4680"/>
          </w:tcPr>
          <w:p>
            <w:pPr>
              <w:spacing w:after="40" w:before="40"/>
            </w:pPr>
            <w:r>
              <w:rPr>
                <w:rFonts w:ascii="Calibri" w:hAnsi="Calibri"/>
                <w:b/>
                <w:color w:val="000000"/>
                <w:sz w:val="20"/>
              </w:rPr>
              <w:t>Network trust</w:t>
            </w:r>
          </w:p>
        </w:tc>
        <w:tc>
          <w:tcPr>
            <w:tcW w:type="dxa" w:w="4680"/>
          </w:tcPr>
          <w:p>
            <w:pPr>
              <w:spacing w:after="40" w:before="40"/>
            </w:pPr>
            <w:r>
              <w:rPr>
                <w:rFonts w:ascii="Calibri" w:hAnsi="Calibri"/>
                <w:b w:val="0"/>
                <w:color w:val="000000"/>
                <w:sz w:val="20"/>
              </w:rPr>
              <w:t>Separate allowed-hosts and allowed-origins lists. Each application trusts only its own hostnames and its own frontend origin</w:t>
            </w:r>
          </w:p>
        </w:tc>
      </w:tr>
      <w:tr>
        <w:tc>
          <w:tcPr>
            <w:tcW w:type="dxa" w:w="4680"/>
            <w:shd w:val="clear" w:color="auto" w:fill="F2F5FA"/>
          </w:tcPr>
          <w:p>
            <w:pPr>
              <w:spacing w:after="40" w:before="40"/>
            </w:pPr>
            <w:r>
              <w:rPr>
                <w:rFonts w:ascii="Calibri" w:hAnsi="Calibri"/>
                <w:b/>
                <w:color w:val="000000"/>
                <w:sz w:val="20"/>
              </w:rPr>
              <w:t>Monitoring</w:t>
            </w:r>
          </w:p>
        </w:tc>
        <w:tc>
          <w:tcPr>
            <w:tcW w:type="dxa" w:w="4680"/>
            <w:shd w:val="clear" w:color="auto" w:fill="F2F5FA"/>
          </w:tcPr>
          <w:p>
            <w:pPr>
              <w:spacing w:after="40" w:before="40"/>
            </w:pPr>
            <w:r>
              <w:rPr>
                <w:rFonts w:ascii="Calibri" w:hAnsi="Calibri"/>
                <w:b w:val="0"/>
                <w:color w:val="000000"/>
                <w:sz w:val="20"/>
              </w:rPr>
              <w:t>Production carries Application Insights instrumentation; development does not</w:t>
            </w:r>
          </w:p>
        </w:tc>
      </w:tr>
    </w:tbl>
    <w:p>
      <w:pPr>
        <w:spacing w:after="80"/>
      </w:pPr>
    </w:p>
    <w:p>
      <w:pPr>
        <w:pStyle w:val="Heading2"/>
        <w:keepNext/>
        <w:spacing w:before="200" w:after="120"/>
        <w:outlineLvl w:val="1"/>
      </w:pPr>
      <w:r>
        <w:rPr>
          <w:rFonts w:ascii="Calibri" w:hAnsi="Calibri"/>
          <w:b/>
          <w:color w:val="003087"/>
          <w:sz w:val="25"/>
        </w:rPr>
        <w:t>17.2 Development</w:t>
      </w:r>
    </w:p>
    <w:p>
      <w:pPr>
        <w:spacing w:after="120" w:before="0"/>
      </w:pPr>
      <w:r>
        <w:rPr>
          <w:rFonts w:ascii="Calibri" w:hAnsi="Calibri"/>
          <w:b/>
          <w:color w:val="000000"/>
          <w:sz w:val="22"/>
        </w:rPr>
        <w:t>Purpose.</w:t>
      </w:r>
      <w:r>
        <w:rPr>
          <w:rFonts w:ascii="Calibri" w:hAnsi="Calibri"/>
          <w:b w:val="0"/>
          <w:color w:val="000000"/>
          <w:sz w:val="22"/>
        </w:rPr>
        <w:t xml:space="preserve"> Testing, training, feature validation, and demonstration rehearsal.</w:t>
      </w:r>
    </w:p>
    <w:p>
      <w:pPr>
        <w:spacing w:after="120" w:before="0"/>
      </w:pPr>
      <w:r>
        <w:rPr>
          <w:rFonts w:ascii="Calibri" w:hAnsi="Calibri"/>
          <w:b/>
          <w:color w:val="000000"/>
          <w:sz w:val="22"/>
        </w:rPr>
        <w:t>Who should use it.</w:t>
      </w:r>
      <w:r>
        <w:rPr>
          <w:rFonts w:ascii="Calibri" w:hAnsi="Calibri"/>
          <w:b w:val="0"/>
          <w:color w:val="000000"/>
          <w:sz w:val="22"/>
        </w:rPr>
        <w:t xml:space="preserve"> Developers, testers, and staff being trained. New users should learn here.</w:t>
      </w:r>
    </w:p>
    <w:p>
      <w:pPr>
        <w:spacing w:after="120" w:before="0"/>
      </w:pPr>
      <w:r>
        <w:rPr>
          <w:rFonts w:ascii="Calibri" w:hAnsi="Calibri"/>
          <w:b/>
          <w:color w:val="000000"/>
          <w:sz w:val="22"/>
        </w:rPr>
        <w:t>What is there.</w:t>
      </w:r>
      <w:r>
        <w:rPr>
          <w:rFonts w:ascii="Calibri" w:hAnsi="Calibri"/>
          <w:b w:val="0"/>
          <w:color w:val="000000"/>
          <w:sz w:val="22"/>
        </w:rPr>
        <w:t xml:space="preserve"> Synthetic demonstration data, the same connector configuration as production, and no production database access of any kind.</w:t>
      </w:r>
    </w:p>
    <w:p>
      <w:pPr>
        <w:spacing w:after="120" w:before="0"/>
      </w:pPr>
      <w:r>
        <w:rPr>
          <w:rFonts w:ascii="Calibri" w:hAnsi="Calibri"/>
          <w:b/>
          <w:color w:val="000000"/>
          <w:sz w:val="22"/>
        </w:rPr>
        <w:t>What must never be considered official.</w:t>
      </w:r>
      <w:r>
        <w:rPr>
          <w:rFonts w:ascii="Calibri" w:hAnsi="Calibri"/>
          <w:b w:val="0"/>
          <w:color w:val="000000"/>
          <w:sz w:val="22"/>
        </w:rPr>
        <w:t xml:space="preserve"> Everything. No result produced in development is a verification determination, regardless of how it is labelled or how correct it looks.</w:t>
      </w:r>
    </w:p>
    <w:p>
      <w:pPr>
        <w:pStyle w:val="Heading2"/>
        <w:keepNext/>
        <w:spacing w:before="200" w:after="120"/>
        <w:outlineLvl w:val="1"/>
      </w:pPr>
      <w:r>
        <w:rPr>
          <w:rFonts w:ascii="Calibri" w:hAnsi="Calibri"/>
          <w:b/>
          <w:color w:val="003087"/>
          <w:sz w:val="25"/>
        </w:rPr>
        <w:t>17.3 Production</w:t>
      </w:r>
    </w:p>
    <w:p>
      <w:pPr>
        <w:spacing w:after="120" w:before="0"/>
      </w:pPr>
      <w:r>
        <w:rPr>
          <w:rFonts w:ascii="Calibri" w:hAnsi="Calibri"/>
          <w:b/>
          <w:color w:val="000000"/>
          <w:sz w:val="22"/>
        </w:rPr>
        <w:t>Purpose.</w:t>
      </w:r>
      <w:r>
        <w:rPr>
          <w:rFonts w:ascii="Calibri" w:hAnsi="Calibri"/>
          <w:b w:val="0"/>
          <w:color w:val="000000"/>
          <w:sz w:val="22"/>
        </w:rPr>
        <w:t xml:space="preserve"> Official review activity under contract 7571MN26F80064 — once entity data is received.</w:t>
      </w:r>
    </w:p>
    <w:p>
      <w:pPr>
        <w:spacing w:after="120" w:before="0"/>
      </w:pPr>
      <w:r>
        <w:rPr>
          <w:rFonts w:ascii="Calibri" w:hAnsi="Calibri"/>
          <w:b/>
          <w:color w:val="000000"/>
          <w:sz w:val="22"/>
        </w:rPr>
        <w:t>Who can access it.</w:t>
      </w:r>
      <w:r>
        <w:rPr>
          <w:rFonts w:ascii="Calibri" w:hAnsi="Calibri"/>
          <w:b w:val="0"/>
          <w:color w:val="000000"/>
          <w:sz w:val="22"/>
        </w:rPr>
        <w:t xml:space="preserve"> Approved accounts only, with roles assigned according to duty.</w:t>
      </w:r>
    </w:p>
    <w:p>
      <w:pPr>
        <w:spacing w:after="120" w:before="0"/>
      </w:pPr>
      <w:r>
        <w:rPr>
          <w:rFonts w:ascii="Calibri" w:hAnsi="Calibri"/>
          <w:b/>
          <w:color w:val="000000"/>
          <w:sz w:val="22"/>
        </w:rPr>
        <w:t>What is there.</w:t>
      </w:r>
      <w:r>
        <w:rPr>
          <w:rFonts w:ascii="Calibri" w:hAnsi="Calibri"/>
          <w:b w:val="0"/>
          <w:color w:val="000000"/>
          <w:sz w:val="22"/>
        </w:rPr>
        <w:t xml:space="preserve"> The production database, production identity, production monitoring, and full audit retention.</w:t>
      </w:r>
    </w:p>
    <w:p>
      <w:pPr>
        <w:spacing w:after="120" w:before="0"/>
      </w:pPr>
      <w:r>
        <w:rPr>
          <w:rFonts w:ascii="Calibri" w:hAnsi="Calibri"/>
          <w:b/>
          <w:color w:val="000000"/>
          <w:sz w:val="22"/>
        </w:rPr>
        <w:t>Restrictions.</w:t>
      </w:r>
      <w:r>
        <w:rPr>
          <w:rFonts w:ascii="Calibri" w:hAnsi="Calibri"/>
          <w:b w:val="0"/>
          <w:color w:val="000000"/>
          <w:sz w:val="22"/>
        </w:rPr>
        <w:t xml:space="preserve"> Production activity is monitored and audited. Every action is attributed. Access is least-privilege and time-limited by session expiry.</w:t>
      </w:r>
    </w:p>
    <w:p>
      <w:pPr>
        <w:pStyle w:val="Heading2"/>
        <w:keepNext/>
        <w:spacing w:before="200" w:after="120"/>
        <w:outlineLvl w:val="1"/>
      </w:pPr>
      <w:r>
        <w:rPr>
          <w:rFonts w:ascii="Calibri" w:hAnsi="Calibri"/>
          <w:b/>
          <w:color w:val="003087"/>
          <w:sz w:val="25"/>
        </w:rPr>
        <w:t>17.4 The honest current position</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 — WHAT THIS MEANS IN PRACTICE TODAY</w:t>
            </w:r>
          </w:p>
          <w:p>
            <w:pPr>
              <w:spacing w:after="60" w:before="0"/>
            </w:pPr>
            <w:r>
              <w:rPr>
                <w:rFonts w:ascii="Calibri" w:hAnsi="Calibri"/>
                <w:b w:val="0"/>
                <w:color w:val="000000"/>
                <w:sz w:val="21"/>
              </w:rPr>
              <w:t>For the TEFCA modules specifically, development and production are configured identically. The same connectors are live, the same keys are absent, AI is disabled in both, and both serve synthetic demonstration entity data.</w:t>
            </w:r>
          </w:p>
          <w:p>
            <w:pPr>
              <w:spacing w:after="60" w:before="0"/>
            </w:pPr>
            <w:r>
              <w:rPr>
                <w:rFonts w:ascii="Calibri" w:hAnsi="Calibri"/>
                <w:b/>
                <w:color w:val="000000"/>
                <w:sz w:val="21"/>
              </w:rPr>
              <w:t>There is currently no configuration difference that makes production authoritative for TEFCA work.</w:t>
            </w:r>
            <w:r>
              <w:rPr>
                <w:rFonts w:ascii="Calibri" w:hAnsi="Calibri"/>
                <w:b w:val="0"/>
                <w:color w:val="000000"/>
                <w:sz w:val="21"/>
              </w:rPr>
              <w:t xml:space="preserve"> Production is production in every architectural respect — isolated compute, isolated data, monitored, audited — but it is not yet performing production verification, because the entity population it would verify has not been received.</w:t>
            </w:r>
          </w:p>
          <w:p>
            <w:pPr>
              <w:spacing w:after="0" w:before="0"/>
            </w:pPr>
            <w:r>
              <w:rPr>
                <w:rFonts w:ascii="Calibri" w:hAnsi="Calibri"/>
                <w:b w:val="0"/>
                <w:color w:val="000000"/>
                <w:sz w:val="21"/>
              </w:rPr>
              <w:t>This will change in a single, well-defined step: when ONC provides the entity population data and the entity-data key is configured, the demonstration stamp is removed automatically and production output becomes authoritative. Nothing else needs to change.</w:t>
            </w:r>
          </w:p>
        </w:tc>
      </w:tr>
    </w:tbl>
    <w:p>
      <w:pPr>
        <w:spacing w:after="80"/>
      </w:pPr>
    </w:p>
    <w:p>
      <w:pPr>
        <w:pStyle w:val="Heading2"/>
        <w:keepNext/>
        <w:spacing w:before="200" w:after="120"/>
        <w:outlineLvl w:val="1"/>
      </w:pPr>
      <w:r>
        <w:rPr>
          <w:rFonts w:ascii="Calibri" w:hAnsi="Calibri"/>
          <w:b/>
          <w:color w:val="003087"/>
          <w:sz w:val="25"/>
        </w:rPr>
        <w:t>17.5 The rule</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PROHIBITED</w:t>
            </w:r>
          </w:p>
          <w:p>
            <w:pPr>
              <w:spacing w:after="60" w:before="0"/>
            </w:pPr>
            <w:r>
              <w:rPr>
                <w:rFonts w:ascii="Calibri" w:hAnsi="Calibri"/>
                <w:b w:val="0"/>
                <w:color w:val="000000"/>
                <w:sz w:val="21"/>
              </w:rPr>
              <w:t>NEVER treat DEV/test/mock verification results as official production verification.</w:t>
            </w:r>
          </w:p>
          <w:p>
            <w:pPr>
              <w:spacing w:after="0" w:before="0"/>
            </w:pPr>
            <w:r>
              <w:rPr>
                <w:rFonts w:ascii="Calibri" w:hAnsi="Calibri"/>
                <w:b w:val="0"/>
                <w:color w:val="000000"/>
                <w:sz w:val="21"/>
              </w:rPr>
              <w:t>This applies to development output at all times, and to production output for as long as the demonstration-mode stamp is present.</w:t>
            </w:r>
          </w:p>
        </w:tc>
      </w:tr>
    </w:tbl>
    <w:p>
      <w:pPr>
        <w:spacing w:after="80"/>
      </w:pPr>
    </w:p>
    <w:p>
      <w:pPr>
        <w:pStyle w:val="Heading2"/>
        <w:keepNext/>
        <w:spacing w:before="200" w:after="120"/>
        <w:outlineLvl w:val="1"/>
      </w:pPr>
      <w:r>
        <w:rPr>
          <w:rFonts w:ascii="Calibri" w:hAnsi="Calibri"/>
          <w:b/>
          <w:color w:val="003087"/>
          <w:sz w:val="25"/>
        </w:rPr>
        <w:t>17.6 Technical / Administrator Notes — environment configuration</w:t>
      </w:r>
    </w:p>
    <w:p>
      <w:pPr>
        <w:spacing w:after="120" w:before="0"/>
      </w:pPr>
      <w:r>
        <w:rPr>
          <w:rFonts w:ascii="Calibri" w:hAnsi="Calibri"/>
          <w:b w:val="0"/>
          <w:color w:val="000000"/>
          <w:sz w:val="22"/>
        </w:rPr>
        <w:t>Configuration differences between the two environments, by setting name only (no values are recorded in this document):</w:t>
      </w:r>
    </w:p>
    <w:p>
      <w:pPr>
        <w:spacing w:after="120" w:before="0"/>
      </w:pPr>
      <w:r>
        <w:rPr>
          <w:rFonts w:ascii="Calibri" w:hAnsi="Calibri"/>
          <w:b/>
          <w:color w:val="000000"/>
          <w:sz w:val="22"/>
        </w:rPr>
        <w:t>Present on production, absent on development:</w:t>
      </w:r>
      <w:r>
        <w:rPr>
          <w:rFonts w:ascii="Calibri" w:hAnsi="Calibri"/>
          <w:b w:val="0"/>
          <w:color w:val="000000"/>
          <w:sz w:val="22"/>
        </w:rPr>
        <w:t xml:space="preserve"> Application Insights instrumentation key and connection string; the Bulletin news-provider key; container start-time limit; DNS server; HTTP logging retention.</w:t>
      </w:r>
    </w:p>
    <w:p>
      <w:pPr>
        <w:spacing w:after="120" w:before="0"/>
      </w:pPr>
      <w:r>
        <w:rPr>
          <w:rFonts w:ascii="Calibri" w:hAnsi="Calibri"/>
          <w:b/>
          <w:color w:val="000000"/>
          <w:sz w:val="22"/>
        </w:rPr>
        <w:t>Present on development, absent on production:</w:t>
      </w:r>
      <w:r>
        <w:rPr>
          <w:rFonts w:ascii="Calibri" w:hAnsi="Calibri"/>
          <w:b w:val="0"/>
          <w:color w:val="000000"/>
          <w:sz w:val="22"/>
        </w:rPr>
        <w:t xml:space="preserve"> email template version.</w:t>
      </w:r>
    </w:p>
    <w:p>
      <w:pPr>
        <w:spacing w:after="120" w:before="0"/>
      </w:pPr>
      <w:r>
        <w:rPr>
          <w:rFonts w:ascii="Calibri" w:hAnsi="Calibri"/>
          <w:b/>
          <w:color w:val="000000"/>
          <w:sz w:val="22"/>
        </w:rPr>
        <w:t>Identical across both:</w:t>
      </w:r>
      <w:r>
        <w:rPr>
          <w:rFonts w:ascii="Calibri" w:hAnsi="Calibri"/>
          <w:b w:val="0"/>
          <w:color w:val="000000"/>
          <w:sz w:val="22"/>
        </w:rPr>
        <w:t xml:space="preserve"> database URL, secret key, allowed hosts, allowed origins, application URL, Entra ID client and tenant settings, email sender configuration, SAM.gov key, USPS client credentials, Anthropic key, scheduler enablement, Bulletin authentication and cost-tracking flags, Python path, and build settings.</w:t>
      </w:r>
    </w:p>
    <w:p>
      <w:pPr>
        <w:spacing w:after="120" w:before="0"/>
      </w:pPr>
      <w:r>
        <w:rPr>
          <w:rFonts w:ascii="Calibri" w:hAnsi="Calibri"/>
          <w:b/>
          <w:color w:val="000000"/>
          <w:sz w:val="22"/>
        </w:rPr>
        <w:t>Absent from both, and therefore inactive everywhere:</w:t>
      </w:r>
      <w:r>
        <w:rPr>
          <w:rFonts w:ascii="Calibri" w:hAnsi="Calibri"/>
          <w:b w:val="0"/>
          <w:color w:val="000000"/>
          <w:sz w:val="22"/>
        </w:rPr>
        <w:t xml:space="preserve"> the TEFCA entity-data key, the AI entity-resolution flag, the IQVIA OneKey key, and the legacy USPS user identifier.</w:t>
      </w:r>
    </w:p>
    <w:p>
      <w:r>
        <w:br w:type="page"/>
      </w:r>
    </w:p>
    <w:p>
      <w:pPr>
        <w:pStyle w:val="Heading1"/>
        <w:keepNext/>
        <w:spacing w:before="280" w:after="120"/>
        <w:outlineLvl w:val="0"/>
      </w:pPr>
      <w:r>
        <w:rPr>
          <w:rFonts w:ascii="Calibri" w:hAnsi="Calibri"/>
          <w:b/>
          <w:color w:val="003087"/>
          <w:sz w:val="28"/>
        </w:rPr>
        <w:t>18. Administrator Operations</w:t>
      </w:r>
    </w:p>
    <w:p>
      <w:pPr>
        <w:pStyle w:val="Heading2"/>
        <w:keepNext/>
        <w:spacing w:before="200" w:after="120"/>
        <w:outlineLvl w:val="1"/>
      </w:pPr>
      <w:r>
        <w:rPr>
          <w:rFonts w:ascii="Calibri" w:hAnsi="Calibri"/>
          <w:b/>
          <w:color w:val="003087"/>
          <w:sz w:val="25"/>
        </w:rPr>
        <w:t>18.1 What administrators monitor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Area</w:t>
            </w:r>
          </w:p>
        </w:tc>
        <w:tc>
          <w:tcPr>
            <w:tcW w:type="dxa" w:w="3120"/>
            <w:shd w:val="clear" w:color="auto" w:fill="003087"/>
          </w:tcPr>
          <w:p>
            <w:pPr>
              <w:spacing w:after="40" w:before="40"/>
            </w:pPr>
            <w:r>
              <w:rPr>
                <w:rFonts w:ascii="Calibri" w:hAnsi="Calibri"/>
                <w:b/>
                <w:color w:val="FFFFFF"/>
                <w:sz w:val="20"/>
              </w:rPr>
              <w:t>Where</w:t>
            </w:r>
          </w:p>
        </w:tc>
        <w:tc>
          <w:tcPr>
            <w:tcW w:type="dxa" w:w="3120"/>
            <w:shd w:val="clear" w:color="auto" w:fill="003087"/>
          </w:tcPr>
          <w:p>
            <w:pPr>
              <w:spacing w:after="40" w:before="40"/>
            </w:pPr>
            <w:r>
              <w:rPr>
                <w:rFonts w:ascii="Calibri" w:hAnsi="Calibri"/>
                <w:b/>
                <w:color w:val="FFFFFF"/>
                <w:sz w:val="20"/>
              </w:rPr>
              <w:t>Healthy looks like</w:t>
            </w:r>
          </w:p>
        </w:tc>
      </w:tr>
      <w:tr>
        <w:tc>
          <w:tcPr>
            <w:tcW w:type="dxa" w:w="3120"/>
          </w:tcPr>
          <w:p>
            <w:pPr>
              <w:spacing w:after="40" w:before="40"/>
            </w:pPr>
            <w:r>
              <w:rPr>
                <w:rFonts w:ascii="Calibri" w:hAnsi="Calibri"/>
                <w:b/>
                <w:color w:val="000000"/>
                <w:sz w:val="20"/>
              </w:rPr>
              <w:t>Application health</w:t>
            </w:r>
          </w:p>
        </w:tc>
        <w:tc>
          <w:tcPr>
            <w:tcW w:type="dxa" w:w="3120"/>
          </w:tcPr>
          <w:p>
            <w:pPr>
              <w:spacing w:after="40" w:before="40"/>
            </w:pPr>
            <w:r>
              <w:rPr>
                <w:rFonts w:ascii="Consolas" w:hAnsi="Consolas"/>
                <w:color w:val="000000"/>
                <w:sz w:val="20"/>
              </w:rPr>
              <w:t>/health</w:t>
            </w:r>
          </w:p>
        </w:tc>
        <w:tc>
          <w:tcPr>
            <w:tcW w:type="dxa" w:w="3120"/>
          </w:tcPr>
          <w:p>
            <w:pPr>
              <w:spacing w:after="40" w:before="40"/>
            </w:pPr>
            <w:r>
              <w:rPr>
                <w:rFonts w:ascii="Consolas" w:hAnsi="Consolas"/>
                <w:color w:val="000000"/>
                <w:sz w:val="20"/>
              </w:rPr>
              <w:t>status: healthy</w:t>
            </w:r>
            <w:r>
              <w:rPr>
                <w:rFonts w:ascii="Calibri" w:hAnsi="Calibri"/>
                <w:b w:val="0"/>
                <w:color w:val="000000"/>
                <w:sz w:val="20"/>
              </w:rPr>
              <w:t>, expected version, modules active</w:t>
            </w:r>
          </w:p>
        </w:tc>
      </w:tr>
      <w:tr>
        <w:tc>
          <w:tcPr>
            <w:tcW w:type="dxa" w:w="3120"/>
            <w:shd w:val="clear" w:color="auto" w:fill="F2F5FA"/>
          </w:tcPr>
          <w:p>
            <w:pPr>
              <w:spacing w:after="40" w:before="40"/>
            </w:pPr>
            <w:r>
              <w:rPr>
                <w:rFonts w:ascii="Calibri" w:hAnsi="Calibri"/>
                <w:b/>
                <w:color w:val="000000"/>
                <w:sz w:val="20"/>
              </w:rPr>
              <w:t>Connector health</w:t>
            </w:r>
          </w:p>
        </w:tc>
        <w:tc>
          <w:tcPr>
            <w:tcW w:type="dxa" w:w="3120"/>
            <w:shd w:val="clear" w:color="auto" w:fill="F2F5FA"/>
          </w:tcPr>
          <w:p>
            <w:pPr>
              <w:spacing w:after="40" w:before="40"/>
            </w:pPr>
            <w:r>
              <w:rPr>
                <w:rFonts w:ascii="Calibri" w:hAnsi="Calibri"/>
                <w:b w:val="0"/>
                <w:color w:val="000000"/>
                <w:sz w:val="20"/>
              </w:rPr>
              <w:t xml:space="preserve">Connectors page; </w:t>
            </w:r>
            <w:r>
              <w:rPr>
                <w:rFonts w:ascii="Consolas" w:hAnsi="Consolas"/>
                <w:color w:val="000000"/>
                <w:sz w:val="20"/>
              </w:rPr>
              <w:t>/api/tefca/status</w:t>
            </w:r>
          </w:p>
        </w:tc>
        <w:tc>
          <w:tcPr>
            <w:tcW w:type="dxa" w:w="3120"/>
            <w:shd w:val="clear" w:color="auto" w:fill="F2F5FA"/>
          </w:tcPr>
          <w:p>
            <w:pPr>
              <w:spacing w:after="40" w:before="40"/>
            </w:pPr>
            <w:r>
              <w:rPr>
                <w:rFonts w:ascii="Calibri" w:hAnsi="Calibri"/>
                <w:b w:val="0"/>
                <w:color w:val="000000"/>
                <w:sz w:val="20"/>
              </w:rPr>
              <w:t>NPPES and LEIE live; the enrollment indicator live; SAM currently unavailable and expected to be</w:t>
            </w:r>
          </w:p>
        </w:tc>
      </w:tr>
      <w:tr>
        <w:tc>
          <w:tcPr>
            <w:tcW w:type="dxa" w:w="3120"/>
          </w:tcPr>
          <w:p>
            <w:pPr>
              <w:spacing w:after="40" w:before="40"/>
            </w:pPr>
            <w:r>
              <w:rPr>
                <w:rFonts w:ascii="Calibri" w:hAnsi="Calibri"/>
                <w:b/>
                <w:color w:val="000000"/>
                <w:sz w:val="20"/>
              </w:rPr>
              <w:t>Data provenance</w:t>
            </w:r>
          </w:p>
        </w:tc>
        <w:tc>
          <w:tcPr>
            <w:tcW w:type="dxa" w:w="3120"/>
          </w:tcPr>
          <w:p>
            <w:pPr>
              <w:spacing w:after="40" w:before="40"/>
            </w:pPr>
            <w:r>
              <w:rPr>
                <w:rFonts w:ascii="Consolas" w:hAnsi="Consolas"/>
                <w:color w:val="000000"/>
                <w:sz w:val="20"/>
              </w:rPr>
              <w:t>/api/tefca/status</w:t>
            </w:r>
          </w:p>
        </w:tc>
        <w:tc>
          <w:tcPr>
            <w:tcW w:type="dxa" w:w="3120"/>
          </w:tcPr>
          <w:p>
            <w:pPr>
              <w:spacing w:after="40" w:before="40"/>
            </w:pPr>
            <w:r>
              <w:rPr>
                <w:rFonts w:ascii="Calibri" w:hAnsi="Calibri"/>
                <w:b w:val="0"/>
                <w:color w:val="000000"/>
                <w:sz w:val="20"/>
              </w:rPr>
              <w:t>Shows the current data-source label — confirm whether the demonstration stamp is still in force</w:t>
            </w:r>
          </w:p>
        </w:tc>
      </w:tr>
      <w:tr>
        <w:tc>
          <w:tcPr>
            <w:tcW w:type="dxa" w:w="3120"/>
            <w:shd w:val="clear" w:color="auto" w:fill="F2F5FA"/>
          </w:tcPr>
          <w:p>
            <w:pPr>
              <w:spacing w:after="40" w:before="40"/>
            </w:pPr>
            <w:r>
              <w:rPr>
                <w:rFonts w:ascii="Calibri" w:hAnsi="Calibri"/>
                <w:b/>
                <w:color w:val="000000"/>
                <w:sz w:val="20"/>
              </w:rPr>
              <w:t>USPS integration</w:t>
            </w:r>
          </w:p>
        </w:tc>
        <w:tc>
          <w:tcPr>
            <w:tcW w:type="dxa" w:w="3120"/>
            <w:shd w:val="clear" w:color="auto" w:fill="F2F5FA"/>
          </w:tcPr>
          <w:p>
            <w:pPr>
              <w:spacing w:after="40" w:before="40"/>
            </w:pPr>
            <w:r>
              <w:rPr>
                <w:rFonts w:ascii="Consolas" w:hAnsi="Consolas"/>
                <w:color w:val="000000"/>
                <w:sz w:val="20"/>
              </w:rPr>
              <w:t>/api/v1/usps/metrics</w:t>
            </w:r>
            <w:r>
              <w:rPr>
                <w:rFonts w:ascii="Calibri" w:hAnsi="Calibri"/>
                <w:b w:val="0"/>
                <w:color w:val="000000"/>
                <w:sz w:val="20"/>
              </w:rPr>
              <w:t xml:space="preserve"> (admin only)</w:t>
            </w:r>
          </w:p>
        </w:tc>
        <w:tc>
          <w:tcPr>
            <w:tcW w:type="dxa" w:w="3120"/>
            <w:shd w:val="clear" w:color="auto" w:fill="F2F5FA"/>
          </w:tcPr>
          <w:p>
            <w:pPr>
              <w:spacing w:after="40" w:before="40"/>
            </w:pPr>
            <w:r>
              <w:rPr>
                <w:rFonts w:ascii="Consolas" w:hAnsi="Consolas"/>
                <w:color w:val="000000"/>
                <w:sz w:val="20"/>
              </w:rPr>
              <w:t>configured: true</w:t>
            </w:r>
            <w:r>
              <w:rPr>
                <w:rFonts w:ascii="Calibri" w:hAnsi="Calibri"/>
                <w:b w:val="0"/>
                <w:color w:val="000000"/>
                <w:sz w:val="20"/>
              </w:rPr>
              <w:t xml:space="preserve">, circuit breaker </w:t>
            </w:r>
            <w:r>
              <w:rPr>
                <w:rFonts w:ascii="Consolas" w:hAnsi="Consolas"/>
                <w:color w:val="000000"/>
                <w:sz w:val="20"/>
              </w:rPr>
              <w:t>closed</w:t>
            </w:r>
            <w:r>
              <w:rPr>
                <w:rFonts w:ascii="Calibri" w:hAnsi="Calibri"/>
                <w:b w:val="0"/>
                <w:color w:val="000000"/>
                <w:sz w:val="20"/>
              </w:rPr>
              <w:t>, error rate low</w:t>
            </w:r>
          </w:p>
        </w:tc>
      </w:tr>
      <w:tr>
        <w:tc>
          <w:tcPr>
            <w:tcW w:type="dxa" w:w="3120"/>
          </w:tcPr>
          <w:p>
            <w:pPr>
              <w:spacing w:after="40" w:before="40"/>
            </w:pPr>
            <w:r>
              <w:rPr>
                <w:rFonts w:ascii="Calibri" w:hAnsi="Calibri"/>
                <w:b/>
                <w:color w:val="000000"/>
                <w:sz w:val="20"/>
              </w:rPr>
              <w:t>Bulletin news-provider budget</w:t>
            </w:r>
          </w:p>
        </w:tc>
        <w:tc>
          <w:tcPr>
            <w:tcW w:type="dxa" w:w="3120"/>
          </w:tcPr>
          <w:p>
            <w:pPr>
              <w:spacing w:after="40" w:before="40"/>
            </w:pPr>
            <w:r>
              <w:rPr>
                <w:rFonts w:ascii="Consolas" w:hAnsi="Consolas"/>
                <w:color w:val="000000"/>
                <w:sz w:val="20"/>
              </w:rPr>
              <w:t>/api/v1/bulletin/perigon/health</w:t>
            </w:r>
            <w:r>
              <w:rPr>
                <w:rFonts w:ascii="Calibri" w:hAnsi="Calibri"/>
                <w:b w:val="0"/>
                <w:color w:val="000000"/>
                <w:sz w:val="20"/>
              </w:rPr>
              <w:t xml:space="preserve"> (admin only)</w:t>
            </w:r>
          </w:p>
        </w:tc>
        <w:tc>
          <w:tcPr>
            <w:tcW w:type="dxa" w:w="3120"/>
          </w:tcPr>
          <w:p>
            <w:pPr>
              <w:spacing w:after="40" w:before="40"/>
            </w:pPr>
            <w:r>
              <w:rPr>
                <w:rFonts w:ascii="Calibri" w:hAnsi="Calibri"/>
                <w:b w:val="0"/>
                <w:color w:val="000000"/>
                <w:sz w:val="20"/>
              </w:rPr>
              <w:t>Budget remaining, provider enabled</w:t>
            </w:r>
          </w:p>
        </w:tc>
      </w:tr>
      <w:tr>
        <w:tc>
          <w:tcPr>
            <w:tcW w:type="dxa" w:w="3120"/>
            <w:shd w:val="clear" w:color="auto" w:fill="F2F5FA"/>
          </w:tcPr>
          <w:p>
            <w:pPr>
              <w:spacing w:after="40" w:before="40"/>
            </w:pPr>
            <w:r>
              <w:rPr>
                <w:rFonts w:ascii="Calibri" w:hAnsi="Calibri"/>
                <w:b/>
                <w:color w:val="000000"/>
                <w:sz w:val="20"/>
              </w:rPr>
              <w:t>Scheduler</w:t>
            </w:r>
          </w:p>
        </w:tc>
        <w:tc>
          <w:tcPr>
            <w:tcW w:type="dxa" w:w="3120"/>
            <w:shd w:val="clear" w:color="auto" w:fill="F2F5FA"/>
          </w:tcPr>
          <w:p>
            <w:pPr>
              <w:spacing w:after="40" w:before="40"/>
            </w:pPr>
            <w:r>
              <w:rPr>
                <w:rFonts w:ascii="Consolas" w:hAnsi="Consolas"/>
                <w:color w:val="000000"/>
                <w:sz w:val="20"/>
              </w:rPr>
              <w:t>/health</w:t>
            </w:r>
          </w:p>
        </w:tc>
        <w:tc>
          <w:tcPr>
            <w:tcW w:type="dxa" w:w="3120"/>
            <w:shd w:val="clear" w:color="auto" w:fill="F2F5FA"/>
          </w:tcPr>
          <w:p>
            <w:pPr>
              <w:spacing w:after="40" w:before="40"/>
            </w:pPr>
            <w:r>
              <w:rPr>
                <w:rFonts w:ascii="Calibri" w:hAnsi="Calibri"/>
                <w:b w:val="0"/>
                <w:color w:val="000000"/>
                <w:sz w:val="20"/>
              </w:rPr>
              <w:t>Scheduler running with the expected jobs and next-run times</w:t>
            </w:r>
          </w:p>
        </w:tc>
      </w:tr>
      <w:tr>
        <w:tc>
          <w:tcPr>
            <w:tcW w:type="dxa" w:w="3120"/>
          </w:tcPr>
          <w:p>
            <w:pPr>
              <w:spacing w:after="40" w:before="40"/>
            </w:pPr>
            <w:r>
              <w:rPr>
                <w:rFonts w:ascii="Calibri" w:hAnsi="Calibri"/>
                <w:b/>
                <w:color w:val="000000"/>
                <w:sz w:val="20"/>
              </w:rPr>
              <w:t>Review queues</w:t>
            </w:r>
          </w:p>
        </w:tc>
        <w:tc>
          <w:tcPr>
            <w:tcW w:type="dxa" w:w="3120"/>
          </w:tcPr>
          <w:p>
            <w:pPr>
              <w:spacing w:after="40" w:before="40"/>
            </w:pPr>
            <w:r>
              <w:rPr>
                <w:rFonts w:ascii="Calibri" w:hAnsi="Calibri"/>
                <w:b w:val="0"/>
                <w:color w:val="000000"/>
                <w:sz w:val="20"/>
              </w:rPr>
              <w:t>Mission Control</w:t>
            </w:r>
          </w:p>
        </w:tc>
        <w:tc>
          <w:tcPr>
            <w:tcW w:type="dxa" w:w="3120"/>
          </w:tcPr>
          <w:p>
            <w:pPr>
              <w:spacing w:after="40" w:before="40"/>
            </w:pPr>
            <w:r>
              <w:rPr>
                <w:rFonts w:ascii="Calibri" w:hAnsi="Calibri"/>
                <w:b w:val="0"/>
                <w:color w:val="000000"/>
                <w:sz w:val="20"/>
              </w:rPr>
              <w:t>Queue depth stable, overdue count low</w:t>
            </w:r>
          </w:p>
        </w:tc>
      </w:tr>
      <w:tr>
        <w:tc>
          <w:tcPr>
            <w:tcW w:type="dxa" w:w="3120"/>
            <w:shd w:val="clear" w:color="auto" w:fill="F2F5FA"/>
          </w:tcPr>
          <w:p>
            <w:pPr>
              <w:spacing w:after="40" w:before="40"/>
            </w:pPr>
            <w:r>
              <w:rPr>
                <w:rFonts w:ascii="Calibri" w:hAnsi="Calibri"/>
                <w:b/>
                <w:color w:val="000000"/>
                <w:sz w:val="20"/>
              </w:rPr>
              <w:t>QA gates</w:t>
            </w:r>
          </w:p>
        </w:tc>
        <w:tc>
          <w:tcPr>
            <w:tcW w:type="dxa" w:w="3120"/>
            <w:shd w:val="clear" w:color="auto" w:fill="F2F5FA"/>
          </w:tcPr>
          <w:p>
            <w:pPr>
              <w:spacing w:after="40" w:before="40"/>
            </w:pPr>
            <w:r>
              <w:rPr>
                <w:rFonts w:ascii="Calibri" w:hAnsi="Calibri"/>
                <w:b w:val="0"/>
                <w:color w:val="000000"/>
                <w:sz w:val="20"/>
              </w:rPr>
              <w:t>QA Operations</w:t>
            </w:r>
          </w:p>
        </w:tc>
        <w:tc>
          <w:tcPr>
            <w:tcW w:type="dxa" w:w="3120"/>
            <w:shd w:val="clear" w:color="auto" w:fill="F2F5FA"/>
          </w:tcPr>
          <w:p>
            <w:pPr>
              <w:spacing w:after="40" w:before="40"/>
            </w:pPr>
            <w:r>
              <w:rPr>
                <w:rFonts w:ascii="Calibri" w:hAnsi="Calibri"/>
                <w:b w:val="0"/>
                <w:color w:val="000000"/>
                <w:sz w:val="20"/>
              </w:rPr>
              <w:t>All gates passing; report gate green before deliverables</w:t>
            </w:r>
          </w:p>
        </w:tc>
      </w:tr>
      <w:tr>
        <w:tc>
          <w:tcPr>
            <w:tcW w:type="dxa" w:w="3120"/>
          </w:tcPr>
          <w:p>
            <w:pPr>
              <w:spacing w:after="40" w:before="40"/>
            </w:pPr>
            <w:r>
              <w:rPr>
                <w:rFonts w:ascii="Calibri" w:hAnsi="Calibri"/>
                <w:b/>
                <w:color w:val="000000"/>
                <w:sz w:val="20"/>
              </w:rPr>
              <w:t>Failed verifications</w:t>
            </w:r>
          </w:p>
        </w:tc>
        <w:tc>
          <w:tcPr>
            <w:tcW w:type="dxa" w:w="3120"/>
          </w:tcPr>
          <w:p>
            <w:pPr>
              <w:spacing w:after="40" w:before="40"/>
            </w:pPr>
            <w:r>
              <w:rPr>
                <w:rFonts w:ascii="Calibri" w:hAnsi="Calibri"/>
                <w:b w:val="0"/>
                <w:color w:val="000000"/>
                <w:sz w:val="20"/>
              </w:rPr>
              <w:t>Findings; connector logs</w:t>
            </w:r>
          </w:p>
        </w:tc>
        <w:tc>
          <w:tcPr>
            <w:tcW w:type="dxa" w:w="3120"/>
          </w:tcPr>
          <w:p>
            <w:pPr>
              <w:spacing w:after="40" w:before="40"/>
            </w:pPr>
            <w:r>
              <w:rPr>
                <w:rFonts w:ascii="Calibri" w:hAnsi="Calibri"/>
                <w:b w:val="0"/>
                <w:color w:val="000000"/>
                <w:sz w:val="20"/>
              </w:rPr>
              <w:t>Failures attributable to a named source, not to the platform</w:t>
            </w:r>
          </w:p>
        </w:tc>
      </w:tr>
      <w:tr>
        <w:tc>
          <w:tcPr>
            <w:tcW w:type="dxa" w:w="3120"/>
            <w:shd w:val="clear" w:color="auto" w:fill="F2F5FA"/>
          </w:tcPr>
          <w:p>
            <w:pPr>
              <w:spacing w:after="40" w:before="40"/>
            </w:pPr>
            <w:r>
              <w:rPr>
                <w:rFonts w:ascii="Calibri" w:hAnsi="Calibri"/>
                <w:b/>
                <w:color w:val="000000"/>
                <w:sz w:val="20"/>
              </w:rPr>
              <w:t>User access</w:t>
            </w:r>
          </w:p>
        </w:tc>
        <w:tc>
          <w:tcPr>
            <w:tcW w:type="dxa" w:w="3120"/>
            <w:shd w:val="clear" w:color="auto" w:fill="F2F5FA"/>
          </w:tcPr>
          <w:p>
            <w:pPr>
              <w:spacing w:after="40" w:before="40"/>
            </w:pPr>
            <w:r>
              <w:rPr>
                <w:rFonts w:ascii="Calibri" w:hAnsi="Calibri"/>
                <w:b w:val="0"/>
                <w:color w:val="000000"/>
                <w:sz w:val="20"/>
              </w:rPr>
              <w:t>Admin → Users</w:t>
            </w:r>
          </w:p>
        </w:tc>
        <w:tc>
          <w:tcPr>
            <w:tcW w:type="dxa" w:w="3120"/>
            <w:shd w:val="clear" w:color="auto" w:fill="F2F5FA"/>
          </w:tcPr>
          <w:p>
            <w:pPr>
              <w:spacing w:after="40" w:before="40"/>
            </w:pPr>
            <w:r>
              <w:rPr>
                <w:rFonts w:ascii="Calibri" w:hAnsi="Calibri"/>
                <w:b w:val="0"/>
                <w:color w:val="000000"/>
                <w:sz w:val="20"/>
              </w:rPr>
              <w:t>No unapproved or stale accounts</w:t>
            </w:r>
          </w:p>
        </w:tc>
      </w:tr>
      <w:tr>
        <w:tc>
          <w:tcPr>
            <w:tcW w:type="dxa" w:w="3120"/>
          </w:tcPr>
          <w:p>
            <w:pPr>
              <w:spacing w:after="40" w:before="40"/>
            </w:pPr>
            <w:r>
              <w:rPr>
                <w:rFonts w:ascii="Calibri" w:hAnsi="Calibri"/>
                <w:b/>
                <w:color w:val="000000"/>
                <w:sz w:val="20"/>
              </w:rPr>
              <w:t>Audit log</w:t>
            </w:r>
          </w:p>
        </w:tc>
        <w:tc>
          <w:tcPr>
            <w:tcW w:type="dxa" w:w="3120"/>
          </w:tcPr>
          <w:p>
            <w:pPr>
              <w:spacing w:after="40" w:before="40"/>
            </w:pPr>
            <w:r>
              <w:rPr>
                <w:rFonts w:ascii="Calibri" w:hAnsi="Calibri"/>
                <w:b w:val="0"/>
                <w:color w:val="000000"/>
                <w:sz w:val="20"/>
              </w:rPr>
              <w:t>Audit page; QA audit export</w:t>
            </w:r>
          </w:p>
        </w:tc>
        <w:tc>
          <w:tcPr>
            <w:tcW w:type="dxa" w:w="3120"/>
          </w:tcPr>
          <w:p>
            <w:pPr>
              <w:spacing w:after="40" w:before="40"/>
            </w:pPr>
            <w:r>
              <w:rPr>
                <w:rFonts w:ascii="Calibri" w:hAnsi="Calibri"/>
                <w:b w:val="0"/>
                <w:color w:val="000000"/>
                <w:sz w:val="20"/>
              </w:rPr>
              <w:t>Entries present and attributable</w:t>
            </w:r>
          </w:p>
        </w:tc>
      </w:tr>
      <w:tr>
        <w:tc>
          <w:tcPr>
            <w:tcW w:type="dxa" w:w="3120"/>
            <w:shd w:val="clear" w:color="auto" w:fill="F2F5FA"/>
          </w:tcPr>
          <w:p>
            <w:pPr>
              <w:spacing w:after="40" w:before="40"/>
            </w:pPr>
            <w:r>
              <w:rPr>
                <w:rFonts w:ascii="Calibri" w:hAnsi="Calibri"/>
                <w:b/>
                <w:color w:val="000000"/>
                <w:sz w:val="20"/>
              </w:rPr>
              <w:t>Security events</w:t>
            </w:r>
          </w:p>
        </w:tc>
        <w:tc>
          <w:tcPr>
            <w:tcW w:type="dxa" w:w="3120"/>
            <w:shd w:val="clear" w:color="auto" w:fill="F2F5FA"/>
          </w:tcPr>
          <w:p>
            <w:pPr>
              <w:spacing w:after="40" w:before="40"/>
            </w:pPr>
            <w:r>
              <w:rPr>
                <w:rFonts w:ascii="Calibri" w:hAnsi="Calibri"/>
                <w:b w:val="0"/>
                <w:color w:val="000000"/>
                <w:sz w:val="20"/>
              </w:rPr>
              <w:t>Azure Defender for Cloud</w:t>
            </w:r>
          </w:p>
        </w:tc>
        <w:tc>
          <w:tcPr>
            <w:tcW w:type="dxa" w:w="3120"/>
            <w:shd w:val="clear" w:color="auto" w:fill="F2F5FA"/>
          </w:tcPr>
          <w:p>
            <w:pPr>
              <w:spacing w:after="40" w:before="40"/>
            </w:pPr>
            <w:r>
              <w:rPr>
                <w:rFonts w:ascii="Calibri" w:hAnsi="Calibri"/>
                <w:b w:val="0"/>
                <w:color w:val="000000"/>
                <w:sz w:val="20"/>
              </w:rPr>
              <w:t>No open high-severity alerts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w:t>
            </w:r>
          </w:p>
          <w:p>
            <w:pPr>
              <w:spacing w:after="60" w:before="0"/>
            </w:pPr>
            <w:r>
              <w:rPr>
                <w:rFonts w:ascii="Consolas" w:hAnsi="Consolas"/>
                <w:color w:val="000000"/>
                <w:sz w:val="21"/>
              </w:rPr>
              <w:t>/api/v1/usps/metrics</w:t>
            </w:r>
            <w:r>
              <w:rPr>
                <w:rFonts w:ascii="Calibri" w:hAnsi="Calibri"/>
                <w:b w:val="0"/>
                <w:color w:val="000000"/>
                <w:sz w:val="21"/>
              </w:rPr>
              <w:t xml:space="preserve"> and </w:t>
            </w:r>
            <w:r>
              <w:rPr>
                <w:rFonts w:ascii="Consolas" w:hAnsi="Consolas"/>
                <w:color w:val="000000"/>
                <w:sz w:val="21"/>
              </w:rPr>
              <w:t>/api/v1/bulletin/perigon/health</w:t>
            </w:r>
            <w:r>
              <w:rPr>
                <w:rFonts w:ascii="Calibri" w:hAnsi="Calibri"/>
                <w:b w:val="0"/>
                <w:color w:val="000000"/>
                <w:sz w:val="21"/>
              </w:rPr>
              <w:t xml:space="preserve"> require an administrator session. A 401 from an unauthenticated call is the expected response, not a fault.</w:t>
            </w:r>
          </w:p>
          <w:p>
            <w:pPr>
              <w:spacing w:after="0" w:before="0"/>
            </w:pPr>
            <w:r>
              <w:rPr>
                <w:rFonts w:ascii="Calibri" w:hAnsi="Calibri"/>
                <w:b w:val="0"/>
                <w:color w:val="000000"/>
                <w:sz w:val="21"/>
              </w:rPr>
              <w:t>The USPS metrics endpoint is deliberately read-only. There is no control to reset the circuit breaker or zero the counters — a breaker an operator can force closed is a breaker that gets forced closed during the incident it exists to contain. It reopens on its own cooldown or on a successful probe.</w:t>
            </w:r>
          </w:p>
        </w:tc>
      </w:tr>
    </w:tbl>
    <w:p>
      <w:pPr>
        <w:spacing w:after="80"/>
      </w:pPr>
    </w:p>
    <w:p>
      <w:pPr>
        <w:pStyle w:val="Heading2"/>
        <w:keepNext/>
        <w:spacing w:before="200" w:after="120"/>
        <w:outlineLvl w:val="1"/>
      </w:pPr>
      <w:r>
        <w:rPr>
          <w:rFonts w:ascii="Calibri" w:hAnsi="Calibri"/>
          <w:b/>
          <w:color w:val="003087"/>
          <w:sz w:val="25"/>
        </w:rPr>
        <w:t>18.2 Daily checklist</w:t>
      </w:r>
    </w:p>
    <w:p>
      <w:pPr>
        <w:pStyle w:val="ListBullet"/>
        <w:spacing w:after="40"/>
      </w:pPr>
      <w:r>
        <w:rPr>
          <w:rFonts w:ascii="Consolas" w:hAnsi="Consolas"/>
          <w:color w:val="000000"/>
          <w:sz w:val="21"/>
        </w:rPr>
        <w:t>/health</w:t>
      </w:r>
      <w:r>
        <w:rPr>
          <w:rFonts w:ascii="Calibri" w:hAnsi="Calibri"/>
          <w:b w:val="0"/>
          <w:color w:val="000000"/>
          <w:sz w:val="21"/>
        </w:rPr>
        <w:t xml:space="preserve"> returns healthy, with the expected version</w:t>
      </w:r>
    </w:p>
    <w:p>
      <w:pPr>
        <w:pStyle w:val="ListBullet"/>
        <w:spacing w:after="40"/>
      </w:pPr>
      <w:r>
        <w:rPr>
          <w:rFonts w:ascii="Calibri" w:hAnsi="Calibri"/>
          <w:b w:val="0"/>
          <w:color w:val="000000"/>
          <w:sz w:val="21"/>
        </w:rPr>
        <w:t>Connector health reviewed; any change from the known baseline investigated</w:t>
      </w:r>
    </w:p>
    <w:p>
      <w:pPr>
        <w:pStyle w:val="ListBullet"/>
        <w:spacing w:after="40"/>
      </w:pPr>
      <w:r>
        <w:rPr>
          <w:rFonts w:ascii="Calibri" w:hAnsi="Calibri"/>
          <w:b w:val="0"/>
          <w:color w:val="000000"/>
          <w:sz w:val="21"/>
        </w:rPr>
        <w:t>Data-provenance label checked — is the platform still in demonstration mode?</w:t>
      </w:r>
    </w:p>
    <w:p>
      <w:pPr>
        <w:pStyle w:val="ListBullet"/>
        <w:spacing w:after="40"/>
      </w:pPr>
      <w:r>
        <w:rPr>
          <w:rFonts w:ascii="Calibri" w:hAnsi="Calibri"/>
          <w:b w:val="0"/>
          <w:color w:val="000000"/>
          <w:sz w:val="21"/>
        </w:rPr>
        <w:t>USPS metrics reviewed: configured, circuit breaker closed, error rate acceptable</w:t>
      </w:r>
    </w:p>
    <w:p>
      <w:pPr>
        <w:pStyle w:val="ListBullet"/>
        <w:spacing w:after="40"/>
      </w:pPr>
      <w:r>
        <w:rPr>
          <w:rFonts w:ascii="Calibri" w:hAnsi="Calibri"/>
          <w:b w:val="0"/>
          <w:color w:val="000000"/>
          <w:sz w:val="21"/>
        </w:rPr>
        <w:t>Scheduler running with the expected next-run times</w:t>
      </w:r>
    </w:p>
    <w:p>
      <w:pPr>
        <w:pStyle w:val="ListBullet"/>
        <w:spacing w:after="40"/>
      </w:pPr>
      <w:r>
        <w:rPr>
          <w:rFonts w:ascii="Calibri" w:hAnsi="Calibri"/>
          <w:b w:val="0"/>
          <w:color w:val="000000"/>
          <w:sz w:val="21"/>
        </w:rPr>
        <w:t>Mission Control Notifications panel empty, or every alert triaged</w:t>
      </w:r>
    </w:p>
    <w:p>
      <w:pPr>
        <w:pStyle w:val="ListBullet"/>
        <w:spacing w:after="40"/>
      </w:pPr>
      <w:r>
        <w:rPr>
          <w:rFonts w:ascii="Calibri" w:hAnsi="Calibri"/>
          <w:b w:val="0"/>
          <w:color w:val="000000"/>
          <w:sz w:val="21"/>
        </w:rPr>
        <w:t>Overdue review count reviewed and reported if rising</w:t>
      </w:r>
    </w:p>
    <w:p>
      <w:pPr>
        <w:pStyle w:val="ListBullet"/>
        <w:spacing w:after="40"/>
      </w:pPr>
      <w:r>
        <w:rPr>
          <w:rFonts w:ascii="Calibri" w:hAnsi="Calibri"/>
          <w:b w:val="0"/>
          <w:color w:val="000000"/>
          <w:sz w:val="21"/>
        </w:rPr>
        <w:t>No unapproved user accounts awaiting action</w:t>
      </w:r>
    </w:p>
    <w:p>
      <w:pPr>
        <w:pStyle w:val="ListBullet"/>
        <w:spacing w:after="40"/>
      </w:pPr>
      <w:r>
        <w:rPr>
          <w:rFonts w:ascii="Calibri" w:hAnsi="Calibri"/>
          <w:b w:val="0"/>
          <w:color w:val="000000"/>
          <w:sz w:val="21"/>
        </w:rPr>
        <w:t>No new high-severity security alerts</w:t>
      </w:r>
    </w:p>
    <w:p>
      <w:pPr>
        <w:pStyle w:val="ListBullet"/>
        <w:spacing w:after="40"/>
      </w:pPr>
      <w:r>
        <w:rPr>
          <w:rFonts w:ascii="Calibri" w:hAnsi="Calibri"/>
          <w:b w:val="0"/>
          <w:color w:val="000000"/>
          <w:sz w:val="21"/>
        </w:rPr>
        <w:t>Failed integrations from the previous 24 hours reviewed and attributed</w:t>
      </w:r>
    </w:p>
    <w:p>
      <w:pPr>
        <w:pStyle w:val="Heading2"/>
        <w:keepNext/>
        <w:spacing w:before="200" w:after="120"/>
        <w:outlineLvl w:val="1"/>
      </w:pPr>
      <w:r>
        <w:rPr>
          <w:rFonts w:ascii="Calibri" w:hAnsi="Calibri"/>
          <w:b/>
          <w:color w:val="003087"/>
          <w:sz w:val="25"/>
        </w:rPr>
        <w:t>18.3 Weekly checklist</w:t>
      </w:r>
    </w:p>
    <w:p>
      <w:pPr>
        <w:pStyle w:val="ListBullet"/>
        <w:spacing w:after="40"/>
      </w:pPr>
      <w:r>
        <w:rPr>
          <w:rFonts w:ascii="Calibri" w:hAnsi="Calibri"/>
          <w:b w:val="0"/>
          <w:color w:val="000000"/>
          <w:sz w:val="21"/>
        </w:rPr>
        <w:t>User access reviewed — every account still required, every role still appropriate</w:t>
      </w:r>
    </w:p>
    <w:p>
      <w:pPr>
        <w:pStyle w:val="ListBullet"/>
        <w:spacing w:after="40"/>
      </w:pPr>
      <w:r>
        <w:rPr>
          <w:rFonts w:ascii="Calibri" w:hAnsi="Calibri"/>
          <w:b w:val="0"/>
          <w:color w:val="000000"/>
          <w:sz w:val="21"/>
        </w:rPr>
        <w:t>Accounts for departed staff disabled</w:t>
      </w:r>
    </w:p>
    <w:p>
      <w:pPr>
        <w:pStyle w:val="ListBullet"/>
        <w:spacing w:after="40"/>
      </w:pPr>
      <w:r>
        <w:rPr>
          <w:rFonts w:ascii="Calibri" w:hAnsi="Calibri"/>
          <w:b w:val="0"/>
          <w:color w:val="000000"/>
          <w:sz w:val="21"/>
        </w:rPr>
        <w:t>Role assignments reconciled against duty, including the specialized roles configured outside the interface</w:t>
      </w:r>
    </w:p>
    <w:p>
      <w:pPr>
        <w:pStyle w:val="ListBullet"/>
        <w:spacing w:after="40"/>
      </w:pPr>
      <w:r>
        <w:rPr>
          <w:rFonts w:ascii="Calibri" w:hAnsi="Calibri"/>
          <w:b w:val="0"/>
          <w:color w:val="000000"/>
          <w:sz w:val="21"/>
        </w:rPr>
        <w:t>Audit log reviewed for unexpected patterns — bulk changes, unusual hours, repeated permission denials</w:t>
      </w:r>
    </w:p>
    <w:p>
      <w:pPr>
        <w:pStyle w:val="ListBullet"/>
        <w:spacing w:after="40"/>
      </w:pPr>
      <w:r>
        <w:rPr>
          <w:rFonts w:ascii="Calibri" w:hAnsi="Calibri"/>
          <w:b w:val="0"/>
          <w:color w:val="000000"/>
          <w:sz w:val="21"/>
        </w:rPr>
        <w:t>Connector error trends reviewed across the week, not just point-in-time</w:t>
      </w:r>
    </w:p>
    <w:p>
      <w:pPr>
        <w:pStyle w:val="ListBullet"/>
        <w:spacing w:after="40"/>
      </w:pPr>
      <w:r>
        <w:rPr>
          <w:rFonts w:ascii="Calibri" w:hAnsi="Calibri"/>
          <w:b w:val="0"/>
          <w:color w:val="000000"/>
          <w:sz w:val="21"/>
        </w:rPr>
        <w:t>Import history reviewed — every batch accounted for</w:t>
      </w:r>
    </w:p>
    <w:p>
      <w:pPr>
        <w:pStyle w:val="ListBullet"/>
        <w:spacing w:after="40"/>
      </w:pPr>
      <w:r>
        <w:rPr>
          <w:rFonts w:ascii="Calibri" w:hAnsi="Calibri"/>
          <w:b w:val="0"/>
          <w:color w:val="000000"/>
          <w:sz w:val="21"/>
        </w:rPr>
        <w:t>QA gate history reviewed for repeated failures</w:t>
      </w:r>
    </w:p>
    <w:p>
      <w:pPr>
        <w:pStyle w:val="ListBullet"/>
        <w:spacing w:after="40"/>
      </w:pPr>
      <w:r>
        <w:rPr>
          <w:rFonts w:ascii="Calibri" w:hAnsi="Calibri"/>
          <w:b w:val="0"/>
          <w:color w:val="000000"/>
          <w:sz w:val="21"/>
        </w:rPr>
        <w:t>SLA bands reviewed; systemic overdue investigated</w:t>
      </w:r>
    </w:p>
    <w:p>
      <w:pPr>
        <w:pStyle w:val="ListBullet"/>
        <w:spacing w:after="40"/>
      </w:pPr>
      <w:r>
        <w:rPr>
          <w:rFonts w:ascii="Calibri" w:hAnsi="Calibri"/>
          <w:b w:val="0"/>
          <w:color w:val="000000"/>
          <w:sz w:val="21"/>
        </w:rPr>
        <w:t>Backup and restore state confirmed</w:t>
      </w:r>
    </w:p>
    <w:p>
      <w:pPr>
        <w:pStyle w:val="ListBullet"/>
        <w:spacing w:after="40"/>
      </w:pPr>
      <w:r>
        <w:rPr>
          <w:rFonts w:ascii="Calibri" w:hAnsi="Calibri"/>
          <w:b w:val="0"/>
          <w:color w:val="000000"/>
          <w:sz w:val="21"/>
        </w:rPr>
        <w:t>Dependency and security scan results reviewed</w:t>
      </w:r>
    </w:p>
    <w:p>
      <w:pPr>
        <w:pStyle w:val="Heading2"/>
        <w:keepNext/>
        <w:spacing w:before="200" w:after="120"/>
        <w:outlineLvl w:val="1"/>
      </w:pPr>
      <w:r>
        <w:rPr>
          <w:rFonts w:ascii="Calibri" w:hAnsi="Calibri"/>
          <w:b/>
          <w:color w:val="003087"/>
          <w:sz w:val="25"/>
        </w:rPr>
        <w:t>18.4 Monthly checklist</w:t>
      </w:r>
    </w:p>
    <w:p>
      <w:pPr>
        <w:pStyle w:val="ListBullet"/>
        <w:spacing w:after="40"/>
      </w:pPr>
      <w:r>
        <w:rPr>
          <w:rFonts w:ascii="Calibri" w:hAnsi="Calibri"/>
          <w:b w:val="0"/>
          <w:color w:val="000000"/>
          <w:sz w:val="21"/>
        </w:rPr>
        <w:t>Full access recertification — every user, every role, documented</w:t>
      </w:r>
    </w:p>
    <w:p>
      <w:pPr>
        <w:pStyle w:val="ListBullet"/>
        <w:spacing w:after="40"/>
      </w:pPr>
      <w:r>
        <w:rPr>
          <w:rFonts w:ascii="Calibri" w:hAnsi="Calibri"/>
          <w:b w:val="0"/>
          <w:color w:val="000000"/>
          <w:sz w:val="21"/>
        </w:rPr>
        <w:t>Audit retention and volume reviewed</w:t>
      </w:r>
    </w:p>
    <w:p>
      <w:pPr>
        <w:pStyle w:val="ListBullet"/>
        <w:spacing w:after="40"/>
      </w:pPr>
      <w:r>
        <w:rPr>
          <w:rFonts w:ascii="Calibri" w:hAnsi="Calibri"/>
          <w:b w:val="0"/>
          <w:color w:val="000000"/>
          <w:sz w:val="21"/>
        </w:rPr>
        <w:t>Connector availability reported as a monthly figure</w:t>
      </w:r>
    </w:p>
    <w:p>
      <w:pPr>
        <w:pStyle w:val="ListBullet"/>
        <w:spacing w:after="40"/>
      </w:pPr>
      <w:r>
        <w:rPr>
          <w:rFonts w:ascii="Calibri" w:hAnsi="Calibri"/>
          <w:b w:val="0"/>
          <w:color w:val="000000"/>
          <w:sz w:val="21"/>
        </w:rPr>
        <w:t>Upstream source issues reviewed with the COR where they affect delivery — currently SAM.gov</w:t>
      </w:r>
    </w:p>
    <w:p>
      <w:pPr>
        <w:pStyle w:val="ListBullet"/>
        <w:spacing w:after="40"/>
      </w:pPr>
      <w:r>
        <w:rPr>
          <w:rFonts w:ascii="Calibri" w:hAnsi="Calibri"/>
          <w:b w:val="0"/>
          <w:color w:val="000000"/>
          <w:sz w:val="21"/>
        </w:rPr>
        <w:t>Outstanding configuration gaps reviewed: entity-data key, RCE, IQVIA</w:t>
      </w:r>
    </w:p>
    <w:p>
      <w:pPr>
        <w:pStyle w:val="ListBullet"/>
        <w:spacing w:after="40"/>
      </w:pPr>
      <w:r>
        <w:rPr>
          <w:rFonts w:ascii="Calibri" w:hAnsi="Calibri"/>
          <w:b w:val="0"/>
          <w:color w:val="000000"/>
          <w:sz w:val="21"/>
        </w:rPr>
        <w:t>Classification rule versions reviewed; changes documented</w:t>
      </w:r>
    </w:p>
    <w:p>
      <w:pPr>
        <w:pStyle w:val="ListBullet"/>
        <w:spacing w:after="40"/>
      </w:pPr>
      <w:r>
        <w:rPr>
          <w:rFonts w:ascii="Calibri" w:hAnsi="Calibri"/>
          <w:b w:val="0"/>
          <w:color w:val="000000"/>
          <w:sz w:val="21"/>
        </w:rPr>
        <w:t>Incident and change records reconciled</w:t>
      </w:r>
    </w:p>
    <w:p>
      <w:pPr>
        <w:pStyle w:val="ListBullet"/>
        <w:spacing w:after="40"/>
      </w:pPr>
      <w:r>
        <w:rPr>
          <w:rFonts w:ascii="Calibri" w:hAnsi="Calibri"/>
          <w:b w:val="0"/>
          <w:color w:val="000000"/>
          <w:sz w:val="21"/>
        </w:rPr>
        <w:t>Disaster-recovery procedure reviewed; restoration rehearsal considered</w:t>
      </w:r>
    </w:p>
    <w:p>
      <w:pPr>
        <w:pStyle w:val="ListBullet"/>
        <w:spacing w:after="40"/>
      </w:pPr>
      <w:r>
        <w:rPr>
          <w:rFonts w:ascii="Calibri" w:hAnsi="Calibri"/>
          <w:b w:val="0"/>
          <w:color w:val="000000"/>
          <w:sz w:val="21"/>
        </w:rPr>
        <w:t>Open security and compliance enhancement items reviewed, including database-level audit tamper evidence (Section 19)</w:t>
      </w:r>
    </w:p>
    <w:p>
      <w:pPr>
        <w:pStyle w:val="Heading2"/>
        <w:keepNext/>
        <w:spacing w:before="200" w:after="120"/>
        <w:outlineLvl w:val="1"/>
      </w:pPr>
      <w:r>
        <w:rPr>
          <w:rFonts w:ascii="Calibri" w:hAnsi="Calibri"/>
          <w:b/>
          <w:color w:val="003087"/>
          <w:sz w:val="25"/>
        </w:rPr>
        <w:t>18.5 What administrators must not do</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PROHIBITED</w:t>
            </w:r>
          </w:p>
          <w:p>
            <w:pPr>
              <w:spacing w:after="60" w:before="0"/>
            </w:pPr>
            <w:r>
              <w:rPr>
                <w:rFonts w:ascii="Calibri" w:hAnsi="Calibri"/>
                <w:b w:val="0"/>
                <w:color w:val="000000"/>
                <w:sz w:val="21"/>
              </w:rPr>
              <w:t>Do not make entity review determinations using the administrator role. Administration and adjudication are separate duties, and combining them in one person removes the separation the audit trail depends on.</w:t>
            </w:r>
          </w:p>
          <w:p>
            <w:pPr>
              <w:spacing w:after="60" w:before="0"/>
            </w:pPr>
            <w:r>
              <w:rPr>
                <w:rFonts w:ascii="Calibri" w:hAnsi="Calibri"/>
                <w:b w:val="0"/>
                <w:color w:val="000000"/>
                <w:sz w:val="21"/>
              </w:rPr>
              <w:t>Do not alter entity data to resolve a finding.</w:t>
            </w:r>
          </w:p>
          <w:p>
            <w:pPr>
              <w:spacing w:after="60" w:before="0"/>
            </w:pPr>
            <w:r>
              <w:rPr>
                <w:rFonts w:ascii="Calibri" w:hAnsi="Calibri"/>
                <w:b w:val="0"/>
                <w:color w:val="000000"/>
                <w:sz w:val="21"/>
              </w:rPr>
              <w:t>Do not remove or suppress the demonstration-mode provenance stamp.</w:t>
            </w:r>
          </w:p>
          <w:p>
            <w:pPr>
              <w:spacing w:after="0" w:before="0"/>
            </w:pPr>
            <w:r>
              <w:rPr>
                <w:rFonts w:ascii="Calibri" w:hAnsi="Calibri"/>
                <w:b w:val="0"/>
                <w:color w:val="000000"/>
                <w:sz w:val="21"/>
              </w:rPr>
              <w:t>Do not disable a QA gate to unblock a deliverable.</w:t>
            </w:r>
          </w:p>
        </w:tc>
      </w:tr>
    </w:tbl>
    <w:p>
      <w:pPr>
        <w:spacing w:after="80"/>
      </w:pPr>
    </w:p>
    <w:p>
      <w:r>
        <w:br w:type="page"/>
      </w:r>
    </w:p>
    <w:p>
      <w:pPr>
        <w:pStyle w:val="Heading1"/>
        <w:keepNext/>
        <w:spacing w:before="280" w:after="120"/>
        <w:outlineLvl w:val="0"/>
      </w:pPr>
      <w:r>
        <w:rPr>
          <w:rFonts w:ascii="Calibri" w:hAnsi="Calibri"/>
          <w:b/>
          <w:color w:val="003087"/>
          <w:sz w:val="28"/>
        </w:rPr>
        <w:t>19. Audit and Traceability</w:t>
      </w:r>
    </w:p>
    <w:p>
      <w:pPr>
        <w:pStyle w:val="Heading2"/>
        <w:keepNext/>
        <w:spacing w:before="200" w:after="120"/>
        <w:outlineLvl w:val="1"/>
      </w:pPr>
      <w:r>
        <w:rPr>
          <w:rFonts w:ascii="Calibri" w:hAnsi="Calibri"/>
          <w:b/>
          <w:color w:val="003087"/>
          <w:sz w:val="25"/>
        </w:rPr>
        <w:t>19.1 What is logged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Event</w:t>
            </w:r>
          </w:p>
        </w:tc>
        <w:tc>
          <w:tcPr>
            <w:tcW w:type="dxa" w:w="4680"/>
            <w:shd w:val="clear" w:color="auto" w:fill="003087"/>
          </w:tcPr>
          <w:p>
            <w:pPr>
              <w:spacing w:after="40" w:before="40"/>
            </w:pPr>
            <w:r>
              <w:rPr>
                <w:rFonts w:ascii="Calibri" w:hAnsi="Calibri"/>
                <w:b/>
                <w:color w:val="FFFFFF"/>
                <w:sz w:val="20"/>
              </w:rPr>
              <w:t>Recorded</w:t>
            </w:r>
          </w:p>
        </w:tc>
      </w:tr>
      <w:tr>
        <w:tc>
          <w:tcPr>
            <w:tcW w:type="dxa" w:w="4680"/>
          </w:tcPr>
          <w:p>
            <w:pPr>
              <w:spacing w:after="40" w:before="40"/>
            </w:pPr>
            <w:r>
              <w:rPr>
                <w:rFonts w:ascii="Calibri" w:hAnsi="Calibri"/>
                <w:b w:val="0"/>
                <w:color w:val="000000"/>
                <w:sz w:val="20"/>
              </w:rPr>
              <w:t>Entity created</w:t>
            </w:r>
          </w:p>
        </w:tc>
        <w:tc>
          <w:tcPr>
            <w:tcW w:type="dxa" w:w="4680"/>
          </w:tcPr>
          <w:p>
            <w:pPr>
              <w:spacing w:after="40" w:before="40"/>
            </w:pPr>
            <w:r>
              <w:rPr>
                <w:rFonts w:ascii="Calibri" w:hAnsi="Calibri"/>
                <w:b w:val="0"/>
                <w:color w:val="000000"/>
                <w:sz w:val="20"/>
              </w:rPr>
              <w:t>Actor, timestamp, entity</w:t>
            </w:r>
          </w:p>
        </w:tc>
      </w:tr>
      <w:tr>
        <w:tc>
          <w:tcPr>
            <w:tcW w:type="dxa" w:w="4680"/>
            <w:shd w:val="clear" w:color="auto" w:fill="F2F5FA"/>
          </w:tcPr>
          <w:p>
            <w:pPr>
              <w:spacing w:after="40" w:before="40"/>
            </w:pPr>
            <w:r>
              <w:rPr>
                <w:rFonts w:ascii="Calibri" w:hAnsi="Calibri"/>
                <w:b w:val="0"/>
                <w:color w:val="000000"/>
                <w:sz w:val="20"/>
              </w:rPr>
              <w:t>Entity updated</w:t>
            </w:r>
          </w:p>
        </w:tc>
        <w:tc>
          <w:tcPr>
            <w:tcW w:type="dxa" w:w="4680"/>
            <w:shd w:val="clear" w:color="auto" w:fill="F2F5FA"/>
          </w:tcPr>
          <w:p>
            <w:pPr>
              <w:spacing w:after="40" w:before="40"/>
            </w:pPr>
            <w:r>
              <w:rPr>
                <w:rFonts w:ascii="Calibri" w:hAnsi="Calibri"/>
                <w:b w:val="0"/>
                <w:color w:val="000000"/>
                <w:sz w:val="20"/>
              </w:rPr>
              <w:t>Actor, timestamp, entity</w:t>
            </w:r>
          </w:p>
        </w:tc>
      </w:tr>
      <w:tr>
        <w:tc>
          <w:tcPr>
            <w:tcW w:type="dxa" w:w="4680"/>
          </w:tcPr>
          <w:p>
            <w:pPr>
              <w:spacing w:after="40" w:before="40"/>
            </w:pPr>
            <w:r>
              <w:rPr>
                <w:rFonts w:ascii="Calibri" w:hAnsi="Calibri"/>
                <w:b w:val="0"/>
                <w:color w:val="000000"/>
                <w:sz w:val="20"/>
              </w:rPr>
              <w:t>Entity import</w:t>
            </w:r>
          </w:p>
        </w:tc>
        <w:tc>
          <w:tcPr>
            <w:tcW w:type="dxa" w:w="4680"/>
          </w:tcPr>
          <w:p>
            <w:pPr>
              <w:spacing w:after="40" w:before="40"/>
            </w:pPr>
            <w:r>
              <w:rPr>
                <w:rFonts w:ascii="Calibri" w:hAnsi="Calibri"/>
                <w:b w:val="0"/>
                <w:color w:val="000000"/>
                <w:sz w:val="20"/>
              </w:rPr>
              <w:t>Actor, batch, counts</w:t>
            </w:r>
          </w:p>
        </w:tc>
      </w:tr>
      <w:tr>
        <w:tc>
          <w:tcPr>
            <w:tcW w:type="dxa" w:w="4680"/>
            <w:shd w:val="clear" w:color="auto" w:fill="F2F5FA"/>
          </w:tcPr>
          <w:p>
            <w:pPr>
              <w:spacing w:after="40" w:before="40"/>
            </w:pPr>
            <w:r>
              <w:rPr>
                <w:rFonts w:ascii="Calibri" w:hAnsi="Calibri"/>
                <w:b w:val="0"/>
                <w:color w:val="000000"/>
                <w:sz w:val="20"/>
              </w:rPr>
              <w:t>Status changed</w:t>
            </w:r>
          </w:p>
        </w:tc>
        <w:tc>
          <w:tcPr>
            <w:tcW w:type="dxa" w:w="4680"/>
            <w:shd w:val="clear" w:color="auto" w:fill="F2F5FA"/>
          </w:tcPr>
          <w:p>
            <w:pPr>
              <w:spacing w:after="40" w:before="40"/>
            </w:pPr>
            <w:r>
              <w:rPr>
                <w:rFonts w:ascii="Calibri" w:hAnsi="Calibri"/>
                <w:b w:val="0"/>
                <w:color w:val="000000"/>
                <w:sz w:val="20"/>
              </w:rPr>
              <w:t>Actor, from-state, to-state</w:t>
            </w:r>
          </w:p>
        </w:tc>
      </w:tr>
      <w:tr>
        <w:tc>
          <w:tcPr>
            <w:tcW w:type="dxa" w:w="4680"/>
          </w:tcPr>
          <w:p>
            <w:pPr>
              <w:spacing w:after="40" w:before="40"/>
            </w:pPr>
            <w:r>
              <w:rPr>
                <w:rFonts w:ascii="Calibri" w:hAnsi="Calibri"/>
                <w:b/>
                <w:color w:val="000000"/>
                <w:sz w:val="20"/>
              </w:rPr>
              <w:t>Status change refused</w:t>
            </w:r>
          </w:p>
        </w:tc>
        <w:tc>
          <w:tcPr>
            <w:tcW w:type="dxa" w:w="4680"/>
          </w:tcPr>
          <w:p>
            <w:pPr>
              <w:spacing w:after="40" w:before="40"/>
            </w:pPr>
            <w:r>
              <w:rPr>
                <w:rFonts w:ascii="Calibri" w:hAnsi="Calibri"/>
                <w:b w:val="0"/>
                <w:color w:val="000000"/>
                <w:sz w:val="20"/>
              </w:rPr>
              <w:t>Actor, attempted transition, refusal reason</w:t>
            </w:r>
          </w:p>
        </w:tc>
      </w:tr>
      <w:tr>
        <w:tc>
          <w:tcPr>
            <w:tcW w:type="dxa" w:w="4680"/>
            <w:shd w:val="clear" w:color="auto" w:fill="F2F5FA"/>
          </w:tcPr>
          <w:p>
            <w:pPr>
              <w:spacing w:after="40" w:before="40"/>
            </w:pPr>
            <w:r>
              <w:rPr>
                <w:rFonts w:ascii="Calibri" w:hAnsi="Calibri"/>
                <w:b w:val="0"/>
                <w:color w:val="000000"/>
                <w:sz w:val="20"/>
              </w:rPr>
              <w:t>Verification started</w:t>
            </w:r>
          </w:p>
        </w:tc>
        <w:tc>
          <w:tcPr>
            <w:tcW w:type="dxa" w:w="4680"/>
            <w:shd w:val="clear" w:color="auto" w:fill="F2F5FA"/>
          </w:tcPr>
          <w:p>
            <w:pPr>
              <w:spacing w:after="40" w:before="40"/>
            </w:pPr>
            <w:r>
              <w:rPr>
                <w:rFonts w:ascii="Calibri" w:hAnsi="Calibri"/>
                <w:b w:val="0"/>
                <w:color w:val="000000"/>
                <w:sz w:val="20"/>
              </w:rPr>
              <w:t>Actor, entity, trigger type</w:t>
            </w:r>
          </w:p>
        </w:tc>
      </w:tr>
      <w:tr>
        <w:tc>
          <w:tcPr>
            <w:tcW w:type="dxa" w:w="4680"/>
          </w:tcPr>
          <w:p>
            <w:pPr>
              <w:spacing w:after="40" w:before="40"/>
            </w:pPr>
            <w:r>
              <w:rPr>
                <w:rFonts w:ascii="Calibri" w:hAnsi="Calibri"/>
                <w:b w:val="0"/>
                <w:color w:val="000000"/>
                <w:sz w:val="20"/>
              </w:rPr>
              <w:t>Verification completed</w:t>
            </w:r>
          </w:p>
        </w:tc>
        <w:tc>
          <w:tcPr>
            <w:tcW w:type="dxa" w:w="4680"/>
          </w:tcPr>
          <w:p>
            <w:pPr>
              <w:spacing w:after="40" w:before="40"/>
            </w:pPr>
            <w:r>
              <w:rPr>
                <w:rFonts w:ascii="Calibri" w:hAnsi="Calibri"/>
                <w:b w:val="0"/>
                <w:color w:val="000000"/>
                <w:sz w:val="20"/>
              </w:rPr>
              <w:t>Actor, entity, findings count, resulting status</w:t>
            </w:r>
          </w:p>
        </w:tc>
      </w:tr>
      <w:tr>
        <w:tc>
          <w:tcPr>
            <w:tcW w:type="dxa" w:w="4680"/>
            <w:shd w:val="clear" w:color="auto" w:fill="F2F5FA"/>
          </w:tcPr>
          <w:p>
            <w:pPr>
              <w:spacing w:after="40" w:before="40"/>
            </w:pPr>
            <w:r>
              <w:rPr>
                <w:rFonts w:ascii="Calibri" w:hAnsi="Calibri"/>
                <w:b w:val="0"/>
                <w:color w:val="000000"/>
                <w:sz w:val="20"/>
              </w:rPr>
              <w:t>Finding created</w:t>
            </w:r>
          </w:p>
        </w:tc>
        <w:tc>
          <w:tcPr>
            <w:tcW w:type="dxa" w:w="4680"/>
            <w:shd w:val="clear" w:color="auto" w:fill="F2F5FA"/>
          </w:tcPr>
          <w:p>
            <w:pPr>
              <w:spacing w:after="40" w:before="40"/>
            </w:pPr>
            <w:r>
              <w:rPr>
                <w:rFonts w:ascii="Calibri" w:hAnsi="Calibri"/>
                <w:b w:val="0"/>
                <w:color w:val="000000"/>
                <w:sz w:val="20"/>
              </w:rPr>
              <w:t>Entity, finding type, severity, title</w:t>
            </w:r>
          </w:p>
        </w:tc>
      </w:tr>
      <w:tr>
        <w:tc>
          <w:tcPr>
            <w:tcW w:type="dxa" w:w="4680"/>
          </w:tcPr>
          <w:p>
            <w:pPr>
              <w:spacing w:after="40" w:before="40"/>
            </w:pPr>
            <w:r>
              <w:rPr>
                <w:rFonts w:ascii="Calibri" w:hAnsi="Calibri"/>
                <w:b w:val="0"/>
                <w:color w:val="000000"/>
                <w:sz w:val="20"/>
              </w:rPr>
              <w:t>Review resolved</w:t>
            </w:r>
          </w:p>
        </w:tc>
        <w:tc>
          <w:tcPr>
            <w:tcW w:type="dxa" w:w="4680"/>
          </w:tcPr>
          <w:p>
            <w:pPr>
              <w:spacing w:after="40" w:before="40"/>
            </w:pPr>
            <w:r>
              <w:rPr>
                <w:rFonts w:ascii="Calibri" w:hAnsi="Calibri"/>
                <w:b w:val="0"/>
                <w:color w:val="000000"/>
                <w:sz w:val="20"/>
              </w:rPr>
              <w:t xml:space="preserve">Actor, review, resolution, reclassified bucket, </w:t>
            </w:r>
            <w:r>
              <w:rPr>
                <w:rFonts w:ascii="Calibri" w:hAnsi="Calibri"/>
                <w:b/>
                <w:color w:val="000000"/>
                <w:sz w:val="20"/>
              </w:rPr>
              <w:t>rationale</w:t>
            </w:r>
            <w:r>
              <w:rPr>
                <w:rFonts w:ascii="Calibri" w:hAnsi="Calibri"/>
                <w:b w:val="0"/>
                <w:color w:val="000000"/>
                <w:sz w:val="20"/>
              </w:rPr>
              <w:t>, IP address</w:t>
            </w:r>
          </w:p>
        </w:tc>
      </w:tr>
      <w:tr>
        <w:tc>
          <w:tcPr>
            <w:tcW w:type="dxa" w:w="4680"/>
            <w:shd w:val="clear" w:color="auto" w:fill="F2F5FA"/>
          </w:tcPr>
          <w:p>
            <w:pPr>
              <w:spacing w:after="40" w:before="40"/>
            </w:pPr>
            <w:r>
              <w:rPr>
                <w:rFonts w:ascii="Calibri" w:hAnsi="Calibri"/>
                <w:b w:val="0"/>
                <w:color w:val="000000"/>
                <w:sz w:val="20"/>
              </w:rPr>
              <w:t>NPI flagged</w:t>
            </w:r>
          </w:p>
        </w:tc>
        <w:tc>
          <w:tcPr>
            <w:tcW w:type="dxa" w:w="4680"/>
            <w:shd w:val="clear" w:color="auto" w:fill="F2F5FA"/>
          </w:tcPr>
          <w:p>
            <w:pPr>
              <w:spacing w:after="40" w:before="40"/>
            </w:pPr>
            <w:r>
              <w:rPr>
                <w:rFonts w:ascii="Calibri" w:hAnsi="Calibri"/>
                <w:b w:val="0"/>
                <w:color w:val="000000"/>
                <w:sz w:val="20"/>
              </w:rPr>
              <w:t>Entity, reason</w:t>
            </w:r>
          </w:p>
        </w:tc>
      </w:tr>
      <w:tr>
        <w:tc>
          <w:tcPr>
            <w:tcW w:type="dxa" w:w="4680"/>
          </w:tcPr>
          <w:p>
            <w:pPr>
              <w:spacing w:after="40" w:before="40"/>
            </w:pPr>
            <w:r>
              <w:rPr>
                <w:rFonts w:ascii="Calibri" w:hAnsi="Calibri"/>
                <w:b w:val="0"/>
                <w:color w:val="000000"/>
                <w:sz w:val="20"/>
              </w:rPr>
              <w:t>AI entity resolution (when enabled)</w:t>
            </w:r>
          </w:p>
        </w:tc>
        <w:tc>
          <w:tcPr>
            <w:tcW w:type="dxa" w:w="4680"/>
          </w:tcPr>
          <w:p>
            <w:pPr>
              <w:spacing w:after="40" w:before="40"/>
            </w:pPr>
            <w:r>
              <w:rPr>
                <w:rFonts w:ascii="Calibri" w:hAnsi="Calibri"/>
                <w:b w:val="0"/>
                <w:color w:val="000000"/>
                <w:sz w:val="20"/>
              </w:rPr>
              <w:t>Model, prompt version, input, output, confidence, threshold, latency, version, error</w:t>
            </w:r>
          </w:p>
        </w:tc>
      </w:tr>
      <w:tr>
        <w:tc>
          <w:tcPr>
            <w:tcW w:type="dxa" w:w="4680"/>
            <w:shd w:val="clear" w:color="auto" w:fill="F2F5FA"/>
          </w:tcPr>
          <w:p>
            <w:pPr>
              <w:spacing w:after="40" w:before="40"/>
            </w:pPr>
            <w:r>
              <w:rPr>
                <w:rFonts w:ascii="Calibri" w:hAnsi="Calibri"/>
                <w:b w:val="0"/>
                <w:color w:val="000000"/>
                <w:sz w:val="20"/>
              </w:rPr>
              <w:t>Batch validation started</w:t>
            </w:r>
          </w:p>
        </w:tc>
        <w:tc>
          <w:tcPr>
            <w:tcW w:type="dxa" w:w="4680"/>
            <w:shd w:val="clear" w:color="auto" w:fill="F2F5FA"/>
          </w:tcPr>
          <w:p>
            <w:pPr>
              <w:spacing w:after="40" w:before="40"/>
            </w:pPr>
            <w:r>
              <w:rPr>
                <w:rFonts w:ascii="Calibri" w:hAnsi="Calibri"/>
                <w:b w:val="0"/>
                <w:color w:val="000000"/>
                <w:sz w:val="20"/>
              </w:rPr>
              <w:t>Actor, population, sample size, data source</w:t>
            </w:r>
          </w:p>
        </w:tc>
      </w:tr>
      <w:tr>
        <w:tc>
          <w:tcPr>
            <w:tcW w:type="dxa" w:w="4680"/>
          </w:tcPr>
          <w:p>
            <w:pPr>
              <w:spacing w:after="40" w:before="40"/>
            </w:pPr>
            <w:r>
              <w:rPr>
                <w:rFonts w:ascii="Calibri" w:hAnsi="Calibri"/>
                <w:b w:val="0"/>
                <w:color w:val="000000"/>
                <w:sz w:val="20"/>
              </w:rPr>
              <w:t>Authentication and authorization events</w:t>
            </w:r>
          </w:p>
        </w:tc>
        <w:tc>
          <w:tcPr>
            <w:tcW w:type="dxa" w:w="4680"/>
          </w:tcPr>
          <w:p>
            <w:pPr>
              <w:spacing w:after="40" w:before="40"/>
            </w:pPr>
            <w:r>
              <w:rPr>
                <w:rFonts w:ascii="Calibri" w:hAnsi="Calibri"/>
                <w:b w:val="0"/>
                <w:color w:val="000000"/>
                <w:sz w:val="20"/>
              </w:rPr>
              <w:t>Actor, outcome</w:t>
            </w:r>
          </w:p>
        </w:tc>
      </w:tr>
      <w:tr>
        <w:tc>
          <w:tcPr>
            <w:tcW w:type="dxa" w:w="4680"/>
            <w:shd w:val="clear" w:color="auto" w:fill="F2F5FA"/>
          </w:tcPr>
          <w:p>
            <w:pPr>
              <w:spacing w:after="40" w:before="40"/>
            </w:pPr>
            <w:r>
              <w:rPr>
                <w:rFonts w:ascii="Calibri" w:hAnsi="Calibri"/>
                <w:b w:val="0"/>
                <w:color w:val="000000"/>
                <w:sz w:val="20"/>
              </w:rPr>
              <w:t>Administrative actions</w:t>
            </w:r>
          </w:p>
        </w:tc>
        <w:tc>
          <w:tcPr>
            <w:tcW w:type="dxa" w:w="4680"/>
            <w:shd w:val="clear" w:color="auto" w:fill="F2F5FA"/>
          </w:tcPr>
          <w:p>
            <w:pPr>
              <w:spacing w:after="40" w:before="40"/>
            </w:pPr>
            <w:r>
              <w:rPr>
                <w:rFonts w:ascii="Calibri" w:hAnsi="Calibri"/>
                <w:b w:val="0"/>
                <w:color w:val="000000"/>
                <w:sz w:val="20"/>
              </w:rPr>
              <w:t>Actor, action, target</w:t>
            </w:r>
          </w:p>
        </w:tc>
      </w:tr>
    </w:tbl>
    <w:p>
      <w:pPr>
        <w:spacing w:after="80"/>
      </w:pPr>
    </w:p>
    <w:p>
      <w:pPr>
        <w:spacing w:after="120" w:before="0"/>
      </w:pPr>
      <w:r>
        <w:rPr>
          <w:rFonts w:ascii="Calibri" w:hAnsi="Calibri"/>
          <w:b w:val="0"/>
          <w:color w:val="000000"/>
          <w:sz w:val="22"/>
        </w:rPr>
        <w:t>Refused actions are logged as well as successful ones. An attempt to move an entity straight from draft to active is precisely the event a reviewer wants to see, and logging only successes would hide it.</w:t>
      </w:r>
    </w:p>
    <w:p>
      <w:pPr>
        <w:pStyle w:val="Heading2"/>
        <w:keepNext/>
        <w:spacing w:before="200" w:after="120"/>
        <w:outlineLvl w:val="1"/>
      </w:pPr>
      <w:r>
        <w:rPr>
          <w:rFonts w:ascii="Calibri" w:hAnsi="Calibri"/>
          <w:b/>
          <w:color w:val="003087"/>
          <w:sz w:val="25"/>
        </w:rPr>
        <w:t>19.2 What evidence is retained</w:t>
      </w:r>
    </w:p>
    <w:p>
      <w:pPr>
        <w:pStyle w:val="ListBullet"/>
        <w:spacing w:after="40"/>
      </w:pPr>
      <w:r>
        <w:rPr>
          <w:rFonts w:ascii="Calibri" w:hAnsi="Calibri"/>
          <w:b w:val="0"/>
          <w:color w:val="000000"/>
          <w:sz w:val="21"/>
        </w:rPr>
        <w:t>The raw response from each authoritative source, per entity, per run</w:t>
      </w:r>
    </w:p>
    <w:p>
      <w:pPr>
        <w:pStyle w:val="ListBullet"/>
        <w:spacing w:after="40"/>
      </w:pPr>
      <w:r>
        <w:rPr>
          <w:rFonts w:ascii="Calibri" w:hAnsi="Calibri"/>
          <w:b w:val="0"/>
          <w:color w:val="000000"/>
          <w:sz w:val="21"/>
        </w:rPr>
        <w:t>The five-state result and reason for every source</w:t>
      </w:r>
    </w:p>
    <w:p>
      <w:pPr>
        <w:pStyle w:val="ListBullet"/>
        <w:spacing w:after="40"/>
      </w:pPr>
      <w:r>
        <w:rPr>
          <w:rFonts w:ascii="Calibri" w:hAnsi="Calibri"/>
          <w:b w:val="0"/>
          <w:color w:val="000000"/>
          <w:sz w:val="21"/>
        </w:rPr>
        <w:t>The coverage note for every review</w:t>
      </w:r>
    </w:p>
    <w:p>
      <w:pPr>
        <w:pStyle w:val="ListBullet"/>
        <w:spacing w:after="40"/>
      </w:pPr>
      <w:r>
        <w:rPr>
          <w:rFonts w:ascii="Calibri" w:hAnsi="Calibri"/>
          <w:b w:val="0"/>
          <w:color w:val="000000"/>
          <w:sz w:val="21"/>
        </w:rPr>
        <w:t>The finding codes raised and the field comparisons that produced them</w:t>
      </w:r>
    </w:p>
    <w:p>
      <w:pPr>
        <w:pStyle w:val="ListBullet"/>
        <w:spacing w:after="40"/>
      </w:pPr>
      <w:r>
        <w:rPr>
          <w:rFonts w:ascii="Calibri" w:hAnsi="Calibri"/>
          <w:b w:val="0"/>
          <w:color w:val="000000"/>
          <w:sz w:val="21"/>
        </w:rPr>
        <w:t xml:space="preserve">The classification bucket, the rule code, and the </w:t>
      </w:r>
      <w:r>
        <w:rPr>
          <w:rFonts w:ascii="Calibri" w:hAnsi="Calibri"/>
          <w:b/>
          <w:color w:val="000000"/>
          <w:sz w:val="21"/>
        </w:rPr>
        <w:t>rule version</w:t>
      </w:r>
      <w:r>
        <w:rPr>
          <w:rFonts w:ascii="Calibri" w:hAnsi="Calibri"/>
          <w:b w:val="0"/>
          <w:color w:val="000000"/>
          <w:sz w:val="21"/>
        </w:rPr>
        <w:t xml:space="preserve"> that produced it</w:t>
      </w:r>
    </w:p>
    <w:p>
      <w:pPr>
        <w:pStyle w:val="ListBullet"/>
        <w:spacing w:after="40"/>
      </w:pPr>
      <w:r>
        <w:rPr>
          <w:rFonts w:ascii="Calibri" w:hAnsi="Calibri"/>
          <w:b w:val="0"/>
          <w:color w:val="000000"/>
          <w:sz w:val="21"/>
        </w:rPr>
        <w:t>The reviewer's resolution and rationale</w:t>
      </w:r>
    </w:p>
    <w:p>
      <w:pPr>
        <w:pStyle w:val="ListBullet"/>
        <w:spacing w:after="40"/>
      </w:pPr>
      <w:r>
        <w:rPr>
          <w:rFonts w:ascii="Calibri" w:hAnsi="Calibri"/>
          <w:b w:val="0"/>
          <w:color w:val="000000"/>
          <w:sz w:val="21"/>
        </w:rPr>
        <w:t xml:space="preserve">The sampling parameters — confidence level, margin of error, proportion, and </w:t>
      </w:r>
      <w:r>
        <w:rPr>
          <w:rFonts w:ascii="Calibri" w:hAnsi="Calibri"/>
          <w:b/>
          <w:color w:val="000000"/>
          <w:sz w:val="21"/>
        </w:rPr>
        <w:t>seed</w:t>
      </w:r>
      <w:r>
        <w:rPr>
          <w:rFonts w:ascii="Calibri" w:hAnsi="Calibri"/>
          <w:b w:val="0"/>
          <w:color w:val="000000"/>
          <w:sz w:val="21"/>
        </w:rPr>
        <w:t xml:space="preserve"> — so any sample can be re-drawn and checked</w:t>
      </w:r>
    </w:p>
    <w:p>
      <w:pPr>
        <w:pStyle w:val="Heading2"/>
        <w:keepNext/>
        <w:spacing w:before="200" w:after="120"/>
        <w:outlineLvl w:val="1"/>
      </w:pPr>
      <w:r>
        <w:rPr>
          <w:rFonts w:ascii="Calibri" w:hAnsi="Calibri"/>
          <w:b/>
          <w:color w:val="003087"/>
          <w:sz w:val="25"/>
        </w:rPr>
        <w:t>19.3 The accurate statement about audit integrity</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IMPORTANT — HOW TO DESCRIBE AUDIT INTEGRITY</w:t>
            </w:r>
          </w:p>
          <w:p>
            <w:pPr>
              <w:spacing w:after="0" w:before="0"/>
            </w:pPr>
            <w:r>
              <w:rPr>
                <w:rFonts w:ascii="Calibri" w:hAnsi="Calibri"/>
                <w:b w:val="0"/>
                <w:color w:val="000000"/>
                <w:sz w:val="21"/>
              </w:rPr>
              <w:t>Audit records are written in append-only mode through the application. Once created, audit entries cannot be modified or deleted through normal application operations. Note: this is an application-level control, not cryptographic immutability. Database-level tamper evidence (hash chains) is identified as an open enhancement item.</w:t>
            </w:r>
          </w:p>
        </w:tc>
      </w:tr>
    </w:tbl>
    <w:p>
      <w:pPr>
        <w:spacing w:after="80"/>
      </w:pPr>
    </w:p>
    <w:p>
      <w:pPr>
        <w:spacing w:after="120" w:before="0"/>
      </w:pPr>
      <w:r>
        <w:rPr>
          <w:rFonts w:ascii="Calibri" w:hAnsi="Calibri"/>
          <w:b w:val="0"/>
          <w:color w:val="000000"/>
          <w:sz w:val="22"/>
        </w:rPr>
        <w:t xml:space="preserve">Do not describe the audit trail as "immutable" in correspondence with the government. The accurate term is </w:t>
      </w:r>
      <w:r>
        <w:rPr>
          <w:rFonts w:ascii="Calibri" w:hAnsi="Calibri"/>
          <w:b/>
          <w:color w:val="000000"/>
          <w:sz w:val="22"/>
        </w:rPr>
        <w:t>append-only through the application</w:t>
      </w:r>
      <w:r>
        <w:rPr>
          <w:rFonts w:ascii="Calibri" w:hAnsi="Calibri"/>
          <w:b w:val="0"/>
          <w:color w:val="000000"/>
          <w:sz w:val="22"/>
        </w:rPr>
        <w:t>. The distinction matters to an assessor: an application-level control governs what the application will do, while cryptographic tamper evidence would allow any alteration made by other means to be detected. The latter is an identified enhancement, not a present capability.</w:t>
      </w:r>
    </w:p>
    <w:p>
      <w:pPr>
        <w:spacing w:after="120" w:before="0"/>
      </w:pPr>
      <w:r>
        <w:rPr>
          <w:rFonts w:ascii="Calibri" w:hAnsi="Calibri"/>
          <w:b w:val="0"/>
          <w:color w:val="000000"/>
          <w:sz w:val="22"/>
        </w:rPr>
        <w:t xml:space="preserve">One related behaviour users should understand: when a user account is deleted, audit records referencing that user are </w:t>
      </w:r>
      <w:r>
        <w:rPr>
          <w:rFonts w:ascii="Calibri" w:hAnsi="Calibri"/>
          <w:b/>
          <w:color w:val="000000"/>
          <w:sz w:val="22"/>
        </w:rPr>
        <w:t>retained</w:t>
      </w:r>
      <w:r>
        <w:rPr>
          <w:rFonts w:ascii="Calibri" w:hAnsi="Calibri"/>
          <w:b w:val="0"/>
          <w:color w:val="000000"/>
          <w:sz w:val="22"/>
        </w:rPr>
        <w:t>, but their attribution to that user is severed. The record survives; the name attached to it does not. Where continuous attribution matters, disable accounts rather than deleting them.</w:t>
      </w:r>
    </w:p>
    <w:p>
      <w:pPr>
        <w:pStyle w:val="Heading2"/>
        <w:keepNext/>
        <w:spacing w:before="200" w:after="120"/>
        <w:outlineLvl w:val="1"/>
      </w:pPr>
      <w:r>
        <w:rPr>
          <w:rFonts w:ascii="Calibri" w:hAnsi="Calibri"/>
          <w:b/>
          <w:color w:val="003087"/>
          <w:sz w:val="25"/>
        </w:rPr>
        <w:t>19.4 What users should put in review notes</w:t>
      </w:r>
    </w:p>
    <w:p>
      <w:pPr>
        <w:spacing w:after="120" w:before="0"/>
      </w:pPr>
      <w:r>
        <w:rPr>
          <w:rFonts w:ascii="Calibri" w:hAnsi="Calibri"/>
          <w:b w:val="0"/>
          <w:color w:val="000000"/>
          <w:sz w:val="22"/>
        </w:rPr>
        <w:t>Write for a reader a year from now who has no context: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Include</w:t>
            </w:r>
          </w:p>
        </w:tc>
        <w:tc>
          <w:tcPr>
            <w:tcW w:type="dxa" w:w="4680"/>
            <w:shd w:val="clear" w:color="auto" w:fill="003087"/>
          </w:tcPr>
          <w:p>
            <w:pPr>
              <w:spacing w:after="40" w:before="40"/>
            </w:pPr>
            <w:r>
              <w:rPr>
                <w:rFonts w:ascii="Calibri" w:hAnsi="Calibri"/>
                <w:b/>
                <w:color w:val="FFFFFF"/>
                <w:sz w:val="20"/>
              </w:rPr>
              <w:t>Do not include</w:t>
            </w:r>
          </w:p>
        </w:tc>
      </w:tr>
      <w:tr>
        <w:tc>
          <w:tcPr>
            <w:tcW w:type="dxa" w:w="4680"/>
          </w:tcPr>
          <w:p>
            <w:pPr>
              <w:spacing w:after="40" w:before="40"/>
            </w:pPr>
            <w:r>
              <w:rPr>
                <w:rFonts w:ascii="Calibri" w:hAnsi="Calibri"/>
                <w:b w:val="0"/>
                <w:color w:val="000000"/>
                <w:sz w:val="20"/>
              </w:rPr>
              <w:t>Which sources you relied on</w:t>
            </w:r>
          </w:p>
        </w:tc>
        <w:tc>
          <w:tcPr>
            <w:tcW w:type="dxa" w:w="4680"/>
          </w:tcPr>
          <w:p>
            <w:pPr>
              <w:spacing w:after="40" w:before="40"/>
            </w:pPr>
            <w:r>
              <w:rPr>
                <w:rFonts w:ascii="Calibri" w:hAnsi="Calibri"/>
                <w:b w:val="0"/>
                <w:color w:val="000000"/>
                <w:sz w:val="20"/>
              </w:rPr>
              <w:t>Vague conclusions such as "looks fine"</w:t>
            </w:r>
          </w:p>
        </w:tc>
      </w:tr>
      <w:tr>
        <w:tc>
          <w:tcPr>
            <w:tcW w:type="dxa" w:w="4680"/>
            <w:shd w:val="clear" w:color="auto" w:fill="F2F5FA"/>
          </w:tcPr>
          <w:p>
            <w:pPr>
              <w:spacing w:after="40" w:before="40"/>
            </w:pPr>
            <w:r>
              <w:rPr>
                <w:rFonts w:ascii="Calibri" w:hAnsi="Calibri"/>
                <w:b w:val="0"/>
                <w:color w:val="000000"/>
                <w:sz w:val="20"/>
              </w:rPr>
              <w:t>What each source actually returned</w:t>
            </w:r>
          </w:p>
        </w:tc>
        <w:tc>
          <w:tcPr>
            <w:tcW w:type="dxa" w:w="4680"/>
            <w:shd w:val="clear" w:color="auto" w:fill="F2F5FA"/>
          </w:tcPr>
          <w:p>
            <w:pPr>
              <w:spacing w:after="40" w:before="40"/>
            </w:pPr>
            <w:r>
              <w:rPr>
                <w:rFonts w:ascii="Calibri" w:hAnsi="Calibri"/>
                <w:b w:val="0"/>
                <w:color w:val="000000"/>
                <w:sz w:val="20"/>
              </w:rPr>
              <w:t>Personal opinions about the entity</w:t>
            </w:r>
          </w:p>
        </w:tc>
      </w:tr>
      <w:tr>
        <w:tc>
          <w:tcPr>
            <w:tcW w:type="dxa" w:w="4680"/>
          </w:tcPr>
          <w:p>
            <w:pPr>
              <w:spacing w:after="40" w:before="40"/>
            </w:pPr>
            <w:r>
              <w:rPr>
                <w:rFonts w:ascii="Calibri" w:hAnsi="Calibri"/>
                <w:b w:val="0"/>
                <w:color w:val="000000"/>
                <w:sz w:val="20"/>
              </w:rPr>
              <w:t>Which sources did not answer, and that you accounted for it</w:t>
            </w:r>
          </w:p>
        </w:tc>
        <w:tc>
          <w:tcPr>
            <w:tcW w:type="dxa" w:w="4680"/>
          </w:tcPr>
          <w:p>
            <w:pPr>
              <w:spacing w:after="40" w:before="40"/>
            </w:pPr>
            <w:r>
              <w:rPr>
                <w:rFonts w:ascii="Calibri" w:hAnsi="Calibri"/>
                <w:b w:val="0"/>
                <w:color w:val="000000"/>
                <w:sz w:val="20"/>
              </w:rPr>
              <w:t>Protected health information</w:t>
            </w:r>
          </w:p>
        </w:tc>
      </w:tr>
      <w:tr>
        <w:tc>
          <w:tcPr>
            <w:tcW w:type="dxa" w:w="4680"/>
            <w:shd w:val="clear" w:color="auto" w:fill="F2F5FA"/>
          </w:tcPr>
          <w:p>
            <w:pPr>
              <w:spacing w:after="40" w:before="40"/>
            </w:pPr>
            <w:r>
              <w:rPr>
                <w:rFonts w:ascii="Calibri" w:hAnsi="Calibri"/>
                <w:b w:val="0"/>
                <w:color w:val="000000"/>
                <w:sz w:val="20"/>
              </w:rPr>
              <w:t>Why the evidence supports your bucket</w:t>
            </w:r>
          </w:p>
        </w:tc>
        <w:tc>
          <w:tcPr>
            <w:tcW w:type="dxa" w:w="4680"/>
            <w:shd w:val="clear" w:color="auto" w:fill="F2F5FA"/>
          </w:tcPr>
          <w:p>
            <w:pPr>
              <w:spacing w:after="40" w:before="40"/>
            </w:pPr>
            <w:r>
              <w:rPr>
                <w:rFonts w:ascii="Calibri" w:hAnsi="Calibri"/>
                <w:b w:val="0"/>
                <w:color w:val="000000"/>
                <w:sz w:val="20"/>
              </w:rPr>
              <w:t>Credentials or internal system detail</w:t>
            </w:r>
          </w:p>
        </w:tc>
      </w:tr>
      <w:tr>
        <w:tc>
          <w:tcPr>
            <w:tcW w:type="dxa" w:w="4680"/>
          </w:tcPr>
          <w:p>
            <w:pPr>
              <w:spacing w:after="40" w:before="40"/>
            </w:pPr>
            <w:r>
              <w:rPr>
                <w:rFonts w:ascii="Calibri" w:hAnsi="Calibri"/>
                <w:b w:val="0"/>
                <w:color w:val="000000"/>
                <w:sz w:val="20"/>
              </w:rPr>
              <w:t>Any assumption you made, stated as an assumption</w:t>
            </w:r>
          </w:p>
        </w:tc>
        <w:tc>
          <w:tcPr>
            <w:tcW w:type="dxa" w:w="4680"/>
          </w:tcPr>
          <w:p>
            <w:pPr>
              <w:spacing w:after="40" w:before="40"/>
            </w:pPr>
            <w:r>
              <w:rPr>
                <w:rFonts w:ascii="Calibri" w:hAnsi="Calibri"/>
                <w:b w:val="0"/>
                <w:color w:val="000000"/>
                <w:sz w:val="20"/>
              </w:rPr>
              <w:t>Speculation presented as fact</w:t>
            </w:r>
          </w:p>
        </w:tc>
      </w:tr>
    </w:tbl>
    <w:p>
      <w:pPr>
        <w:spacing w:after="80"/>
      </w:pPr>
    </w:p>
    <w:p>
      <w:pPr>
        <w:pStyle w:val="Heading2"/>
        <w:keepNext/>
        <w:spacing w:before="200" w:after="120"/>
        <w:outlineLvl w:val="1"/>
      </w:pPr>
      <w:r>
        <w:rPr>
          <w:rFonts w:ascii="Calibri" w:hAnsi="Calibri"/>
          <w:b/>
          <w:color w:val="003087"/>
          <w:sz w:val="25"/>
        </w:rPr>
        <w:t>19.5 Compliance posture — precise statements</w:t>
      </w:r>
    </w:p>
    <w:p>
      <w:pPr>
        <w:spacing w:after="120" w:before="0"/>
      </w:pPr>
      <w:r>
        <w:rPr>
          <w:rFonts w:ascii="Calibri" w:hAnsi="Calibri"/>
          <w:b w:val="0"/>
          <w:color w:val="000000"/>
          <w:sz w:val="22"/>
        </w:rPr>
        <w:t>The following statements are the accurate form. Use them verbatim; do not paraphrase them upward.</w:t>
      </w:r>
    </w:p>
    <w:p>
      <w:pPr>
        <w:spacing w:after="120" w:before="0"/>
      </w:pPr>
      <w:r>
        <w:rPr>
          <w:rFonts w:ascii="Calibri" w:hAnsi="Calibri"/>
          <w:b/>
          <w:color w:val="000000"/>
          <w:sz w:val="22"/>
        </w:rPr>
        <w:t>Security categorization.</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The system's target security categorization is Moderate, based on an organizational assumption documented in the System Security Plan. A formal FIPS 199 categorization with explicit impact levels has not been independently performed.</w:t>
            </w:r>
          </w:p>
        </w:tc>
      </w:tr>
    </w:tbl>
    <w:p>
      <w:pPr>
        <w:spacing w:after="80"/>
      </w:pPr>
    </w:p>
    <w:p>
      <w:pPr>
        <w:spacing w:after="120" w:before="0"/>
      </w:pPr>
      <w:r>
        <w:rPr>
          <w:rFonts w:ascii="Calibri" w:hAnsi="Calibri"/>
          <w:b/>
          <w:color w:val="000000"/>
          <w:sz w:val="22"/>
        </w:rPr>
        <w:t>NIST SP 800-53 controls.</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92 security controls from NIST SP 800-53 Rev. 5 Moderate baseline have been mapped and self-assessed (78 Implemented, 12 Partially Implemented, 2 Inherited). These are internal implementation statements, not independently assessed or verified by a third-party assessor.</w:t>
            </w:r>
          </w:p>
        </w:tc>
      </w:tr>
    </w:tbl>
    <w:p>
      <w:pPr>
        <w:spacing w:after="80"/>
      </w:pPr>
    </w:p>
    <w:p>
      <w:pPr>
        <w:spacing w:after="120" w:before="0"/>
      </w:pPr>
      <w:r>
        <w:rPr>
          <w:rFonts w:ascii="Calibri" w:hAnsi="Calibri"/>
          <w:b/>
          <w:color w:val="000000"/>
          <w:sz w:val="22"/>
        </w:rPr>
        <w:t>Accessibility.</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Accessibility implementation work is in progress across application components. No formal Section 508 conformance testing (axe, pa11y, Lighthouse) or VPAT/ACR has been completed. Implementation activity does not constitute conformance certification.</w:t>
            </w:r>
          </w:p>
        </w:tc>
      </w:tr>
    </w:tbl>
    <w:p>
      <w:pPr>
        <w:spacing w:after="80"/>
      </w:pPr>
    </w:p>
    <w:p>
      <w:pPr>
        <w:spacing w:after="120" w:before="0"/>
      </w:pPr>
      <w:r>
        <w:rPr>
          <w:rFonts w:ascii="Calibri" w:hAnsi="Calibri"/>
          <w:b/>
          <w:color w:val="000000"/>
          <w:sz w:val="22"/>
        </w:rPr>
        <w:t>Organizational certifications.</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ISO 27001, ISO 9001, and CMMI Level 3 are certifications and appraisals held by Alliance Global Tech, Inc. as an organization. They are corporate credentials. They are not application certifications, and they do not constitute assessment or authorization of this system.</w:t>
            </w:r>
          </w:p>
        </w:tc>
      </w:tr>
    </w:tbl>
    <w:p>
      <w:pPr>
        <w:spacing w:after="80"/>
      </w:pPr>
    </w:p>
    <w:p>
      <w:pPr>
        <w:spacing w:after="120" w:before="0"/>
      </w:pPr>
      <w:r>
        <w:rPr>
          <w:rFonts w:ascii="Calibri" w:hAnsi="Calibri"/>
          <w:b/>
          <w:color w:val="000000"/>
          <w:sz w:val="22"/>
        </w:rPr>
        <w:t>Authorization status.</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This application does not hold a FedRAMP authorization or an Authority to Operate. Microsoft Azure's own authorizations cover Azure infrastructure; they do not authorize applications deployed on Azure.</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The Compliance card on the dashboard presents these items under a single Active/Pending vocabulary that does not distinguish between an implemented application control, a corporate certification, a security categorization, and a government authorization. When communicating posture to the government, use the statements above rather than the dashboard labels.</w:t>
            </w:r>
          </w:p>
        </w:tc>
      </w:tr>
    </w:tbl>
    <w:p>
      <w:pPr>
        <w:spacing w:after="80"/>
      </w:pPr>
    </w:p>
    <w:p>
      <w:r>
        <w:br w:type="page"/>
      </w:r>
    </w:p>
    <w:p>
      <w:pPr>
        <w:pStyle w:val="Heading1"/>
        <w:keepNext/>
        <w:spacing w:before="280" w:after="120"/>
        <w:outlineLvl w:val="0"/>
      </w:pPr>
      <w:r>
        <w:rPr>
          <w:rFonts w:ascii="Calibri" w:hAnsi="Calibri"/>
          <w:b/>
          <w:color w:val="003087"/>
          <w:sz w:val="28"/>
        </w:rPr>
        <w:t>20. Troubleshooting</w:t>
      </w:r>
    </w:p>
    <w:p>
      <w:pPr>
        <w:spacing w:after="120" w:before="0"/>
      </w:pPr>
      <w:r>
        <w:rPr>
          <w:rFonts w:ascii="Calibri" w:hAnsi="Calibri"/>
          <w:b w:val="0"/>
          <w:color w:val="000000"/>
          <w:sz w:val="22"/>
        </w:rPr>
        <w:t>Each entry gives the symptom as a user sees it, what it most likely means, what the user should do, and when to escalate.</w:t>
      </w:r>
    </w:p>
    <w:p>
      <w:pPr>
        <w:pStyle w:val="Heading2"/>
        <w:keepNext/>
        <w:spacing w:before="200" w:after="120"/>
        <w:outlineLvl w:val="1"/>
      </w:pPr>
      <w:r>
        <w:rPr>
          <w:rFonts w:ascii="Calibri" w:hAnsi="Calibri"/>
          <w:b/>
          <w:color w:val="003087"/>
          <w:sz w:val="25"/>
        </w:rPr>
        <w:t>20.1 Data source problems</w:t>
      </w:r>
    </w:p>
    <w:p>
      <w:pPr>
        <w:spacing w:after="120" w:before="0"/>
      </w:pPr>
      <w:r>
        <w:rPr>
          <w:rFonts w:ascii="Calibri" w:hAnsi="Calibri"/>
          <w:b/>
          <w:color w:val="000000"/>
          <w:sz w:val="22"/>
        </w:rPr>
        <w:t>Symptom: a source shows "Unavailable"</w:t>
      </w:r>
    </w:p>
    <w:p>
      <w:pPr>
        <w:spacing w:after="120" w:before="0"/>
      </w:pPr>
      <w:r>
        <w:rPr>
          <w:rFonts w:ascii="Calibri" w:hAnsi="Calibri"/>
          <w:b w:val="0"/>
          <w:color w:val="000000"/>
          <w:sz w:val="22"/>
        </w:rPr>
        <w:t>*Likely meaning:* the source is not configured, or it did not answer this time. This is not necessarily a fault.</w:t>
      </w:r>
    </w:p>
    <w:p>
      <w:pPr>
        <w:spacing w:after="120" w:before="0"/>
      </w:pPr>
      <w:r>
        <w:rPr>
          <w:rFonts w:ascii="Calibri" w:hAnsi="Calibri"/>
          <w:b w:val="0"/>
          <w:color w:val="000000"/>
          <w:sz w:val="22"/>
        </w:rPr>
        <w:t>*User action:* note it. Any review run while a required source is unavailable will be marked Indeterminate — that is correct. Do not close those records as clean. Re-run once the source recovers.</w:t>
      </w:r>
    </w:p>
    <w:p>
      <w:pPr>
        <w:spacing w:after="120" w:before="0"/>
      </w:pPr>
      <w:r>
        <w:rPr>
          <w:rFonts w:ascii="Calibri" w:hAnsi="Calibri"/>
          <w:b w:val="0"/>
          <w:color w:val="000000"/>
          <w:sz w:val="22"/>
        </w:rPr>
        <w:t>*Escalate:* to the administrator if a source that is normally live has been unavailable for more than a few hours.</w:t>
      </w:r>
    </w:p>
    <w:p>
      <w:pPr>
        <w:spacing w:after="120" w:before="0"/>
      </w:pPr>
      <w:r>
        <w:rPr>
          <w:rFonts w:ascii="Calibri" w:hAnsi="Calibri"/>
          <w:b/>
          <w:color w:val="000000"/>
          <w:sz w:val="22"/>
        </w:rPr>
        <w:t>Symptom: NPPES lookup failure</w:t>
      </w:r>
    </w:p>
    <w:p>
      <w:pPr>
        <w:spacing w:after="120" w:before="0"/>
      </w:pPr>
      <w:r>
        <w:rPr>
          <w:rFonts w:ascii="Calibri" w:hAnsi="Calibri"/>
          <w:b w:val="0"/>
          <w:color w:val="000000"/>
          <w:sz w:val="22"/>
        </w:rPr>
        <w:t>*Likely meaning:* a transient outage or timeout at CMS, or a network problem.</w:t>
      </w:r>
    </w:p>
    <w:p>
      <w:pPr>
        <w:spacing w:after="120" w:before="0"/>
      </w:pPr>
      <w:r>
        <w:rPr>
          <w:rFonts w:ascii="Calibri" w:hAnsi="Calibri"/>
          <w:b w:val="0"/>
          <w:color w:val="000000"/>
          <w:sz w:val="22"/>
        </w:rPr>
        <w:t>*User action:* wait and re-run. NPPES is the primary identity source; almost nothing can be concluded without it.</w:t>
      </w:r>
    </w:p>
    <w:p>
      <w:pPr>
        <w:spacing w:after="120" w:before="0"/>
      </w:pPr>
      <w:r>
        <w:rPr>
          <w:rFonts w:ascii="Calibri" w:hAnsi="Calibri"/>
          <w:b w:val="0"/>
          <w:color w:val="000000"/>
          <w:sz w:val="22"/>
        </w:rPr>
        <w:t>*Escalate:* administrator, if it persists beyond a single cycle of retries.</w:t>
      </w:r>
    </w:p>
    <w:p>
      <w:pPr>
        <w:spacing w:after="120" w:before="0"/>
      </w:pPr>
      <w:r>
        <w:rPr>
          <w:rFonts w:ascii="Calibri" w:hAnsi="Calibri"/>
          <w:b/>
          <w:color w:val="000000"/>
          <w:sz w:val="22"/>
        </w:rPr>
        <w:t>Symptom: SAM.gov unavailable</w:t>
      </w:r>
    </w:p>
    <w:p>
      <w:pPr>
        <w:spacing w:after="120" w:before="0"/>
      </w:pPr>
      <w:r>
        <w:rPr>
          <w:rFonts w:ascii="Calibri" w:hAnsi="Calibri"/>
          <w:b w:val="0"/>
          <w:color w:val="000000"/>
          <w:sz w:val="22"/>
        </w:rPr>
        <w:t>*Likely meaning:* this is the known current state. API key is configured. Entity lookup endpoints are returning 404 due to an upstream routing issue at api.sam.gov. This is not an application defect.</w:t>
      </w:r>
    </w:p>
    <w:p>
      <w:pPr>
        <w:spacing w:after="120" w:before="0"/>
      </w:pPr>
      <w:r>
        <w:rPr>
          <w:rFonts w:ascii="Calibri" w:hAnsi="Calibri"/>
          <w:b w:val="0"/>
          <w:color w:val="000000"/>
          <w:sz w:val="22"/>
        </w:rPr>
        <w:t>*User action:* proceed without SAM evidence. Do not conclude that an entity is clear with SAM. Do not raise it as a new defect.</w:t>
      </w:r>
    </w:p>
    <w:p>
      <w:pPr>
        <w:spacing w:after="120" w:before="0"/>
      </w:pPr>
      <w:r>
        <w:rPr>
          <w:rFonts w:ascii="Calibri" w:hAnsi="Calibri"/>
          <w:b w:val="0"/>
          <w:color w:val="000000"/>
          <w:sz w:val="22"/>
        </w:rPr>
        <w:t>*Escalate:* no individual escalation needed; the administrator tracks it and reports it to the COR where it affects delivery.</w:t>
      </w:r>
    </w:p>
    <w:p>
      <w:pPr>
        <w:spacing w:after="120" w:before="0"/>
      </w:pPr>
      <w:r>
        <w:rPr>
          <w:rFonts w:ascii="Calibri" w:hAnsi="Calibri"/>
          <w:b/>
          <w:color w:val="000000"/>
          <w:sz w:val="22"/>
        </w:rPr>
        <w:t>Symptom: USPS API authentication failed</w:t>
      </w:r>
    </w:p>
    <w:p>
      <w:pPr>
        <w:spacing w:after="120" w:before="0"/>
      </w:pPr>
      <w:r>
        <w:rPr>
          <w:rFonts w:ascii="Calibri" w:hAnsi="Calibri"/>
          <w:b w:val="0"/>
          <w:color w:val="000000"/>
          <w:sz w:val="22"/>
        </w:rPr>
        <w:t>*Likely meaning:* an OAuth credential or upstream issue. The system falls back to code-only address normalization automatically.</w:t>
      </w:r>
    </w:p>
    <w:p>
      <w:pPr>
        <w:spacing w:after="120" w:before="0"/>
      </w:pPr>
      <w:r>
        <w:rPr>
          <w:rFonts w:ascii="Calibri" w:hAnsi="Calibri"/>
          <w:b w:val="0"/>
          <w:color w:val="000000"/>
          <w:sz w:val="22"/>
        </w:rPr>
        <w:t>*User action:* none. Address comparison continues; the result records that standardization came from the fallback rather than from USPS.</w:t>
      </w:r>
    </w:p>
    <w:p>
      <w:pPr>
        <w:spacing w:after="120" w:before="0"/>
      </w:pPr>
      <w:r>
        <w:rPr>
          <w:rFonts w:ascii="Calibri" w:hAnsi="Calibri"/>
          <w:b w:val="0"/>
          <w:color w:val="000000"/>
          <w:sz w:val="22"/>
        </w:rPr>
        <w:t>*Escalate:* administrator, for the credential.</w:t>
      </w:r>
    </w:p>
    <w:p>
      <w:pPr>
        <w:spacing w:after="120" w:before="0"/>
      </w:pPr>
      <w:r>
        <w:rPr>
          <w:rFonts w:ascii="Calibri" w:hAnsi="Calibri"/>
          <w:b/>
          <w:color w:val="000000"/>
          <w:sz w:val="22"/>
        </w:rPr>
        <w:t>Symptom: connector shows "Error" rather than "Unavailable"</w:t>
      </w:r>
    </w:p>
    <w:p>
      <w:pPr>
        <w:spacing w:after="120" w:before="0"/>
      </w:pPr>
      <w:r>
        <w:rPr>
          <w:rFonts w:ascii="Calibri" w:hAnsi="Calibri"/>
          <w:b w:val="0"/>
          <w:color w:val="000000"/>
          <w:sz w:val="22"/>
        </w:rPr>
        <w:t>*Likely meaning:* a source that normally answers has actually failed.</w:t>
      </w:r>
    </w:p>
    <w:p>
      <w:pPr>
        <w:spacing w:after="120" w:before="0"/>
      </w:pPr>
      <w:r>
        <w:rPr>
          <w:rFonts w:ascii="Calibri" w:hAnsi="Calibri"/>
          <w:b w:val="0"/>
          <w:color w:val="000000"/>
          <w:sz w:val="22"/>
        </w:rPr>
        <w:t>*User action:* stop relying on that source's results for the moment.</w:t>
      </w:r>
    </w:p>
    <w:p>
      <w:pPr>
        <w:spacing w:after="120" w:before="0"/>
      </w:pPr>
      <w:r>
        <w:rPr>
          <w:rFonts w:ascii="Calibri" w:hAnsi="Calibri"/>
          <w:b w:val="0"/>
          <w:color w:val="000000"/>
          <w:sz w:val="22"/>
        </w:rPr>
        <w:t>*Escalate:* administrator, promptly.</w:t>
      </w:r>
    </w:p>
    <w:p>
      <w:pPr>
        <w:spacing w:after="120" w:before="0"/>
      </w:pPr>
      <w:r>
        <w:rPr>
          <w:rFonts w:ascii="Calibri" w:hAnsi="Calibri"/>
          <w:b/>
          <w:color w:val="000000"/>
          <w:sz w:val="22"/>
        </w:rPr>
        <w:t>Symptom: "Coverage Assurance not available" or a coverage figure lower than expected</w:t>
      </w:r>
    </w:p>
    <w:p>
      <w:pPr>
        <w:spacing w:after="120" w:before="0"/>
      </w:pPr>
      <w:r>
        <w:rPr>
          <w:rFonts w:ascii="Calibri" w:hAnsi="Calibri"/>
          <w:b w:val="0"/>
          <w:color w:val="000000"/>
          <w:sz w:val="22"/>
        </w:rPr>
        <w:t>*Likely meaning:* fewer implemented sources answered than usual. Remember that only implemented connectors count toward coverage, and that SAM is currently excluded.</w:t>
      </w:r>
    </w:p>
    <w:p>
      <w:pPr>
        <w:spacing w:after="120" w:before="0"/>
      </w:pPr>
      <w:r>
        <w:rPr>
          <w:rFonts w:ascii="Calibri" w:hAnsi="Calibri"/>
          <w:b w:val="0"/>
          <w:color w:val="000000"/>
          <w:sz w:val="22"/>
        </w:rPr>
        <w:t>*User action:* read the coverage note; it names exactly what was checked, what was unavailable, and what is not implemented.</w:t>
      </w:r>
    </w:p>
    <w:p>
      <w:pPr>
        <w:spacing w:after="120" w:before="0"/>
      </w:pPr>
      <w:r>
        <w:rPr>
          <w:rFonts w:ascii="Calibri" w:hAnsi="Calibri"/>
          <w:b w:val="0"/>
          <w:color w:val="000000"/>
          <w:sz w:val="22"/>
        </w:rPr>
        <w:t>*Escalate:* QA lead, if coverage is materially below the cycle norm.</w:t>
      </w:r>
    </w:p>
    <w:p>
      <w:pPr>
        <w:pStyle w:val="Heading2"/>
        <w:keepNext/>
        <w:spacing w:before="200" w:after="120"/>
        <w:outlineLvl w:val="1"/>
      </w:pPr>
      <w:r>
        <w:rPr>
          <w:rFonts w:ascii="Calibri" w:hAnsi="Calibri"/>
          <w:b/>
          <w:color w:val="003087"/>
          <w:sz w:val="25"/>
        </w:rPr>
        <w:t>20.2 Verification results</w:t>
      </w:r>
    </w:p>
    <w:p>
      <w:pPr>
        <w:spacing w:after="120" w:before="0"/>
      </w:pPr>
      <w:r>
        <w:rPr>
          <w:rFonts w:ascii="Calibri" w:hAnsi="Calibri"/>
          <w:b/>
          <w:color w:val="000000"/>
          <w:sz w:val="22"/>
        </w:rPr>
        <w:t>Symptom: no Medicare enrollment match</w:t>
      </w:r>
    </w:p>
    <w:p>
      <w:pPr>
        <w:spacing w:after="120" w:before="0"/>
      </w:pPr>
      <w:r>
        <w:rPr>
          <w:rFonts w:ascii="Calibri" w:hAnsi="Calibri"/>
          <w:b w:val="0"/>
          <w:color w:val="000000"/>
          <w:sz w:val="22"/>
        </w:rPr>
        <w:t>*Likely meaning:* the NPI is not enumerated, or the identifier is wrong.</w:t>
      </w:r>
    </w:p>
    <w:p>
      <w:pPr>
        <w:spacing w:after="120" w:before="0"/>
      </w:pPr>
      <w:r>
        <w:rPr>
          <w:rFonts w:ascii="Calibri" w:hAnsi="Calibri"/>
          <w:b w:val="0"/>
          <w:color w:val="000000"/>
          <w:sz w:val="22"/>
        </w:rPr>
        <w:t>*User action:* confirm the NPI is correct and passes the check digit. Remember this indicator uses the NPPES endpoint, so a failure here usually accompanies an NPPES failure.</w:t>
      </w:r>
    </w:p>
    <w:p>
      <w:pPr>
        <w:spacing w:after="120" w:before="0"/>
      </w:pPr>
      <w:r>
        <w:rPr>
          <w:rFonts w:ascii="Calibri" w:hAnsi="Calibri"/>
          <w:b w:val="0"/>
          <w:color w:val="000000"/>
          <w:sz w:val="22"/>
        </w:rPr>
        <w:t>*Escalate:* senior analyst if the NPI is correct and the record still cannot be found.</w:t>
      </w:r>
    </w:p>
    <w:p>
      <w:pPr>
        <w:spacing w:after="120" w:before="0"/>
      </w:pPr>
      <w:r>
        <w:rPr>
          <w:rFonts w:ascii="Calibri" w:hAnsi="Calibri"/>
          <w:b/>
          <w:color w:val="000000"/>
          <w:sz w:val="22"/>
        </w:rPr>
        <w:t>Symptom: address mismatch</w:t>
      </w:r>
    </w:p>
    <w:p>
      <w:pPr>
        <w:spacing w:after="120" w:before="0"/>
      </w:pPr>
      <w:r>
        <w:rPr>
          <w:rFonts w:ascii="Calibri" w:hAnsi="Calibri"/>
          <w:b w:val="0"/>
          <w:color w:val="000000"/>
          <w:sz w:val="22"/>
        </w:rPr>
        <w:t>*Likely meaning:* usually a formatting difference, which normalization should have resolved; occasionally a genuine relocation or a different site.</w:t>
      </w:r>
    </w:p>
    <w:p>
      <w:pPr>
        <w:spacing w:after="120" w:before="0"/>
      </w:pPr>
      <w:r>
        <w:rPr>
          <w:rFonts w:ascii="Calibri" w:hAnsi="Calibri"/>
          <w:b w:val="0"/>
          <w:color w:val="000000"/>
          <w:sz w:val="22"/>
        </w:rPr>
        <w:t xml:space="preserve">*User action:* check whether the finding is </w:t>
      </w:r>
      <w:r>
        <w:rPr>
          <w:rFonts w:ascii="Consolas" w:hAnsi="Consolas"/>
          <w:color w:val="000000"/>
          <w:sz w:val="22"/>
        </w:rPr>
        <w:t>ADDRESS_FORMAT_DIFF</w:t>
      </w:r>
      <w:r>
        <w:rPr>
          <w:rFonts w:ascii="Calibri" w:hAnsi="Calibri"/>
          <w:b w:val="0"/>
          <w:color w:val="000000"/>
          <w:sz w:val="22"/>
        </w:rPr>
        <w:t xml:space="preserve"> (B2, administrative) or </w:t>
      </w:r>
      <w:r>
        <w:rPr>
          <w:rFonts w:ascii="Consolas" w:hAnsi="Consolas"/>
          <w:color w:val="000000"/>
          <w:sz w:val="22"/>
        </w:rPr>
        <w:t>ADDRESS_STATE_CONFLICT</w:t>
      </w:r>
      <w:r>
        <w:rPr>
          <w:rFonts w:ascii="Calibri" w:hAnsi="Calibri"/>
          <w:b w:val="0"/>
          <w:color w:val="000000"/>
          <w:sz w:val="22"/>
        </w:rPr>
        <w:t xml:space="preserve"> (B3, a real conflict between sources). Treat them very differently.</w:t>
      </w:r>
    </w:p>
    <w:p>
      <w:pPr>
        <w:spacing w:after="120" w:before="0"/>
      </w:pPr>
      <w:r>
        <w:rPr>
          <w:rFonts w:ascii="Calibri" w:hAnsi="Calibri"/>
          <w:b w:val="0"/>
          <w:color w:val="000000"/>
          <w:sz w:val="22"/>
        </w:rPr>
        <w:t>*Escalate:* senior analyst for a state conflict.</w:t>
      </w:r>
    </w:p>
    <w:p>
      <w:pPr>
        <w:spacing w:after="120" w:before="0"/>
      </w:pPr>
      <w:r>
        <w:rPr>
          <w:rFonts w:ascii="Calibri" w:hAnsi="Calibri"/>
          <w:b/>
          <w:color w:val="000000"/>
          <w:sz w:val="22"/>
        </w:rPr>
        <w:t>Symptom: name mismatch</w:t>
      </w:r>
    </w:p>
    <w:p>
      <w:pPr>
        <w:spacing w:after="120" w:before="0"/>
      </w:pPr>
      <w:r>
        <w:rPr>
          <w:rFonts w:ascii="Calibri" w:hAnsi="Calibri"/>
          <w:b w:val="0"/>
          <w:color w:val="000000"/>
          <w:sz w:val="22"/>
        </w:rPr>
        <w:t>*Likely meaning:* depends entirely on the similarity band. An abbreviation difference is routine; an unresolvable name is disqualifying.</w:t>
      </w:r>
    </w:p>
    <w:p>
      <w:pPr>
        <w:spacing w:after="120" w:before="0"/>
      </w:pPr>
      <w:r>
        <w:rPr>
          <w:rFonts w:ascii="Calibri" w:hAnsi="Calibri"/>
          <w:b w:val="0"/>
          <w:color w:val="000000"/>
          <w:sz w:val="22"/>
        </w:rPr>
        <w:t>*User action:* read the finding code and its band (Section 5.3). Confirm or reclassify with rationale.</w:t>
      </w:r>
    </w:p>
    <w:p>
      <w:pPr>
        <w:spacing w:after="120" w:before="0"/>
      </w:pPr>
      <w:r>
        <w:rPr>
          <w:rFonts w:ascii="Calibri" w:hAnsi="Calibri"/>
          <w:b w:val="0"/>
          <w:color w:val="000000"/>
          <w:sz w:val="22"/>
        </w:rPr>
        <w:t xml:space="preserve">*Escalate:* senior analyst for </w:t>
      </w:r>
      <w:r>
        <w:rPr>
          <w:rFonts w:ascii="Consolas" w:hAnsi="Consolas"/>
          <w:color w:val="000000"/>
          <w:sz w:val="22"/>
        </w:rPr>
        <w:t>NAME_COMPLETELY_DIFFERENT</w:t>
      </w:r>
      <w:r>
        <w:rPr>
          <w:rFonts w:ascii="Calibri" w:hAnsi="Calibri"/>
          <w:b w:val="0"/>
          <w:color w:val="000000"/>
          <w:sz w:val="22"/>
        </w:rPr>
        <w:t xml:space="preserve"> or </w:t>
      </w:r>
      <w:r>
        <w:rPr>
          <w:rFonts w:ascii="Consolas" w:hAnsi="Consolas"/>
          <w:color w:val="000000"/>
          <w:sz w:val="22"/>
        </w:rPr>
        <w:t>NAME_UNRESOLVABLE</w:t>
      </w:r>
      <w:r>
        <w:rPr>
          <w:rFonts w:ascii="Calibri" w:hAnsi="Calibri"/>
          <w:b w:val="0"/>
          <w:color w:val="000000"/>
          <w:sz w:val="22"/>
        </w:rPr>
        <w:t>.</w:t>
      </w:r>
    </w:p>
    <w:p>
      <w:pPr>
        <w:spacing w:after="120" w:before="0"/>
      </w:pPr>
      <w:r>
        <w:rPr>
          <w:rFonts w:ascii="Calibri" w:hAnsi="Calibri"/>
          <w:b/>
          <w:color w:val="000000"/>
          <w:sz w:val="22"/>
        </w:rPr>
        <w:t>Symptom: possible exclusion match</w:t>
      </w:r>
    </w:p>
    <w:p>
      <w:pPr>
        <w:spacing w:after="120" w:before="0"/>
      </w:pPr>
      <w:r>
        <w:rPr>
          <w:rFonts w:ascii="Calibri" w:hAnsi="Calibri"/>
          <w:b w:val="0"/>
          <w:color w:val="000000"/>
          <w:sz w:val="22"/>
        </w:rPr>
        <w:t>*Likely meaning:* LEIE returned an exclusion. Determine whether it is active or historical-and-reinstated.</w:t>
      </w:r>
    </w:p>
    <w:p>
      <w:pPr>
        <w:spacing w:after="120" w:before="0"/>
      </w:pPr>
      <w:r>
        <w:rPr>
          <w:rFonts w:ascii="Calibri" w:hAnsi="Calibri"/>
          <w:b w:val="0"/>
          <w:color w:val="000000"/>
          <w:sz w:val="22"/>
        </w:rPr>
        <w:t>*User action:* an active exclusion forces B4 and Tier 3. Do not attempt to resolve it yourself.</w:t>
      </w:r>
    </w:p>
    <w:p>
      <w:pPr>
        <w:spacing w:after="120" w:before="0"/>
      </w:pPr>
      <w:r>
        <w:rPr>
          <w:rFonts w:ascii="Calibri" w:hAnsi="Calibri"/>
          <w:b w:val="0"/>
          <w:color w:val="000000"/>
          <w:sz w:val="22"/>
        </w:rPr>
        <w:t xml:space="preserve">*Escalate:* </w:t>
      </w:r>
      <w:r>
        <w:rPr>
          <w:rFonts w:ascii="Calibri" w:hAnsi="Calibri"/>
          <w:b/>
          <w:color w:val="000000"/>
          <w:sz w:val="22"/>
        </w:rPr>
        <w:t>immediately</w:t>
      </w:r>
      <w:r>
        <w:rPr>
          <w:rFonts w:ascii="Calibri" w:hAnsi="Calibri"/>
          <w:b w:val="0"/>
          <w:color w:val="000000"/>
          <w:sz w:val="22"/>
        </w:rPr>
        <w:t>, to senior analyst and the programme manager.</w:t>
      </w:r>
    </w:p>
    <w:p>
      <w:pPr>
        <w:spacing w:after="120" w:before="0"/>
      </w:pPr>
      <w:r>
        <w:rPr>
          <w:rFonts w:ascii="Calibri" w:hAnsi="Calibri"/>
          <w:b/>
          <w:color w:val="000000"/>
          <w:sz w:val="22"/>
        </w:rPr>
        <w:t>Symptom: the record is marked "Indeterminate"</w:t>
      </w:r>
    </w:p>
    <w:p>
      <w:pPr>
        <w:spacing w:after="120" w:before="0"/>
      </w:pPr>
      <w:r>
        <w:rPr>
          <w:rFonts w:ascii="Calibri" w:hAnsi="Calibri"/>
          <w:b w:val="0"/>
          <w:color w:val="000000"/>
          <w:sz w:val="22"/>
        </w:rPr>
        <w:t>*Likely meaning:* a required source did not answer. The system is refusing to guess.</w:t>
      </w:r>
    </w:p>
    <w:p>
      <w:pPr>
        <w:spacing w:after="120" w:before="0"/>
      </w:pPr>
      <w:r>
        <w:rPr>
          <w:rFonts w:ascii="Calibri" w:hAnsi="Calibri"/>
          <w:b w:val="0"/>
          <w:color w:val="000000"/>
          <w:sz w:val="22"/>
        </w:rPr>
        <w:t>*User action:* re-run when the source recovers, or review manually with the evidence gap explicitly documented.</w:t>
      </w:r>
    </w:p>
    <w:p>
      <w:pPr>
        <w:spacing w:after="120" w:before="0"/>
      </w:pPr>
      <w:r>
        <w:rPr>
          <w:rFonts w:ascii="Calibri" w:hAnsi="Calibri"/>
          <w:b w:val="0"/>
          <w:color w:val="000000"/>
          <w:sz w:val="22"/>
        </w:rPr>
        <w:t>*Escalate:* not usually needed; this is designed behaviour.</w:t>
      </w:r>
    </w:p>
    <w:p>
      <w:pPr>
        <w:spacing w:after="120" w:before="0"/>
      </w:pPr>
      <w:r>
        <w:rPr>
          <w:rFonts w:ascii="Calibri" w:hAnsi="Calibri"/>
          <w:b/>
          <w:color w:val="000000"/>
          <w:sz w:val="22"/>
        </w:rPr>
        <w:t>Symptom: verification requires review when you expected auto-completion</w:t>
      </w:r>
    </w:p>
    <w:p>
      <w:pPr>
        <w:spacing w:after="120" w:before="0"/>
      </w:pPr>
      <w:r>
        <w:rPr>
          <w:rFonts w:ascii="Calibri" w:hAnsi="Calibri"/>
          <w:b w:val="0"/>
          <w:color w:val="000000"/>
          <w:sz w:val="22"/>
        </w:rPr>
        <w:t>*Likely meaning:* the record is B1 but confidence is below 0.95, or coverage was incomplete.</w:t>
      </w:r>
    </w:p>
    <w:p>
      <w:pPr>
        <w:spacing w:after="120" w:before="0"/>
      </w:pPr>
      <w:r>
        <w:rPr>
          <w:rFonts w:ascii="Calibri" w:hAnsi="Calibri"/>
          <w:b w:val="0"/>
          <w:color w:val="000000"/>
          <w:sz w:val="22"/>
        </w:rPr>
        <w:t>*User action:* review it. Only a clean, high-confidence, fully covered record completes automatically.</w:t>
      </w:r>
    </w:p>
    <w:p>
      <w:pPr>
        <w:pStyle w:val="Heading2"/>
        <w:keepNext/>
        <w:spacing w:before="200" w:after="120"/>
        <w:outlineLvl w:val="1"/>
      </w:pPr>
      <w:r>
        <w:rPr>
          <w:rFonts w:ascii="Calibri" w:hAnsi="Calibri"/>
          <w:b/>
          <w:color w:val="003087"/>
          <w:sz w:val="25"/>
        </w:rPr>
        <w:t>20.3 Data and import</w:t>
      </w:r>
    </w:p>
    <w:p>
      <w:pPr>
        <w:spacing w:after="120" w:before="0"/>
      </w:pPr>
      <w:r>
        <w:rPr>
          <w:rFonts w:ascii="Calibri" w:hAnsi="Calibri"/>
          <w:b/>
          <w:color w:val="000000"/>
          <w:sz w:val="22"/>
        </w:rPr>
        <w:t>Symptom: duplicate entity</w:t>
      </w:r>
    </w:p>
    <w:p>
      <w:pPr>
        <w:spacing w:after="120" w:before="0"/>
      </w:pPr>
      <w:r>
        <w:rPr>
          <w:rFonts w:ascii="Calibri" w:hAnsi="Calibri"/>
          <w:b w:val="0"/>
          <w:color w:val="000000"/>
          <w:sz w:val="22"/>
        </w:rPr>
        <w:t>*Likely meaning:* the same identifier appears on more than one record, or an import ran twice.</w:t>
      </w:r>
    </w:p>
    <w:p>
      <w:pPr>
        <w:spacing w:after="120" w:before="0"/>
      </w:pPr>
      <w:r>
        <w:rPr>
          <w:rFonts w:ascii="Calibri" w:hAnsi="Calibri"/>
          <w:b w:val="0"/>
          <w:color w:val="000000"/>
          <w:sz w:val="22"/>
        </w:rPr>
        <w:t>*User action:* check import history for a repeated batch. Duplicate NPI, HCID, and TEFCAID are detected and raised as high-severity findings.</w:t>
      </w:r>
    </w:p>
    <w:p>
      <w:pPr>
        <w:spacing w:after="120" w:before="0"/>
      </w:pPr>
      <w:r>
        <w:rPr>
          <w:rFonts w:ascii="Calibri" w:hAnsi="Calibri"/>
          <w:b w:val="0"/>
          <w:color w:val="000000"/>
          <w:sz w:val="22"/>
        </w:rPr>
        <w:t>*Escalate:* administrator, to resolve the underlying record.</w:t>
      </w:r>
    </w:p>
    <w:p>
      <w:pPr>
        <w:spacing w:after="120" w:before="0"/>
      </w:pPr>
      <w:r>
        <w:rPr>
          <w:rFonts w:ascii="Calibri" w:hAnsi="Calibri"/>
          <w:b/>
          <w:color w:val="000000"/>
          <w:sz w:val="22"/>
        </w:rPr>
        <w:t>Symptom: import failure</w:t>
      </w:r>
    </w:p>
    <w:p>
      <w:pPr>
        <w:spacing w:after="120" w:before="0"/>
      </w:pPr>
      <w:r>
        <w:rPr>
          <w:rFonts w:ascii="Calibri" w:hAnsi="Calibri"/>
          <w:b w:val="0"/>
          <w:color w:val="000000"/>
          <w:sz w:val="22"/>
        </w:rPr>
        <w:t>*Likely meaning:* schema mismatch, malformed file, or an unsupported format.</w:t>
      </w:r>
    </w:p>
    <w:p>
      <w:pPr>
        <w:spacing w:after="120" w:before="0"/>
      </w:pPr>
      <w:r>
        <w:rPr>
          <w:rFonts w:ascii="Calibri" w:hAnsi="Calibri"/>
          <w:b w:val="0"/>
          <w:color w:val="000000"/>
          <w:sz w:val="22"/>
        </w:rPr>
        <w:t>*User action:* confirm the file is CSV, Excel, JSON, or a FHIR R4 bundle, and that required columns are present. Read the validation errors returned.</w:t>
      </w:r>
    </w:p>
    <w:p>
      <w:pPr>
        <w:spacing w:after="120" w:before="0"/>
      </w:pPr>
      <w:r>
        <w:rPr>
          <w:rFonts w:ascii="Calibri" w:hAnsi="Calibri"/>
          <w:b w:val="0"/>
          <w:color w:val="000000"/>
          <w:sz w:val="22"/>
        </w:rPr>
        <w:t>*Escalate:* administrator if the file is correct and the import still fails.</w:t>
      </w:r>
    </w:p>
    <w:p>
      <w:pPr>
        <w:spacing w:after="120" w:before="0"/>
      </w:pPr>
      <w:r>
        <w:rPr>
          <w:rFonts w:ascii="Calibri" w:hAnsi="Calibri"/>
          <w:b/>
          <w:color w:val="000000"/>
          <w:sz w:val="22"/>
        </w:rPr>
        <w:t>Symptom: empty review queue when work was expected</w:t>
      </w:r>
    </w:p>
    <w:p>
      <w:pPr>
        <w:spacing w:after="120" w:before="0"/>
      </w:pPr>
      <w:r>
        <w:rPr>
          <w:rFonts w:ascii="Calibri" w:hAnsi="Calibri"/>
          <w:b w:val="0"/>
          <w:color w:val="000000"/>
          <w:sz w:val="22"/>
        </w:rPr>
        <w:t>*Likely meaning:* the sample has not been drawn for this cycle.</w:t>
      </w:r>
    </w:p>
    <w:p>
      <w:pPr>
        <w:spacing w:after="120" w:before="0"/>
      </w:pPr>
      <w:r>
        <w:rPr>
          <w:rFonts w:ascii="Calibri" w:hAnsi="Calibri"/>
          <w:b w:val="0"/>
          <w:color w:val="000000"/>
          <w:sz w:val="22"/>
        </w:rPr>
        <w:t>*User action:* confirm the cycle exists and a sample was drawn.</w:t>
      </w:r>
    </w:p>
    <w:p>
      <w:pPr>
        <w:spacing w:after="120" w:before="0"/>
      </w:pPr>
      <w:r>
        <w:rPr>
          <w:rFonts w:ascii="Calibri" w:hAnsi="Calibri"/>
          <w:b w:val="0"/>
          <w:color w:val="000000"/>
          <w:sz w:val="22"/>
        </w:rPr>
        <w:t>*Escalate:* programme manager.</w:t>
      </w:r>
    </w:p>
    <w:p>
      <w:pPr>
        <w:pStyle w:val="Heading2"/>
        <w:keepNext/>
        <w:spacing w:before="200" w:after="120"/>
        <w:outlineLvl w:val="1"/>
      </w:pPr>
      <w:r>
        <w:rPr>
          <w:rFonts w:ascii="Calibri" w:hAnsi="Calibri"/>
          <w:b/>
          <w:color w:val="003087"/>
          <w:sz w:val="25"/>
        </w:rPr>
        <w:t>20.4 Access and system</w:t>
      </w:r>
    </w:p>
    <w:p>
      <w:pPr>
        <w:spacing w:after="120" w:before="0"/>
      </w:pPr>
      <w:r>
        <w:rPr>
          <w:rFonts w:ascii="Calibri" w:hAnsi="Calibri"/>
          <w:b/>
          <w:color w:val="000000"/>
          <w:sz w:val="22"/>
        </w:rPr>
        <w:t>Symptom: cannot access a page — "Insufficient permissions"</w:t>
      </w:r>
    </w:p>
    <w:p>
      <w:pPr>
        <w:spacing w:after="120" w:before="0"/>
      </w:pPr>
      <w:r>
        <w:rPr>
          <w:rFonts w:ascii="Calibri" w:hAnsi="Calibri"/>
          <w:b w:val="0"/>
          <w:color w:val="000000"/>
          <w:sz w:val="22"/>
        </w:rPr>
        <w:t>*Likely meaning:* your role is below the level the page requires. Denial is shown as denial rather than as an empty page.</w:t>
      </w:r>
    </w:p>
    <w:p>
      <w:pPr>
        <w:spacing w:after="120" w:before="0"/>
      </w:pPr>
      <w:r>
        <w:rPr>
          <w:rFonts w:ascii="Calibri" w:hAnsi="Calibri"/>
          <w:b w:val="0"/>
          <w:color w:val="000000"/>
          <w:sz w:val="22"/>
        </w:rPr>
        <w:t>*User action:* check your role in the Trust Center. Request the appropriate role.</w:t>
      </w:r>
    </w:p>
    <w:p>
      <w:pPr>
        <w:spacing w:after="120" w:before="0"/>
      </w:pPr>
      <w:r>
        <w:rPr>
          <w:rFonts w:ascii="Calibri" w:hAnsi="Calibri"/>
          <w:b w:val="0"/>
          <w:color w:val="000000"/>
          <w:sz w:val="22"/>
        </w:rPr>
        <w:t>*Escalate:* administrator.</w:t>
      </w:r>
    </w:p>
    <w:p>
      <w:pPr>
        <w:spacing w:after="120" w:before="0"/>
      </w:pPr>
      <w:r>
        <w:rPr>
          <w:rFonts w:ascii="Calibri" w:hAnsi="Calibri"/>
          <w:b/>
          <w:color w:val="000000"/>
          <w:sz w:val="22"/>
        </w:rPr>
        <w:t>Symptom: incorrect role or permission</w:t>
      </w:r>
    </w:p>
    <w:p>
      <w:pPr>
        <w:spacing w:after="120" w:before="0"/>
      </w:pPr>
      <w:r>
        <w:rPr>
          <w:rFonts w:ascii="Calibri" w:hAnsi="Calibri"/>
          <w:b w:val="0"/>
          <w:color w:val="000000"/>
          <w:sz w:val="22"/>
        </w:rPr>
        <w:t>*Likely meaning:* your account holds a different role than expected, or you need one of the specialized roles that are configured outside the interface.</w:t>
      </w:r>
    </w:p>
    <w:p>
      <w:pPr>
        <w:spacing w:after="120" w:before="0"/>
      </w:pPr>
      <w:r>
        <w:rPr>
          <w:rFonts w:ascii="Calibri" w:hAnsi="Calibri"/>
          <w:b w:val="0"/>
          <w:color w:val="000000"/>
          <w:sz w:val="22"/>
        </w:rPr>
        <w:t>*User action:* do not work around it.</w:t>
      </w:r>
    </w:p>
    <w:p>
      <w:pPr>
        <w:spacing w:after="120" w:before="0"/>
      </w:pPr>
      <w:r>
        <w:rPr>
          <w:rFonts w:ascii="Calibri" w:hAnsi="Calibri"/>
          <w:b w:val="0"/>
          <w:color w:val="000000"/>
          <w:sz w:val="22"/>
        </w:rPr>
        <w:t>*Escalate:* administrator — specialized roles are assigned by direct system configuration.</w:t>
      </w:r>
    </w:p>
    <w:p>
      <w:pPr>
        <w:spacing w:after="120" w:before="0"/>
      </w:pPr>
      <w:r>
        <w:rPr>
          <w:rFonts w:ascii="Calibri" w:hAnsi="Calibri"/>
          <w:b/>
          <w:color w:val="000000"/>
          <w:sz w:val="22"/>
        </w:rPr>
        <w:t>Symptom: signed out unexpectedly</w:t>
      </w:r>
    </w:p>
    <w:p>
      <w:pPr>
        <w:spacing w:after="120" w:before="0"/>
      </w:pPr>
      <w:r>
        <w:rPr>
          <w:rFonts w:ascii="Calibri" w:hAnsi="Calibri"/>
          <w:b w:val="0"/>
          <w:color w:val="000000"/>
          <w:sz w:val="22"/>
        </w:rPr>
        <w:t>*Likely meaning:* the session token expired. The interface checks expiry before each request rather than waiting for a rejection.</w:t>
      </w:r>
    </w:p>
    <w:p>
      <w:pPr>
        <w:spacing w:after="120" w:before="0"/>
      </w:pPr>
      <w:r>
        <w:rPr>
          <w:rFonts w:ascii="Calibri" w:hAnsi="Calibri"/>
          <w:b w:val="0"/>
          <w:color w:val="000000"/>
          <w:sz w:val="22"/>
        </w:rPr>
        <w:t>*User action:* sign in again. Saved work is retained; unsubmitted form content is not.</w:t>
      </w:r>
    </w:p>
    <w:p>
      <w:pPr>
        <w:spacing w:after="120" w:before="0"/>
      </w:pPr>
      <w:r>
        <w:rPr>
          <w:rFonts w:ascii="Calibri" w:hAnsi="Calibri"/>
          <w:b/>
          <w:color w:val="000000"/>
          <w:sz w:val="22"/>
        </w:rPr>
        <w:t>Symptom: AI entity resolution unavailable</w:t>
      </w:r>
    </w:p>
    <w:p>
      <w:pPr>
        <w:spacing w:after="120" w:before="0"/>
      </w:pPr>
      <w:r>
        <w:rPr>
          <w:rFonts w:ascii="Calibri" w:hAnsi="Calibri"/>
          <w:b w:val="0"/>
          <w:color w:val="000000"/>
          <w:sz w:val="22"/>
        </w:rPr>
        <w:t>*Likely meaning:* this is the current expected state — AI is disabled on both environments.</w:t>
      </w:r>
    </w:p>
    <w:p>
      <w:pPr>
        <w:spacing w:after="120" w:before="0"/>
      </w:pPr>
      <w:r>
        <w:rPr>
          <w:rFonts w:ascii="Calibri" w:hAnsi="Calibri"/>
          <w:b w:val="0"/>
          <w:color w:val="000000"/>
          <w:sz w:val="22"/>
        </w:rPr>
        <w:t>*User action:* none. Deterministic matching continues and inconclusive cases route to manual review, which is the designed behaviour.</w:t>
      </w:r>
    </w:p>
    <w:p>
      <w:pPr>
        <w:spacing w:after="120" w:before="0"/>
      </w:pPr>
      <w:r>
        <w:rPr>
          <w:rFonts w:ascii="Calibri" w:hAnsi="Calibri"/>
          <w:b w:val="0"/>
          <w:color w:val="000000"/>
          <w:sz w:val="22"/>
        </w:rPr>
        <w:t>*Escalate:* not required.</w:t>
      </w:r>
    </w:p>
    <w:p>
      <w:pPr>
        <w:spacing w:after="120" w:before="0"/>
      </w:pPr>
      <w:r>
        <w:rPr>
          <w:rFonts w:ascii="Calibri" w:hAnsi="Calibri"/>
          <w:b/>
          <w:color w:val="000000"/>
          <w:sz w:val="22"/>
        </w:rPr>
        <w:t>Symptom: unexpected system error</w:t>
      </w:r>
    </w:p>
    <w:p>
      <w:pPr>
        <w:spacing w:after="120" w:before="0"/>
      </w:pPr>
      <w:r>
        <w:rPr>
          <w:rFonts w:ascii="Calibri" w:hAnsi="Calibri"/>
          <w:b w:val="0"/>
          <w:color w:val="000000"/>
          <w:sz w:val="22"/>
        </w:rPr>
        <w:t>*User action:* record what you were doing, the entity or review identifier, and the time. Do not retry repeatedly.</w:t>
      </w:r>
    </w:p>
    <w:p>
      <w:pPr>
        <w:spacing w:after="120" w:before="0"/>
      </w:pPr>
      <w:r>
        <w:rPr>
          <w:rFonts w:ascii="Calibri" w:hAnsi="Calibri"/>
          <w:b w:val="0"/>
          <w:color w:val="000000"/>
          <w:sz w:val="22"/>
        </w:rPr>
        <w:t>*Escalate:* administrator with those details.</w:t>
      </w:r>
    </w:p>
    <w:p>
      <w:pPr>
        <w:pStyle w:val="Heading2"/>
        <w:keepNext/>
        <w:spacing w:before="200" w:after="120"/>
        <w:outlineLvl w:val="1"/>
      </w:pPr>
      <w:r>
        <w:rPr>
          <w:rFonts w:ascii="Calibri" w:hAnsi="Calibri"/>
          <w:b/>
          <w:color w:val="003087"/>
          <w:sz w:val="25"/>
        </w:rPr>
        <w:t>20.5 Escalation summary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Issue</w:t>
            </w:r>
          </w:p>
        </w:tc>
        <w:tc>
          <w:tcPr>
            <w:tcW w:type="dxa" w:w="4680"/>
            <w:shd w:val="clear" w:color="auto" w:fill="003087"/>
          </w:tcPr>
          <w:p>
            <w:pPr>
              <w:spacing w:after="40" w:before="40"/>
            </w:pPr>
            <w:r>
              <w:rPr>
                <w:rFonts w:ascii="Calibri" w:hAnsi="Calibri"/>
                <w:b/>
                <w:color w:val="FFFFFF"/>
                <w:sz w:val="20"/>
              </w:rPr>
              <w:t>Escalate to</w:t>
            </w:r>
          </w:p>
        </w:tc>
      </w:tr>
      <w:tr>
        <w:tc>
          <w:tcPr>
            <w:tcW w:type="dxa" w:w="4680"/>
          </w:tcPr>
          <w:p>
            <w:pPr>
              <w:spacing w:after="40" w:before="40"/>
            </w:pPr>
            <w:r>
              <w:rPr>
                <w:rFonts w:ascii="Calibri" w:hAnsi="Calibri"/>
                <w:b w:val="0"/>
                <w:color w:val="000000"/>
                <w:sz w:val="20"/>
              </w:rPr>
              <w:t>Active exclusion or debarment</w:t>
            </w:r>
          </w:p>
        </w:tc>
        <w:tc>
          <w:tcPr>
            <w:tcW w:type="dxa" w:w="4680"/>
          </w:tcPr>
          <w:p>
            <w:pPr>
              <w:spacing w:after="40" w:before="40"/>
            </w:pPr>
            <w:r>
              <w:rPr>
                <w:rFonts w:ascii="Calibri" w:hAnsi="Calibri"/>
                <w:b w:val="0"/>
                <w:color w:val="000000"/>
                <w:sz w:val="20"/>
              </w:rPr>
              <w:t xml:space="preserve">Senior analyst </w:t>
            </w:r>
            <w:r>
              <w:rPr>
                <w:rFonts w:ascii="Calibri" w:hAnsi="Calibri"/>
                <w:b/>
                <w:color w:val="000000"/>
                <w:sz w:val="20"/>
              </w:rPr>
              <w:t>and</w:t>
            </w:r>
            <w:r>
              <w:rPr>
                <w:rFonts w:ascii="Calibri" w:hAnsi="Calibri"/>
                <w:b w:val="0"/>
                <w:color w:val="000000"/>
                <w:sz w:val="20"/>
              </w:rPr>
              <w:t xml:space="preserve"> programme manager, immediately</w:t>
            </w:r>
          </w:p>
        </w:tc>
      </w:tr>
      <w:tr>
        <w:tc>
          <w:tcPr>
            <w:tcW w:type="dxa" w:w="4680"/>
            <w:shd w:val="clear" w:color="auto" w:fill="F2F5FA"/>
          </w:tcPr>
          <w:p>
            <w:pPr>
              <w:spacing w:after="40" w:before="40"/>
            </w:pPr>
            <w:r>
              <w:rPr>
                <w:rFonts w:ascii="Calibri" w:hAnsi="Calibri"/>
                <w:b w:val="0"/>
                <w:color w:val="000000"/>
                <w:sz w:val="20"/>
              </w:rPr>
              <w:t>B4 determination</w:t>
            </w:r>
          </w:p>
        </w:tc>
        <w:tc>
          <w:tcPr>
            <w:tcW w:type="dxa" w:w="4680"/>
            <w:shd w:val="clear" w:color="auto" w:fill="F2F5FA"/>
          </w:tcPr>
          <w:p>
            <w:pPr>
              <w:spacing w:after="40" w:before="40"/>
            </w:pPr>
            <w:r>
              <w:rPr>
                <w:rFonts w:ascii="Calibri" w:hAnsi="Calibri"/>
                <w:b w:val="0"/>
                <w:color w:val="000000"/>
                <w:sz w:val="20"/>
              </w:rPr>
              <w:t>Senior analyst</w:t>
            </w:r>
          </w:p>
        </w:tc>
      </w:tr>
      <w:tr>
        <w:tc>
          <w:tcPr>
            <w:tcW w:type="dxa" w:w="4680"/>
          </w:tcPr>
          <w:p>
            <w:pPr>
              <w:spacing w:after="40" w:before="40"/>
            </w:pPr>
            <w:r>
              <w:rPr>
                <w:rFonts w:ascii="Calibri" w:hAnsi="Calibri"/>
                <w:b w:val="0"/>
                <w:color w:val="000000"/>
                <w:sz w:val="20"/>
              </w:rPr>
              <w:t>Bucket dispute</w:t>
            </w:r>
          </w:p>
        </w:tc>
        <w:tc>
          <w:tcPr>
            <w:tcW w:type="dxa" w:w="4680"/>
          </w:tcPr>
          <w:p>
            <w:pPr>
              <w:spacing w:after="40" w:before="40"/>
            </w:pPr>
            <w:r>
              <w:rPr>
                <w:rFonts w:ascii="Calibri" w:hAnsi="Calibri"/>
                <w:b w:val="0"/>
                <w:color w:val="000000"/>
                <w:sz w:val="20"/>
              </w:rPr>
              <w:t>Senior analyst</w:t>
            </w:r>
          </w:p>
        </w:tc>
      </w:tr>
      <w:tr>
        <w:tc>
          <w:tcPr>
            <w:tcW w:type="dxa" w:w="4680"/>
            <w:shd w:val="clear" w:color="auto" w:fill="F2F5FA"/>
          </w:tcPr>
          <w:p>
            <w:pPr>
              <w:spacing w:after="40" w:before="40"/>
            </w:pPr>
            <w:r>
              <w:rPr>
                <w:rFonts w:ascii="Calibri" w:hAnsi="Calibri"/>
                <w:b w:val="0"/>
                <w:color w:val="000000"/>
                <w:sz w:val="20"/>
              </w:rPr>
              <w:t>Methodology question</w:t>
            </w:r>
          </w:p>
        </w:tc>
        <w:tc>
          <w:tcPr>
            <w:tcW w:type="dxa" w:w="4680"/>
            <w:shd w:val="clear" w:color="auto" w:fill="F2F5FA"/>
          </w:tcPr>
          <w:p>
            <w:pPr>
              <w:spacing w:after="40" w:before="40"/>
            </w:pPr>
            <w:r>
              <w:rPr>
                <w:rFonts w:ascii="Calibri" w:hAnsi="Calibri"/>
                <w:b w:val="0"/>
                <w:color w:val="000000"/>
                <w:sz w:val="20"/>
              </w:rPr>
              <w:t>QA lead</w:t>
            </w:r>
          </w:p>
        </w:tc>
      </w:tr>
      <w:tr>
        <w:tc>
          <w:tcPr>
            <w:tcW w:type="dxa" w:w="4680"/>
          </w:tcPr>
          <w:p>
            <w:pPr>
              <w:spacing w:after="40" w:before="40"/>
            </w:pPr>
            <w:r>
              <w:rPr>
                <w:rFonts w:ascii="Calibri" w:hAnsi="Calibri"/>
                <w:b w:val="0"/>
                <w:color w:val="000000"/>
                <w:sz w:val="20"/>
              </w:rPr>
              <w:t>Failed QA gate</w:t>
            </w:r>
          </w:p>
        </w:tc>
        <w:tc>
          <w:tcPr>
            <w:tcW w:type="dxa" w:w="4680"/>
          </w:tcPr>
          <w:p>
            <w:pPr>
              <w:spacing w:after="40" w:before="40"/>
            </w:pPr>
            <w:r>
              <w:rPr>
                <w:rFonts w:ascii="Calibri" w:hAnsi="Calibri"/>
                <w:b w:val="0"/>
                <w:color w:val="000000"/>
                <w:sz w:val="20"/>
              </w:rPr>
              <w:t>QA lead, then programme manager</w:t>
            </w:r>
          </w:p>
        </w:tc>
      </w:tr>
      <w:tr>
        <w:tc>
          <w:tcPr>
            <w:tcW w:type="dxa" w:w="4680"/>
            <w:shd w:val="clear" w:color="auto" w:fill="F2F5FA"/>
          </w:tcPr>
          <w:p>
            <w:pPr>
              <w:spacing w:after="40" w:before="40"/>
            </w:pPr>
            <w:r>
              <w:rPr>
                <w:rFonts w:ascii="Calibri" w:hAnsi="Calibri"/>
                <w:b w:val="0"/>
                <w:color w:val="000000"/>
                <w:sz w:val="20"/>
              </w:rPr>
              <w:t>Blocked deliverable</w:t>
            </w:r>
          </w:p>
        </w:tc>
        <w:tc>
          <w:tcPr>
            <w:tcW w:type="dxa" w:w="4680"/>
            <w:shd w:val="clear" w:color="auto" w:fill="F2F5FA"/>
          </w:tcPr>
          <w:p>
            <w:pPr>
              <w:spacing w:after="40" w:before="40"/>
            </w:pPr>
            <w:r>
              <w:rPr>
                <w:rFonts w:ascii="Calibri" w:hAnsi="Calibri"/>
                <w:b w:val="0"/>
                <w:color w:val="000000"/>
                <w:sz w:val="20"/>
              </w:rPr>
              <w:t>Programme manager</w:t>
            </w:r>
          </w:p>
        </w:tc>
      </w:tr>
      <w:tr>
        <w:tc>
          <w:tcPr>
            <w:tcW w:type="dxa" w:w="4680"/>
          </w:tcPr>
          <w:p>
            <w:pPr>
              <w:spacing w:after="40" w:before="40"/>
            </w:pPr>
            <w:r>
              <w:rPr>
                <w:rFonts w:ascii="Calibri" w:hAnsi="Calibri"/>
                <w:b w:val="0"/>
                <w:color w:val="000000"/>
                <w:sz w:val="20"/>
              </w:rPr>
              <w:t>Connector outage</w:t>
            </w:r>
          </w:p>
        </w:tc>
        <w:tc>
          <w:tcPr>
            <w:tcW w:type="dxa" w:w="4680"/>
          </w:tcPr>
          <w:p>
            <w:pPr>
              <w:spacing w:after="40" w:before="40"/>
            </w:pPr>
            <w:r>
              <w:rPr>
                <w:rFonts w:ascii="Calibri" w:hAnsi="Calibri"/>
                <w:b w:val="0"/>
                <w:color w:val="000000"/>
                <w:sz w:val="20"/>
              </w:rPr>
              <w:t>Administrator</w:t>
            </w:r>
          </w:p>
        </w:tc>
      </w:tr>
      <w:tr>
        <w:tc>
          <w:tcPr>
            <w:tcW w:type="dxa" w:w="4680"/>
            <w:shd w:val="clear" w:color="auto" w:fill="F2F5FA"/>
          </w:tcPr>
          <w:p>
            <w:pPr>
              <w:spacing w:after="40" w:before="40"/>
            </w:pPr>
            <w:r>
              <w:rPr>
                <w:rFonts w:ascii="Calibri" w:hAnsi="Calibri"/>
                <w:b w:val="0"/>
                <w:color w:val="000000"/>
                <w:sz w:val="20"/>
              </w:rPr>
              <w:t>Access or role problem</w:t>
            </w:r>
          </w:p>
        </w:tc>
        <w:tc>
          <w:tcPr>
            <w:tcW w:type="dxa" w:w="4680"/>
            <w:shd w:val="clear" w:color="auto" w:fill="F2F5FA"/>
          </w:tcPr>
          <w:p>
            <w:pPr>
              <w:spacing w:after="40" w:before="40"/>
            </w:pPr>
            <w:r>
              <w:rPr>
                <w:rFonts w:ascii="Calibri" w:hAnsi="Calibri"/>
                <w:b w:val="0"/>
                <w:color w:val="000000"/>
                <w:sz w:val="20"/>
              </w:rPr>
              <w:t>Administrator</w:t>
            </w:r>
          </w:p>
        </w:tc>
      </w:tr>
      <w:tr>
        <w:tc>
          <w:tcPr>
            <w:tcW w:type="dxa" w:w="4680"/>
          </w:tcPr>
          <w:p>
            <w:pPr>
              <w:spacing w:after="40" w:before="40"/>
            </w:pPr>
            <w:r>
              <w:rPr>
                <w:rFonts w:ascii="Calibri" w:hAnsi="Calibri"/>
                <w:b w:val="0"/>
                <w:color w:val="000000"/>
                <w:sz w:val="20"/>
              </w:rPr>
              <w:t>Suspected security event</w:t>
            </w:r>
          </w:p>
        </w:tc>
        <w:tc>
          <w:tcPr>
            <w:tcW w:type="dxa" w:w="4680"/>
          </w:tcPr>
          <w:p>
            <w:pPr>
              <w:spacing w:after="40" w:before="40"/>
            </w:pPr>
            <w:r>
              <w:rPr>
                <w:rFonts w:ascii="Calibri" w:hAnsi="Calibri"/>
                <w:b w:val="0"/>
                <w:color w:val="000000"/>
                <w:sz w:val="20"/>
              </w:rPr>
              <w:t>Administrator and the security contact</w:t>
            </w:r>
          </w:p>
        </w:tc>
      </w:tr>
      <w:tr>
        <w:tc>
          <w:tcPr>
            <w:tcW w:type="dxa" w:w="4680"/>
            <w:shd w:val="clear" w:color="auto" w:fill="F2F5FA"/>
          </w:tcPr>
          <w:p>
            <w:pPr>
              <w:spacing w:after="40" w:before="40"/>
            </w:pPr>
            <w:r>
              <w:rPr>
                <w:rFonts w:ascii="Calibri" w:hAnsi="Calibri"/>
                <w:b w:val="0"/>
                <w:color w:val="000000"/>
                <w:sz w:val="20"/>
              </w:rPr>
              <w:t>Contract or schedule impact</w:t>
            </w:r>
          </w:p>
        </w:tc>
        <w:tc>
          <w:tcPr>
            <w:tcW w:type="dxa" w:w="4680"/>
            <w:shd w:val="clear" w:color="auto" w:fill="F2F5FA"/>
          </w:tcPr>
          <w:p>
            <w:pPr>
              <w:spacing w:after="40" w:before="40"/>
            </w:pPr>
            <w:r>
              <w:rPr>
                <w:rFonts w:ascii="Calibri" w:hAnsi="Calibri"/>
                <w:b w:val="0"/>
                <w:color w:val="000000"/>
                <w:sz w:val="20"/>
              </w:rPr>
              <w:t>Programme manager, then the COR</w:t>
            </w:r>
          </w:p>
        </w:tc>
      </w:tr>
    </w:tbl>
    <w:p>
      <w:pPr>
        <w:spacing w:after="80"/>
      </w:pPr>
    </w:p>
    <w:p>
      <w:r>
        <w:br w:type="page"/>
      </w:r>
    </w:p>
    <w:p>
      <w:pPr>
        <w:pStyle w:val="Heading1"/>
        <w:keepNext/>
        <w:spacing w:before="280" w:after="120"/>
        <w:outlineLvl w:val="0"/>
      </w:pPr>
      <w:r>
        <w:rPr>
          <w:rFonts w:ascii="Calibri" w:hAnsi="Calibri"/>
          <w:b/>
          <w:color w:val="003087"/>
          <w:sz w:val="28"/>
        </w:rPr>
        <w:t>21. User Security Responsibilities</w:t>
      </w:r>
    </w:p>
    <w:p>
      <w:pPr>
        <w:pStyle w:val="Heading2"/>
        <w:keepNext/>
        <w:spacing w:before="200" w:after="120"/>
        <w:outlineLvl w:val="1"/>
      </w:pPr>
      <w:r>
        <w:rPr>
          <w:rFonts w:ascii="Calibri" w:hAnsi="Calibri"/>
          <w:b/>
          <w:color w:val="003087"/>
          <w:sz w:val="25"/>
        </w:rPr>
        <w:t>21.1 The system use notice</w:t>
      </w:r>
    </w:p>
    <w:p>
      <w:pPr>
        <w:spacing w:after="120" w:before="0"/>
      </w:pPr>
      <w:r>
        <w:rPr>
          <w:rFonts w:ascii="Calibri" w:hAnsi="Calibri"/>
          <w:b w:val="0"/>
          <w:color w:val="000000"/>
          <w:sz w:val="22"/>
        </w:rPr>
        <w:t>Every user is bound by the notice presented in the Trust Center:</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0" w:before="0"/>
            </w:pPr>
            <w:r>
              <w:rPr>
                <w:rFonts w:ascii="Calibri" w:hAnsi="Calibri"/>
                <w:b w:val="0"/>
                <w:color w:val="000000"/>
                <w:sz w:val="21"/>
              </w:rPr>
              <w:t>This is a U.S. Government information system provided for authorized use only. Activity is monitored and audited. Unauthorized use is prohibited and may result in administrative or legal action. By continuing, you consent to monitoring. Handle all data in accordance with its classification.</w:t>
            </w:r>
          </w:p>
        </w:tc>
      </w:tr>
    </w:tbl>
    <w:p>
      <w:pPr>
        <w:spacing w:after="80"/>
      </w:pPr>
    </w:p>
    <w:p>
      <w:pPr>
        <w:pStyle w:val="Heading2"/>
        <w:keepNext/>
        <w:spacing w:before="200" w:after="120"/>
        <w:outlineLvl w:val="1"/>
      </w:pPr>
      <w:r>
        <w:rPr>
          <w:rFonts w:ascii="Calibri" w:hAnsi="Calibri"/>
          <w:b/>
          <w:color w:val="003087"/>
          <w:sz w:val="25"/>
        </w:rPr>
        <w:t>21.2 Data classification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Classification</w:t>
            </w:r>
          </w:p>
        </w:tc>
        <w:tc>
          <w:tcPr>
            <w:tcW w:type="dxa" w:w="3120"/>
            <w:shd w:val="clear" w:color="auto" w:fill="003087"/>
          </w:tcPr>
          <w:p>
            <w:pPr>
              <w:spacing w:after="40" w:before="40"/>
            </w:pPr>
            <w:r>
              <w:rPr>
                <w:rFonts w:ascii="Calibri" w:hAnsi="Calibri"/>
                <w:b/>
                <w:color w:val="FFFFFF"/>
                <w:sz w:val="20"/>
              </w:rPr>
              <w:t>What it covers</w:t>
            </w:r>
          </w:p>
        </w:tc>
        <w:tc>
          <w:tcPr>
            <w:tcW w:type="dxa" w:w="3120"/>
            <w:shd w:val="clear" w:color="auto" w:fill="003087"/>
          </w:tcPr>
          <w:p>
            <w:pPr>
              <w:spacing w:after="40" w:before="40"/>
            </w:pPr>
            <w:r>
              <w:rPr>
                <w:rFonts w:ascii="Calibri" w:hAnsi="Calibri"/>
                <w:b/>
                <w:color w:val="FFFFFF"/>
                <w:sz w:val="20"/>
              </w:rPr>
              <w:t>Who may see it</w:t>
            </w:r>
          </w:p>
        </w:tc>
      </w:tr>
      <w:tr>
        <w:tc>
          <w:tcPr>
            <w:tcW w:type="dxa" w:w="3120"/>
          </w:tcPr>
          <w:p>
            <w:pPr>
              <w:spacing w:after="40" w:before="40"/>
            </w:pPr>
            <w:r>
              <w:rPr>
                <w:rFonts w:ascii="Calibri" w:hAnsi="Calibri"/>
                <w:b/>
                <w:color w:val="000000"/>
                <w:sz w:val="20"/>
              </w:rPr>
              <w:t>CUI // PII</w:t>
            </w:r>
          </w:p>
        </w:tc>
        <w:tc>
          <w:tcPr>
            <w:tcW w:type="dxa" w:w="3120"/>
          </w:tcPr>
          <w:p>
            <w:pPr>
              <w:spacing w:after="40" w:before="40"/>
            </w:pPr>
            <w:r>
              <w:rPr>
                <w:rFonts w:ascii="Calibri" w:hAnsi="Calibri"/>
                <w:b w:val="0"/>
                <w:color w:val="000000"/>
                <w:sz w:val="20"/>
              </w:rPr>
              <w:t>Entity names and NPIs</w:t>
            </w:r>
          </w:p>
        </w:tc>
        <w:tc>
          <w:tcPr>
            <w:tcW w:type="dxa" w:w="3120"/>
          </w:tcPr>
          <w:p>
            <w:pPr>
              <w:spacing w:after="40" w:before="40"/>
            </w:pPr>
            <w:r>
              <w:rPr>
                <w:rFonts w:ascii="Calibri" w:hAnsi="Calibri"/>
                <w:b w:val="0"/>
                <w:color w:val="000000"/>
                <w:sz w:val="20"/>
              </w:rPr>
              <w:t>reviewer and above; masked for lower roles</w:t>
            </w:r>
          </w:p>
        </w:tc>
      </w:tr>
      <w:tr>
        <w:tc>
          <w:tcPr>
            <w:tcW w:type="dxa" w:w="3120"/>
            <w:shd w:val="clear" w:color="auto" w:fill="F2F5FA"/>
          </w:tcPr>
          <w:p>
            <w:pPr>
              <w:spacing w:after="40" w:before="40"/>
            </w:pPr>
            <w:r>
              <w:rPr>
                <w:rFonts w:ascii="Calibri" w:hAnsi="Calibri"/>
                <w:b/>
                <w:color w:val="000000"/>
                <w:sz w:val="20"/>
              </w:rPr>
              <w:t>Sensitive</w:t>
            </w:r>
          </w:p>
        </w:tc>
        <w:tc>
          <w:tcPr>
            <w:tcW w:type="dxa" w:w="3120"/>
            <w:shd w:val="clear" w:color="auto" w:fill="F2F5FA"/>
          </w:tcPr>
          <w:p>
            <w:pPr>
              <w:spacing w:after="40" w:before="40"/>
            </w:pPr>
            <w:r>
              <w:rPr>
                <w:rFonts w:ascii="Calibri" w:hAnsi="Calibri"/>
                <w:b w:val="0"/>
                <w:color w:val="000000"/>
                <w:sz w:val="20"/>
              </w:rPr>
              <w:t>Findings, dispositions, evidence</w:t>
            </w:r>
          </w:p>
        </w:tc>
        <w:tc>
          <w:tcPr>
            <w:tcW w:type="dxa" w:w="3120"/>
            <w:shd w:val="clear" w:color="auto" w:fill="F2F5FA"/>
          </w:tcPr>
          <w:p>
            <w:pPr>
              <w:spacing w:after="40" w:before="40"/>
            </w:pPr>
            <w:r>
              <w:rPr>
                <w:rFonts w:ascii="Calibri" w:hAnsi="Calibri"/>
                <w:b w:val="0"/>
                <w:color w:val="000000"/>
                <w:sz w:val="20"/>
              </w:rPr>
              <w:t>Role-gated</w:t>
            </w:r>
          </w:p>
        </w:tc>
      </w:tr>
      <w:tr>
        <w:tc>
          <w:tcPr>
            <w:tcW w:type="dxa" w:w="3120"/>
          </w:tcPr>
          <w:p>
            <w:pPr>
              <w:spacing w:after="40" w:before="40"/>
            </w:pPr>
            <w:r>
              <w:rPr>
                <w:rFonts w:ascii="Calibri" w:hAnsi="Calibri"/>
                <w:b/>
                <w:color w:val="000000"/>
                <w:sz w:val="20"/>
              </w:rPr>
              <w:t>Public</w:t>
            </w:r>
          </w:p>
        </w:tc>
        <w:tc>
          <w:tcPr>
            <w:tcW w:type="dxa" w:w="3120"/>
          </w:tcPr>
          <w:p>
            <w:pPr>
              <w:spacing w:after="40" w:before="40"/>
            </w:pPr>
            <w:r>
              <w:rPr>
                <w:rFonts w:ascii="Calibri" w:hAnsi="Calibri"/>
                <w:b w:val="0"/>
                <w:color w:val="000000"/>
                <w:sz w:val="20"/>
              </w:rPr>
              <w:t>Aggregate metrics and module status — no PII</w:t>
            </w:r>
          </w:p>
        </w:tc>
        <w:tc>
          <w:tcPr>
            <w:tcW w:type="dxa" w:w="3120"/>
          </w:tcPr>
          <w:p>
            <w:pPr>
              <w:spacing w:after="40" w:before="40"/>
            </w:pPr>
            <w:r>
              <w:rPr>
                <w:rFonts w:ascii="Calibri" w:hAnsi="Calibri"/>
                <w:b w:val="0"/>
                <w:color w:val="000000"/>
                <w:sz w:val="20"/>
              </w:rPr>
              <w:t>All authenticated users</w:t>
            </w:r>
          </w:p>
        </w:tc>
      </w:tr>
    </w:tbl>
    <w:p>
      <w:pPr>
        <w:spacing w:after="80"/>
      </w:pPr>
    </w:p>
    <w:p>
      <w:pPr>
        <w:spacing w:after="120" w:before="0"/>
      </w:pPr>
      <w:r>
        <w:rPr>
          <w:rFonts w:ascii="Calibri" w:hAnsi="Calibri"/>
          <w:b w:val="0"/>
          <w:color w:val="000000"/>
          <w:sz w:val="22"/>
        </w:rPr>
        <w:t>PII is role-gated rather than universally visible. Entity-level detail and exports are restricted to reviewer and above. Aggregate surfaces never expose PII.</w:t>
      </w:r>
    </w:p>
    <w:p>
      <w:pPr>
        <w:pStyle w:val="Heading2"/>
        <w:keepNext/>
        <w:spacing w:before="200" w:after="120"/>
        <w:outlineLvl w:val="1"/>
      </w:pPr>
      <w:r>
        <w:rPr>
          <w:rFonts w:ascii="Calibri" w:hAnsi="Calibri"/>
          <w:b/>
          <w:color w:val="003087"/>
          <w:sz w:val="25"/>
        </w:rPr>
        <w:t>21.3 Your obligations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Obligation</w:t>
            </w:r>
          </w:p>
        </w:tc>
        <w:tc>
          <w:tcPr>
            <w:tcW w:type="dxa" w:w="4680"/>
            <w:shd w:val="clear" w:color="auto" w:fill="003087"/>
          </w:tcPr>
          <w:p>
            <w:pPr>
              <w:spacing w:after="40" w:before="40"/>
            </w:pPr>
            <w:r>
              <w:rPr>
                <w:rFonts w:ascii="Calibri" w:hAnsi="Calibri"/>
                <w:b/>
                <w:color w:val="FFFFFF"/>
                <w:sz w:val="20"/>
              </w:rPr>
              <w:t>In practice</w:t>
            </w:r>
          </w:p>
        </w:tc>
      </w:tr>
      <w:tr>
        <w:tc>
          <w:tcPr>
            <w:tcW w:type="dxa" w:w="4680"/>
          </w:tcPr>
          <w:p>
            <w:pPr>
              <w:spacing w:after="40" w:before="40"/>
            </w:pPr>
            <w:r>
              <w:rPr>
                <w:rFonts w:ascii="Calibri" w:hAnsi="Calibri"/>
                <w:b/>
                <w:color w:val="000000"/>
                <w:sz w:val="20"/>
              </w:rPr>
              <w:t>Protect your credentials</w:t>
            </w:r>
          </w:p>
        </w:tc>
        <w:tc>
          <w:tcPr>
            <w:tcW w:type="dxa" w:w="4680"/>
          </w:tcPr>
          <w:p>
            <w:pPr>
              <w:spacing w:after="40" w:before="40"/>
            </w:pPr>
            <w:r>
              <w:rPr>
                <w:rFonts w:ascii="Calibri" w:hAnsi="Calibri"/>
                <w:b w:val="0"/>
                <w:color w:val="000000"/>
                <w:sz w:val="20"/>
              </w:rPr>
              <w:t>Never share an account. Every action is attributed to the account that performed it, so sharing an account destroys attribution and makes the audit trail unusable</w:t>
            </w:r>
          </w:p>
        </w:tc>
      </w:tr>
      <w:tr>
        <w:tc>
          <w:tcPr>
            <w:tcW w:type="dxa" w:w="4680"/>
            <w:shd w:val="clear" w:color="auto" w:fill="F2F5FA"/>
          </w:tcPr>
          <w:p>
            <w:pPr>
              <w:spacing w:after="40" w:before="40"/>
            </w:pPr>
            <w:r>
              <w:rPr>
                <w:rFonts w:ascii="Calibri" w:hAnsi="Calibri"/>
                <w:b/>
                <w:color w:val="000000"/>
                <w:sz w:val="20"/>
              </w:rPr>
              <w:t>Use the right environment</w:t>
            </w:r>
          </w:p>
        </w:tc>
        <w:tc>
          <w:tcPr>
            <w:tcW w:type="dxa" w:w="4680"/>
            <w:shd w:val="clear" w:color="auto" w:fill="F2F5FA"/>
          </w:tcPr>
          <w:p>
            <w:pPr>
              <w:spacing w:after="40" w:before="40"/>
            </w:pPr>
            <w:r>
              <w:rPr>
                <w:rFonts w:ascii="Calibri" w:hAnsi="Calibri"/>
                <w:b w:val="0"/>
                <w:color w:val="000000"/>
                <w:sz w:val="20"/>
              </w:rPr>
              <w:t>Do not perform training or experimentation against production</w:t>
            </w:r>
          </w:p>
        </w:tc>
      </w:tr>
      <w:tr>
        <w:tc>
          <w:tcPr>
            <w:tcW w:type="dxa" w:w="4680"/>
          </w:tcPr>
          <w:p>
            <w:pPr>
              <w:spacing w:after="40" w:before="40"/>
            </w:pPr>
            <w:r>
              <w:rPr>
                <w:rFonts w:ascii="Calibri" w:hAnsi="Calibri"/>
                <w:b/>
                <w:color w:val="000000"/>
                <w:sz w:val="20"/>
              </w:rPr>
              <w:t>Handle data by classification</w:t>
            </w:r>
          </w:p>
        </w:tc>
        <w:tc>
          <w:tcPr>
            <w:tcW w:type="dxa" w:w="4680"/>
          </w:tcPr>
          <w:p>
            <w:pPr>
              <w:spacing w:after="40" w:before="40"/>
            </w:pPr>
            <w:r>
              <w:rPr>
                <w:rFonts w:ascii="Calibri" w:hAnsi="Calibri"/>
                <w:b w:val="0"/>
                <w:color w:val="000000"/>
                <w:sz w:val="20"/>
              </w:rPr>
              <w:t>Do not copy entity detail into email, chat, tickets, or personal files</w:t>
            </w:r>
          </w:p>
        </w:tc>
      </w:tr>
      <w:tr>
        <w:tc>
          <w:tcPr>
            <w:tcW w:type="dxa" w:w="4680"/>
            <w:shd w:val="clear" w:color="auto" w:fill="F2F5FA"/>
          </w:tcPr>
          <w:p>
            <w:pPr>
              <w:spacing w:after="40" w:before="40"/>
            </w:pPr>
            <w:r>
              <w:rPr>
                <w:rFonts w:ascii="Calibri" w:hAnsi="Calibri"/>
                <w:b/>
                <w:color w:val="000000"/>
                <w:sz w:val="20"/>
              </w:rPr>
              <w:t>Report anomalies</w:t>
            </w:r>
          </w:p>
        </w:tc>
        <w:tc>
          <w:tcPr>
            <w:tcW w:type="dxa" w:w="4680"/>
            <w:shd w:val="clear" w:color="auto" w:fill="F2F5FA"/>
          </w:tcPr>
          <w:p>
            <w:pPr>
              <w:spacing w:after="40" w:before="40"/>
            </w:pPr>
            <w:r>
              <w:rPr>
                <w:rFonts w:ascii="Calibri" w:hAnsi="Calibri"/>
                <w:b w:val="0"/>
                <w:color w:val="000000"/>
                <w:sz w:val="20"/>
              </w:rPr>
              <w:t>Report suspected security events to your administrator and the security contact promptly</w:t>
            </w:r>
          </w:p>
        </w:tc>
      </w:tr>
      <w:tr>
        <w:tc>
          <w:tcPr>
            <w:tcW w:type="dxa" w:w="4680"/>
          </w:tcPr>
          <w:p>
            <w:pPr>
              <w:spacing w:after="40" w:before="40"/>
            </w:pPr>
            <w:r>
              <w:rPr>
                <w:rFonts w:ascii="Calibri" w:hAnsi="Calibri"/>
                <w:b/>
                <w:color w:val="000000"/>
                <w:sz w:val="20"/>
              </w:rPr>
              <w:t>Lock your session</w:t>
            </w:r>
          </w:p>
        </w:tc>
        <w:tc>
          <w:tcPr>
            <w:tcW w:type="dxa" w:w="4680"/>
          </w:tcPr>
          <w:p>
            <w:pPr>
              <w:spacing w:after="40" w:before="40"/>
            </w:pPr>
            <w:r>
              <w:rPr>
                <w:rFonts w:ascii="Calibri" w:hAnsi="Calibri"/>
                <w:b w:val="0"/>
                <w:color w:val="000000"/>
                <w:sz w:val="20"/>
              </w:rPr>
              <w:t>Sessions expire automatically, but do not leave an authenticated session unattended</w:t>
            </w:r>
          </w:p>
        </w:tc>
      </w:tr>
      <w:tr>
        <w:tc>
          <w:tcPr>
            <w:tcW w:type="dxa" w:w="4680"/>
            <w:shd w:val="clear" w:color="auto" w:fill="F2F5FA"/>
          </w:tcPr>
          <w:p>
            <w:pPr>
              <w:spacing w:after="40" w:before="40"/>
            </w:pPr>
            <w:r>
              <w:rPr>
                <w:rFonts w:ascii="Calibri" w:hAnsi="Calibri"/>
                <w:b/>
                <w:color w:val="000000"/>
                <w:sz w:val="20"/>
              </w:rPr>
              <w:t>Least privilege</w:t>
            </w:r>
          </w:p>
        </w:tc>
        <w:tc>
          <w:tcPr>
            <w:tcW w:type="dxa" w:w="4680"/>
            <w:shd w:val="clear" w:color="auto" w:fill="F2F5FA"/>
          </w:tcPr>
          <w:p>
            <w:pPr>
              <w:spacing w:after="40" w:before="40"/>
            </w:pPr>
            <w:r>
              <w:rPr>
                <w:rFonts w:ascii="Calibri" w:hAnsi="Calibri"/>
                <w:b w:val="0"/>
                <w:color w:val="000000"/>
                <w:sz w:val="20"/>
              </w:rPr>
              <w:t>Request only the role your duties require. Do not request elevation for convenience</w:t>
            </w:r>
          </w:p>
        </w:tc>
      </w:tr>
      <w:tr>
        <w:tc>
          <w:tcPr>
            <w:tcW w:type="dxa" w:w="4680"/>
          </w:tcPr>
          <w:p>
            <w:pPr>
              <w:spacing w:after="40" w:before="40"/>
            </w:pPr>
            <w:r>
              <w:rPr>
                <w:rFonts w:ascii="Calibri" w:hAnsi="Calibri"/>
                <w:b/>
                <w:color w:val="000000"/>
                <w:sz w:val="20"/>
              </w:rPr>
              <w:t>Keep notes professional</w:t>
            </w:r>
          </w:p>
        </w:tc>
        <w:tc>
          <w:tcPr>
            <w:tcW w:type="dxa" w:w="4680"/>
          </w:tcPr>
          <w:p>
            <w:pPr>
              <w:spacing w:after="40" w:before="40"/>
            </w:pPr>
            <w:r>
              <w:rPr>
                <w:rFonts w:ascii="Calibri" w:hAnsi="Calibri"/>
                <w:b w:val="0"/>
                <w:color w:val="000000"/>
                <w:sz w:val="20"/>
              </w:rPr>
              <w:t>Review notes are part of a government record and may be read by an auditor</w:t>
            </w:r>
          </w:p>
        </w:tc>
      </w:tr>
    </w:tbl>
    <w:p>
      <w:pPr>
        <w:spacing w:after="80"/>
      </w:pPr>
    </w:p>
    <w:p>
      <w:pPr>
        <w:pStyle w:val="Heading2"/>
        <w:keepNext/>
        <w:spacing w:before="200" w:after="120"/>
        <w:outlineLvl w:val="1"/>
      </w:pPr>
      <w:r>
        <w:rPr>
          <w:rFonts w:ascii="Calibri" w:hAnsi="Calibri"/>
          <w:b/>
          <w:color w:val="003087"/>
          <w:sz w:val="25"/>
        </w:rPr>
        <w:t>21.4 What is monitored</w:t>
      </w:r>
    </w:p>
    <w:p>
      <w:pPr>
        <w:spacing w:after="120" w:before="0"/>
      </w:pPr>
      <w:r>
        <w:rPr>
          <w:rFonts w:ascii="Calibri" w:hAnsi="Calibri"/>
          <w:b w:val="0"/>
          <w:color w:val="000000"/>
          <w:sz w:val="22"/>
        </w:rPr>
        <w:t>Authentication and authorization events, administrative actions, entity and review changes, imports, status transitions including refused ones, and report generation. Production carries application monitoring and security alerting.</w:t>
      </w:r>
    </w:p>
    <w:p>
      <w:r>
        <w:br w:type="page"/>
      </w:r>
    </w:p>
    <w:p>
      <w:pPr>
        <w:pStyle w:val="Heading1"/>
        <w:keepNext/>
        <w:spacing w:before="280" w:after="120"/>
        <w:outlineLvl w:val="0"/>
      </w:pPr>
      <w:r>
        <w:rPr>
          <w:rFonts w:ascii="Calibri" w:hAnsi="Calibri"/>
          <w:b/>
          <w:color w:val="003087"/>
          <w:sz w:val="28"/>
        </w:rPr>
        <w:t>22. What Users Must Not Do</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PROHIBITED — OPERATIONAL GUARDRAILS</w:t>
            </w:r>
          </w:p>
          <w:p>
            <w:pPr>
              <w:spacing w:after="0" w:before="0"/>
            </w:pPr>
            <w:r>
              <w:rPr>
                <w:rFonts w:ascii="Calibri" w:hAnsi="Calibri"/>
                <w:b w:val="0"/>
                <w:color w:val="000000"/>
                <w:sz w:val="21"/>
              </w:rPr>
              <w:t>These are not stylistic preferences. Each one exists because violating it produces a defective government record.</w:t>
            </w:r>
          </w:p>
        </w:tc>
      </w:tr>
    </w:tbl>
    <w:p>
      <w:pPr>
        <w:spacing w:after="80"/>
      </w:pPr>
    </w:p>
    <w:p>
      <w:pPr>
        <w:pStyle w:val="Heading2"/>
        <w:keepNext/>
        <w:spacing w:before="200" w:after="120"/>
        <w:outlineLvl w:val="1"/>
      </w:pPr>
      <w:r>
        <w:rPr>
          <w:rFonts w:ascii="Calibri" w:hAnsi="Calibri"/>
          <w:b/>
          <w:color w:val="003087"/>
          <w:sz w:val="25"/>
        </w:rPr>
        <w:t>22.1 Evidence and determinations</w:t>
      </w:r>
    </w:p>
    <w:p>
      <w:pPr>
        <w:pStyle w:val="ListNumber"/>
        <w:spacing w:after="40"/>
      </w:pPr>
      <w:r>
        <w:rPr>
          <w:rFonts w:ascii="Calibri" w:hAnsi="Calibri"/>
          <w:b/>
          <w:color w:val="000000"/>
          <w:sz w:val="21"/>
        </w:rPr>
        <w:t>Do not override authoritative evidence without a documented reason.</w:t>
      </w:r>
      <w:r>
        <w:rPr>
          <w:rFonts w:ascii="Calibri" w:hAnsi="Calibri"/>
          <w:b w:val="0"/>
          <w:color w:val="000000"/>
          <w:sz w:val="21"/>
        </w:rPr>
        <w:t xml:space="preserve"> A reclassification against what a federal source returned requires a rationale that explains why the source is not decisive here.</w:t>
      </w:r>
    </w:p>
    <w:p>
      <w:pPr>
        <w:pStyle w:val="ListNumber"/>
        <w:spacing w:after="40"/>
      </w:pPr>
      <w:r>
        <w:rPr>
          <w:rFonts w:ascii="Calibri" w:hAnsi="Calibri"/>
          <w:b/>
          <w:color w:val="000000"/>
          <w:sz w:val="21"/>
        </w:rPr>
        <w:t>Do not treat "unavailable" as "verified."</w:t>
      </w:r>
      <w:r>
        <w:rPr>
          <w:rFonts w:ascii="Calibri" w:hAnsi="Calibri"/>
          <w:b w:val="0"/>
          <w:color w:val="000000"/>
          <w:sz w:val="21"/>
        </w:rPr>
        <w:t xml:space="preserve"> A source that did not answer has told you nothing about the entity.</w:t>
      </w:r>
    </w:p>
    <w:p>
      <w:pPr>
        <w:pStyle w:val="ListNumber"/>
        <w:spacing w:after="40"/>
      </w:pPr>
      <w:r>
        <w:rPr>
          <w:rFonts w:ascii="Calibri" w:hAnsi="Calibri"/>
          <w:b/>
          <w:color w:val="000000"/>
          <w:sz w:val="21"/>
        </w:rPr>
        <w:t>Do not treat "unavailable" as "not found."</w:t>
      </w:r>
      <w:r>
        <w:rPr>
          <w:rFonts w:ascii="Calibri" w:hAnsi="Calibri"/>
          <w:b w:val="0"/>
          <w:color w:val="000000"/>
          <w:sz w:val="21"/>
        </w:rPr>
        <w:t xml:space="preserve"> One is a gap in your evidence; the other is evidence against the entity. They are opposite.</w:t>
      </w:r>
    </w:p>
    <w:p>
      <w:pPr>
        <w:pStyle w:val="ListNumber"/>
        <w:spacing w:after="40"/>
      </w:pPr>
      <w:r>
        <w:rPr>
          <w:rFonts w:ascii="Calibri" w:hAnsi="Calibri"/>
          <w:b/>
          <w:color w:val="000000"/>
          <w:sz w:val="21"/>
        </w:rPr>
        <w:t>Do not close an Indeterminate record as clean.</w:t>
      </w:r>
      <w:r>
        <w:rPr>
          <w:rFonts w:ascii="Calibri" w:hAnsi="Calibri"/>
          <w:b w:val="0"/>
          <w:color w:val="000000"/>
          <w:sz w:val="21"/>
        </w:rPr>
        <w:t xml:space="preserve"> That status exists precisely to stop this.</w:t>
      </w:r>
    </w:p>
    <w:p>
      <w:pPr>
        <w:pStyle w:val="ListNumber"/>
        <w:spacing w:after="40"/>
      </w:pPr>
      <w:r>
        <w:rPr>
          <w:rFonts w:ascii="Calibri" w:hAnsi="Calibri"/>
          <w:b/>
          <w:color w:val="000000"/>
          <w:sz w:val="21"/>
        </w:rPr>
        <w:t>Do not manually change evidence, or entity data, to force a successful result.</w:t>
      </w:r>
    </w:p>
    <w:p>
      <w:pPr>
        <w:pStyle w:val="ListNumber"/>
        <w:spacing w:after="40"/>
      </w:pPr>
      <w:r>
        <w:rPr>
          <w:rFonts w:ascii="Calibri" w:hAnsi="Calibri"/>
          <w:b/>
          <w:color w:val="000000"/>
          <w:sz w:val="21"/>
        </w:rPr>
        <w:t>Do not infer a clean result from a missing finding</w:t>
      </w:r>
      <w:r>
        <w:rPr>
          <w:rFonts w:ascii="Calibri" w:hAnsi="Calibri"/>
          <w:b w:val="0"/>
          <w:color w:val="000000"/>
          <w:sz w:val="21"/>
        </w:rPr>
        <w:t xml:space="preserve"> when the source that would have produced that finding was unavailable, not implemented, or non-functional. This applies today to SAM.gov and to payment suspension.</w:t>
      </w:r>
    </w:p>
    <w:p>
      <w:pPr>
        <w:pStyle w:val="ListNumber"/>
        <w:spacing w:after="40"/>
      </w:pPr>
      <w:r>
        <w:rPr>
          <w:rFonts w:ascii="Calibri" w:hAnsi="Calibri"/>
          <w:b/>
          <w:color w:val="000000"/>
          <w:sz w:val="21"/>
        </w:rPr>
        <w:t>Do not resolve a record without a rationale you would defend in an audit.</w:t>
      </w:r>
    </w:p>
    <w:p>
      <w:pPr>
        <w:pStyle w:val="Heading2"/>
        <w:keepNext/>
        <w:spacing w:before="200" w:after="120"/>
        <w:outlineLvl w:val="1"/>
      </w:pPr>
      <w:r>
        <w:rPr>
          <w:rFonts w:ascii="Calibri" w:hAnsi="Calibri"/>
          <w:b/>
          <w:color w:val="003087"/>
          <w:sz w:val="25"/>
        </w:rPr>
        <w:t>22.2 AI</w:t>
      </w:r>
    </w:p>
    <w:p>
      <w:pPr>
        <w:pStyle w:val="ListNumber"/>
        <w:spacing w:after="40"/>
      </w:pPr>
      <w:r>
        <w:rPr>
          <w:rFonts w:ascii="Calibri" w:hAnsi="Calibri"/>
          <w:b/>
          <w:color w:val="000000"/>
          <w:sz w:val="21"/>
        </w:rPr>
        <w:t>Do not treat AI-generated content as authoritative evidence.</w:t>
      </w:r>
      <w:r>
        <w:rPr>
          <w:rFonts w:ascii="Calibri" w:hAnsi="Calibri"/>
          <w:b w:val="0"/>
          <w:color w:val="000000"/>
          <w:sz w:val="21"/>
        </w:rPr>
        <w:t xml:space="preserve"> An AI recommendation is context for a human, never the basis of a determination — and AI is disabled at present in any case.</w:t>
      </w:r>
    </w:p>
    <w:p>
      <w:pPr>
        <w:pStyle w:val="Heading2"/>
        <w:keepNext/>
        <w:spacing w:before="200" w:after="120"/>
        <w:outlineLvl w:val="1"/>
      </w:pPr>
      <w:r>
        <w:rPr>
          <w:rFonts w:ascii="Calibri" w:hAnsi="Calibri"/>
          <w:b/>
          <w:color w:val="003087"/>
          <w:sz w:val="25"/>
        </w:rPr>
        <w:t>22.3 Environments</w:t>
      </w:r>
    </w:p>
    <w:p>
      <w:pPr>
        <w:pStyle w:val="ListNumber"/>
        <w:spacing w:after="40"/>
      </w:pPr>
      <w:r>
        <w:rPr>
          <w:rFonts w:ascii="Calibri" w:hAnsi="Calibri"/>
          <w:b/>
          <w:color w:val="000000"/>
          <w:sz w:val="21"/>
        </w:rPr>
        <w:t>Do not use development results for production decisions.</w:t>
      </w:r>
    </w:p>
    <w:p>
      <w:pPr>
        <w:pStyle w:val="ListNumber"/>
        <w:spacing w:after="40"/>
      </w:pPr>
      <w:r>
        <w:rPr>
          <w:rFonts w:ascii="Calibri" w:hAnsi="Calibri"/>
          <w:b/>
          <w:color w:val="000000"/>
          <w:sz w:val="21"/>
        </w:rPr>
        <w:t>Do not treat demonstration-mode output as official verification</w:t>
      </w:r>
      <w:r>
        <w:rPr>
          <w:rFonts w:ascii="Calibri" w:hAnsi="Calibri"/>
          <w:b w:val="0"/>
          <w:color w:val="000000"/>
          <w:sz w:val="21"/>
        </w:rPr>
        <w:t>, on either environment, for as long as the provenance stamp is present.</w:t>
      </w:r>
    </w:p>
    <w:p>
      <w:pPr>
        <w:pStyle w:val="ListNumber"/>
        <w:spacing w:after="40"/>
      </w:pPr>
      <w:r>
        <w:rPr>
          <w:rFonts w:ascii="Calibri" w:hAnsi="Calibri"/>
          <w:b/>
          <w:color w:val="000000"/>
          <w:sz w:val="21"/>
        </w:rPr>
        <w:t>Do not remove, crop, or suppress the provenance stamp</w:t>
      </w:r>
      <w:r>
        <w:rPr>
          <w:rFonts w:ascii="Calibri" w:hAnsi="Calibri"/>
          <w:b w:val="0"/>
          <w:color w:val="000000"/>
          <w:sz w:val="21"/>
        </w:rPr>
        <w:t xml:space="preserve"> on any exported document.</w:t>
      </w:r>
    </w:p>
    <w:p>
      <w:pPr>
        <w:pStyle w:val="Heading2"/>
        <w:keepNext/>
        <w:spacing w:before="200" w:after="120"/>
        <w:outlineLvl w:val="1"/>
      </w:pPr>
      <w:r>
        <w:rPr>
          <w:rFonts w:ascii="Calibri" w:hAnsi="Calibri"/>
          <w:b/>
          <w:color w:val="003087"/>
          <w:sz w:val="25"/>
        </w:rPr>
        <w:t>22.4 Process</w:t>
      </w:r>
    </w:p>
    <w:p>
      <w:pPr>
        <w:pStyle w:val="ListNumber"/>
        <w:spacing w:after="40"/>
      </w:pPr>
      <w:r>
        <w:rPr>
          <w:rFonts w:ascii="Calibri" w:hAnsi="Calibri"/>
          <w:b/>
          <w:color w:val="000000"/>
          <w:sz w:val="21"/>
        </w:rPr>
        <w:t>Do not bypass required human review.</w:t>
      </w:r>
      <w:r>
        <w:rPr>
          <w:rFonts w:ascii="Calibri" w:hAnsi="Calibri"/>
          <w:b w:val="0"/>
          <w:color w:val="000000"/>
          <w:sz w:val="21"/>
        </w:rPr>
        <w:t xml:space="preserve"> Only a clean, high-confidence, fully covered B1 completes without a person.</w:t>
      </w:r>
    </w:p>
    <w:p>
      <w:pPr>
        <w:pStyle w:val="ListNumber"/>
        <w:spacing w:after="40"/>
      </w:pPr>
      <w:r>
        <w:rPr>
          <w:rFonts w:ascii="Calibri" w:hAnsi="Calibri"/>
          <w:b/>
          <w:color w:val="000000"/>
          <w:sz w:val="21"/>
        </w:rPr>
        <w:t>Do not work around a failed QA gate.</w:t>
      </w:r>
      <w:r>
        <w:rPr>
          <w:rFonts w:ascii="Calibri" w:hAnsi="Calibri"/>
          <w:b w:val="0"/>
          <w:color w:val="000000"/>
          <w:sz w:val="21"/>
        </w:rPr>
        <w:t xml:space="preserve"> A blocked deliverable is the control working.</w:t>
      </w:r>
    </w:p>
    <w:p>
      <w:pPr>
        <w:pStyle w:val="ListNumber"/>
        <w:spacing w:after="40"/>
      </w:pPr>
      <w:r>
        <w:rPr>
          <w:rFonts w:ascii="Calibri" w:hAnsi="Calibri"/>
          <w:b/>
          <w:color w:val="000000"/>
          <w:sz w:val="21"/>
        </w:rPr>
        <w:t>Do not close a B4 at reviewer level.</w:t>
      </w:r>
      <w:r>
        <w:rPr>
          <w:rFonts w:ascii="Calibri" w:hAnsi="Calibri"/>
          <w:b w:val="0"/>
          <w:color w:val="000000"/>
          <w:sz w:val="21"/>
        </w:rPr>
        <w:t xml:space="preserve"> Escalate it.</w:t>
      </w:r>
    </w:p>
    <w:p>
      <w:pPr>
        <w:pStyle w:val="Heading2"/>
        <w:keepNext/>
        <w:spacing w:before="200" w:after="120"/>
        <w:outlineLvl w:val="1"/>
      </w:pPr>
      <w:r>
        <w:rPr>
          <w:rFonts w:ascii="Calibri" w:hAnsi="Calibri"/>
          <w:b/>
          <w:color w:val="003087"/>
          <w:sz w:val="25"/>
        </w:rPr>
        <w:t>22.5 Security and data handling</w:t>
      </w:r>
    </w:p>
    <w:p>
      <w:pPr>
        <w:pStyle w:val="ListNumber"/>
        <w:spacing w:after="40"/>
      </w:pPr>
      <w:r>
        <w:rPr>
          <w:rFonts w:ascii="Calibri" w:hAnsi="Calibri"/>
          <w:b/>
          <w:color w:val="000000"/>
          <w:sz w:val="21"/>
        </w:rPr>
        <w:t>Do not share credentials</w:t>
      </w:r>
      <w:r>
        <w:rPr>
          <w:rFonts w:ascii="Calibri" w:hAnsi="Calibri"/>
          <w:b w:val="0"/>
          <w:color w:val="000000"/>
          <w:sz w:val="21"/>
        </w:rPr>
        <w:t>, or work under another person's session.</w:t>
      </w:r>
    </w:p>
    <w:p>
      <w:pPr>
        <w:pStyle w:val="ListNumber"/>
        <w:spacing w:after="40"/>
      </w:pPr>
      <w:r>
        <w:rPr>
          <w:rFonts w:ascii="Calibri" w:hAnsi="Calibri"/>
          <w:b/>
          <w:color w:val="000000"/>
          <w:sz w:val="21"/>
        </w:rPr>
        <w:t>Do not upload unnecessary sensitive information.</w:t>
      </w:r>
      <w:r>
        <w:rPr>
          <w:rFonts w:ascii="Calibri" w:hAnsi="Calibri"/>
          <w:b w:val="0"/>
          <w:color w:val="000000"/>
          <w:sz w:val="21"/>
        </w:rPr>
        <w:t xml:space="preserve"> Import only the fields the review requires.</w:t>
      </w:r>
    </w:p>
    <w:p>
      <w:pPr>
        <w:pStyle w:val="ListNumber"/>
        <w:spacing w:after="40"/>
      </w:pPr>
      <w:r>
        <w:rPr>
          <w:rFonts w:ascii="Calibri" w:hAnsi="Calibri"/>
          <w:b/>
          <w:color w:val="000000"/>
          <w:sz w:val="21"/>
        </w:rPr>
        <w:t>Do not copy entity PII out of the platform</w:t>
      </w:r>
      <w:r>
        <w:rPr>
          <w:rFonts w:ascii="Calibri" w:hAnsi="Calibri"/>
          <w:b w:val="0"/>
          <w:color w:val="000000"/>
          <w:sz w:val="21"/>
        </w:rPr>
        <w:t xml:space="preserve"> into email, chat, tickets, spreadsheets, or personal storage.</w:t>
      </w:r>
    </w:p>
    <w:p>
      <w:pPr>
        <w:pStyle w:val="Heading2"/>
        <w:keepNext/>
        <w:spacing w:before="200" w:after="120"/>
        <w:outlineLvl w:val="1"/>
      </w:pPr>
      <w:r>
        <w:rPr>
          <w:rFonts w:ascii="Calibri" w:hAnsi="Calibri"/>
          <w:b/>
          <w:color w:val="003087"/>
          <w:sz w:val="25"/>
        </w:rPr>
        <w:t>22.6 Interpretation</w:t>
      </w:r>
    </w:p>
    <w:p>
      <w:pPr>
        <w:pStyle w:val="ListNumber"/>
        <w:spacing w:after="40"/>
      </w:pPr>
      <w:r>
        <w:rPr>
          <w:rFonts w:ascii="Calibri" w:hAnsi="Calibri"/>
          <w:b/>
          <w:color w:val="000000"/>
          <w:sz w:val="21"/>
        </w:rPr>
        <w:t>Do not assume a connector health check equals verification success.</w:t>
      </w:r>
      <w:r>
        <w:rPr>
          <w:rFonts w:ascii="Calibri" w:hAnsi="Calibri"/>
          <w:b w:val="0"/>
          <w:color w:val="000000"/>
          <w:sz w:val="21"/>
        </w:rPr>
        <w:t xml:space="preserve"> A green connector means the source is reachable. It says nothing about any particular entity.</w:t>
      </w:r>
    </w:p>
    <w:p>
      <w:pPr>
        <w:pStyle w:val="ListNumber"/>
        <w:spacing w:after="40"/>
      </w:pPr>
      <w:r>
        <w:rPr>
          <w:rFonts w:ascii="Calibri" w:hAnsi="Calibri"/>
          <w:b/>
          <w:color w:val="000000"/>
          <w:sz w:val="21"/>
        </w:rPr>
        <w:t>Do not treat organizational certifications (ISO, CMMI) as application security controls.</w:t>
      </w:r>
      <w:r>
        <w:rPr>
          <w:rFonts w:ascii="Calibri" w:hAnsi="Calibri"/>
          <w:b w:val="0"/>
          <w:color w:val="000000"/>
          <w:sz w:val="21"/>
        </w:rPr>
        <w:t xml:space="preserve"> They are corporate credentials held by AGT, not statements about this system.</w:t>
      </w:r>
    </w:p>
    <w:p>
      <w:pPr>
        <w:pStyle w:val="ListNumber"/>
        <w:spacing w:after="40"/>
      </w:pPr>
      <w:r>
        <w:rPr>
          <w:rFonts w:ascii="Calibri" w:hAnsi="Calibri"/>
          <w:b/>
          <w:color w:val="000000"/>
          <w:sz w:val="21"/>
        </w:rPr>
        <w:t>Do not cite the dashboard Compliance card as evidence of application compliance.</w:t>
      </w:r>
      <w:r>
        <w:rPr>
          <w:rFonts w:ascii="Calibri" w:hAnsi="Calibri"/>
          <w:b w:val="0"/>
          <w:color w:val="000000"/>
          <w:sz w:val="21"/>
        </w:rPr>
        <w:t xml:space="preserve"> Use the precise statements in Section 19.5.</w:t>
      </w:r>
    </w:p>
    <w:p>
      <w:pPr>
        <w:pStyle w:val="ListNumber"/>
        <w:spacing w:after="40"/>
      </w:pPr>
      <w:r>
        <w:rPr>
          <w:rFonts w:ascii="Calibri" w:hAnsi="Calibri"/>
          <w:b/>
          <w:color w:val="000000"/>
          <w:sz w:val="21"/>
        </w:rPr>
        <w:t>Do not present a Registry structural result as an authoritative verification.</w:t>
      </w:r>
      <w:r>
        <w:rPr>
          <w:rFonts w:ascii="Calibri" w:hAnsi="Calibri"/>
          <w:b w:val="0"/>
          <w:color w:val="000000"/>
          <w:sz w:val="21"/>
        </w:rPr>
        <w:t xml:space="preserve"> The Registry does not query federal sources.</w:t>
      </w:r>
    </w:p>
    <w:p>
      <w:r>
        <w:br w:type="page"/>
      </w:r>
    </w:p>
    <w:p>
      <w:pPr>
        <w:pStyle w:val="Heading1"/>
        <w:keepNext/>
        <w:spacing w:before="280" w:after="120"/>
        <w:outlineLvl w:val="0"/>
      </w:pPr>
      <w:r>
        <w:rPr>
          <w:rFonts w:ascii="Calibri" w:hAnsi="Calibri"/>
          <w:b/>
          <w:color w:val="003087"/>
          <w:sz w:val="28"/>
        </w:rPr>
        <w:t>23. Daily, Weekly, and Monthly Checklists</w:t>
      </w:r>
    </w:p>
    <w:p>
      <w:pPr>
        <w:pStyle w:val="Heading2"/>
        <w:keepNext/>
        <w:spacing w:before="200" w:after="120"/>
        <w:outlineLvl w:val="1"/>
      </w:pPr>
      <w:r>
        <w:rPr>
          <w:rFonts w:ascii="Calibri" w:hAnsi="Calibri"/>
          <w:b/>
          <w:color w:val="003087"/>
          <w:sz w:val="25"/>
        </w:rPr>
        <w:t>23.1 Reviewer — daily</w:t>
      </w:r>
    </w:p>
    <w:p>
      <w:pPr>
        <w:pStyle w:val="ListBullet"/>
        <w:spacing w:after="40"/>
      </w:pPr>
      <w:r>
        <w:rPr>
          <w:rFonts w:ascii="Calibri" w:hAnsi="Calibri"/>
          <w:b w:val="0"/>
          <w:color w:val="000000"/>
          <w:sz w:val="21"/>
        </w:rPr>
        <w:t>Signed in to the correct environment</w:t>
      </w:r>
    </w:p>
    <w:p>
      <w:pPr>
        <w:pStyle w:val="ListBullet"/>
        <w:spacing w:after="40"/>
      </w:pPr>
      <w:r>
        <w:rPr>
          <w:rFonts w:ascii="Calibri" w:hAnsi="Calibri"/>
          <w:b w:val="0"/>
          <w:color w:val="000000"/>
          <w:sz w:val="21"/>
        </w:rPr>
        <w:t>Demonstration-mode banner noted</w:t>
      </w:r>
    </w:p>
    <w:p>
      <w:pPr>
        <w:pStyle w:val="ListBullet"/>
        <w:spacing w:after="40"/>
      </w:pPr>
      <w:r>
        <w:rPr>
          <w:rFonts w:ascii="Calibri" w:hAnsi="Calibri"/>
          <w:b w:val="0"/>
          <w:color w:val="000000"/>
          <w:sz w:val="21"/>
        </w:rPr>
        <w:t>Mission Control read: notifications, connector health, queue depth</w:t>
      </w:r>
    </w:p>
    <w:p>
      <w:pPr>
        <w:pStyle w:val="ListBullet"/>
        <w:spacing w:after="40"/>
      </w:pPr>
      <w:r>
        <w:rPr>
          <w:rFonts w:ascii="Calibri" w:hAnsi="Calibri"/>
          <w:b w:val="0"/>
          <w:color w:val="000000"/>
          <w:sz w:val="21"/>
        </w:rPr>
        <w:t>Connector card expanded; live sources confirmed before starting work</w:t>
      </w:r>
    </w:p>
    <w:p>
      <w:pPr>
        <w:pStyle w:val="ListBullet"/>
        <w:spacing w:after="40"/>
      </w:pPr>
      <w:r>
        <w:rPr>
          <w:rFonts w:ascii="Calibri" w:hAnsi="Calibri"/>
          <w:b w:val="0"/>
          <w:color w:val="000000"/>
          <w:sz w:val="21"/>
        </w:rPr>
        <w:t>Priority Reviews worked first</w:t>
      </w:r>
    </w:p>
    <w:p>
      <w:pPr>
        <w:pStyle w:val="ListBullet"/>
        <w:spacing w:after="40"/>
      </w:pPr>
      <w:r>
        <w:rPr>
          <w:rFonts w:ascii="Calibri" w:hAnsi="Calibri"/>
          <w:b w:val="0"/>
          <w:color w:val="000000"/>
          <w:sz w:val="21"/>
        </w:rPr>
        <w:t>Entity Reviews worked in SLA order — overdue, then at risk</w:t>
      </w:r>
    </w:p>
    <w:p>
      <w:pPr>
        <w:pStyle w:val="ListBullet"/>
        <w:spacing w:after="40"/>
      </w:pPr>
      <w:r>
        <w:rPr>
          <w:rFonts w:ascii="Calibri" w:hAnsi="Calibri"/>
          <w:b w:val="0"/>
          <w:color w:val="000000"/>
          <w:sz w:val="21"/>
        </w:rPr>
        <w:t>For every entity: each source result read individually, not just the summary</w:t>
      </w:r>
    </w:p>
    <w:p>
      <w:pPr>
        <w:pStyle w:val="ListBullet"/>
        <w:spacing w:after="40"/>
      </w:pPr>
      <w:r>
        <w:rPr>
          <w:rFonts w:ascii="Calibri" w:hAnsi="Calibri"/>
          <w:b w:val="0"/>
          <w:color w:val="000000"/>
          <w:sz w:val="21"/>
        </w:rPr>
        <w:t>Coverage note read before accepting any favourable result</w:t>
      </w:r>
    </w:p>
    <w:p>
      <w:pPr>
        <w:pStyle w:val="ListBullet"/>
        <w:spacing w:after="40"/>
      </w:pPr>
      <w:r>
        <w:rPr>
          <w:rFonts w:ascii="Calibri" w:hAnsi="Calibri"/>
          <w:b w:val="0"/>
          <w:color w:val="000000"/>
          <w:sz w:val="21"/>
        </w:rPr>
        <w:t>Every determination carries a rationale naming sources and evidence</w:t>
      </w:r>
    </w:p>
    <w:p>
      <w:pPr>
        <w:pStyle w:val="ListBullet"/>
        <w:spacing w:after="40"/>
      </w:pPr>
      <w:r>
        <w:rPr>
          <w:rFonts w:ascii="Calibri" w:hAnsi="Calibri"/>
          <w:b w:val="0"/>
          <w:color w:val="000000"/>
          <w:sz w:val="21"/>
        </w:rPr>
        <w:t>Every B4 and every active exclusion escalated, not closed</w:t>
      </w:r>
    </w:p>
    <w:p>
      <w:pPr>
        <w:pStyle w:val="ListBullet"/>
        <w:spacing w:after="40"/>
      </w:pPr>
      <w:r>
        <w:rPr>
          <w:rFonts w:ascii="Calibri" w:hAnsi="Calibri"/>
          <w:b w:val="0"/>
          <w:color w:val="000000"/>
          <w:sz w:val="21"/>
        </w:rPr>
        <w:t>No Indeterminate record closed as clean</w:t>
      </w:r>
    </w:p>
    <w:p>
      <w:pPr>
        <w:pStyle w:val="ListBullet"/>
        <w:spacing w:after="40"/>
      </w:pPr>
      <w:r>
        <w:rPr>
          <w:rFonts w:ascii="Calibri" w:hAnsi="Calibri"/>
          <w:b w:val="0"/>
          <w:color w:val="000000"/>
          <w:sz w:val="21"/>
        </w:rPr>
        <w:t>End-of-day queue check for newly overdue work</w:t>
      </w:r>
    </w:p>
    <w:p>
      <w:pPr>
        <w:pStyle w:val="Heading2"/>
        <w:keepNext/>
        <w:spacing w:before="200" w:after="120"/>
        <w:outlineLvl w:val="1"/>
      </w:pPr>
      <w:r>
        <w:rPr>
          <w:rFonts w:ascii="Calibri" w:hAnsi="Calibri"/>
          <w:b/>
          <w:color w:val="003087"/>
          <w:sz w:val="25"/>
        </w:rPr>
        <w:t>23.2 Senior analyst — daily</w:t>
      </w:r>
    </w:p>
    <w:p>
      <w:pPr>
        <w:pStyle w:val="ListBullet"/>
        <w:spacing w:after="40"/>
      </w:pPr>
      <w:r>
        <w:rPr>
          <w:rFonts w:ascii="Calibri" w:hAnsi="Calibri"/>
          <w:b w:val="0"/>
          <w:color w:val="000000"/>
          <w:sz w:val="21"/>
        </w:rPr>
        <w:t>B3 escalation queue cleared or triaged</w:t>
      </w:r>
    </w:p>
    <w:p>
      <w:pPr>
        <w:pStyle w:val="ListBullet"/>
        <w:spacing w:after="40"/>
      </w:pPr>
      <w:r>
        <w:rPr>
          <w:rFonts w:ascii="Calibri" w:hAnsi="Calibri"/>
          <w:b w:val="0"/>
          <w:color w:val="000000"/>
          <w:sz w:val="21"/>
        </w:rPr>
        <w:t>Bucket disputes adjudicated</w:t>
      </w:r>
    </w:p>
    <w:p>
      <w:pPr>
        <w:pStyle w:val="ListBullet"/>
        <w:spacing w:after="40"/>
      </w:pPr>
      <w:r>
        <w:rPr>
          <w:rFonts w:ascii="Calibri" w:hAnsi="Calibri"/>
          <w:b w:val="0"/>
          <w:color w:val="000000"/>
          <w:sz w:val="21"/>
        </w:rPr>
        <w:t>Every override carries a recorded reason</w:t>
      </w:r>
    </w:p>
    <w:p>
      <w:pPr>
        <w:pStyle w:val="ListBullet"/>
        <w:spacing w:after="40"/>
      </w:pPr>
      <w:r>
        <w:rPr>
          <w:rFonts w:ascii="Calibri" w:hAnsi="Calibri"/>
          <w:b w:val="0"/>
          <w:color w:val="000000"/>
          <w:sz w:val="21"/>
        </w:rPr>
        <w:t>Inter-rater agreement reviewed; divergence raised with the QA lead rather than corrected case by case</w:t>
      </w:r>
    </w:p>
    <w:p>
      <w:pPr>
        <w:pStyle w:val="Heading2"/>
        <w:keepNext/>
        <w:spacing w:before="200" w:after="120"/>
        <w:outlineLvl w:val="1"/>
      </w:pPr>
      <w:r>
        <w:rPr>
          <w:rFonts w:ascii="Calibri" w:hAnsi="Calibri"/>
          <w:b/>
          <w:color w:val="003087"/>
          <w:sz w:val="25"/>
        </w:rPr>
        <w:t>23.3 QA lead — daily</w:t>
      </w:r>
    </w:p>
    <w:p>
      <w:pPr>
        <w:pStyle w:val="ListBullet"/>
        <w:spacing w:after="40"/>
      </w:pPr>
      <w:r>
        <w:rPr>
          <w:rFonts w:ascii="Calibri" w:hAnsi="Calibri"/>
          <w:b w:val="0"/>
          <w:color w:val="000000"/>
          <w:sz w:val="21"/>
        </w:rPr>
        <w:t>QA score and alerts reviewed</w:t>
      </w:r>
    </w:p>
    <w:p>
      <w:pPr>
        <w:pStyle w:val="ListBullet"/>
        <w:spacing w:after="40"/>
      </w:pPr>
      <w:r>
        <w:rPr>
          <w:rFonts w:ascii="Calibri" w:hAnsi="Calibri"/>
          <w:b w:val="0"/>
          <w:color w:val="000000"/>
          <w:sz w:val="21"/>
        </w:rPr>
        <w:t>Evidence completeness and internal consistency gates run</w:t>
      </w:r>
    </w:p>
    <w:p>
      <w:pPr>
        <w:pStyle w:val="ListBullet"/>
        <w:spacing w:after="40"/>
      </w:pPr>
      <w:r>
        <w:rPr>
          <w:rFonts w:ascii="Calibri" w:hAnsi="Calibri"/>
          <w:b w:val="0"/>
          <w:color w:val="000000"/>
          <w:sz w:val="21"/>
        </w:rPr>
        <w:t>Sampling validation confirmed for the active cycle</w:t>
      </w:r>
    </w:p>
    <w:p>
      <w:pPr>
        <w:pStyle w:val="ListBullet"/>
        <w:spacing w:after="40"/>
      </w:pPr>
      <w:r>
        <w:rPr>
          <w:rFonts w:ascii="Calibri" w:hAnsi="Calibri"/>
          <w:b w:val="0"/>
          <w:color w:val="000000"/>
          <w:sz w:val="21"/>
        </w:rPr>
        <w:t>Inter-rater agreement reviewed</w:t>
      </w:r>
    </w:p>
    <w:p>
      <w:pPr>
        <w:pStyle w:val="ListBullet"/>
        <w:spacing w:after="40"/>
      </w:pPr>
      <w:r>
        <w:rPr>
          <w:rFonts w:ascii="Calibri" w:hAnsi="Calibri"/>
          <w:b w:val="0"/>
          <w:color w:val="000000"/>
          <w:sz w:val="21"/>
        </w:rPr>
        <w:t>SLA gate reviewed</w:t>
      </w:r>
    </w:p>
    <w:p>
      <w:pPr>
        <w:pStyle w:val="ListBullet"/>
        <w:spacing w:after="40"/>
      </w:pPr>
      <w:r>
        <w:rPr>
          <w:rFonts w:ascii="Calibri" w:hAnsi="Calibri"/>
          <w:b w:val="0"/>
          <w:color w:val="000000"/>
          <w:sz w:val="21"/>
        </w:rPr>
        <w:t>Report gate run before any deliverable — and honoured if it fails</w:t>
      </w:r>
    </w:p>
    <w:p>
      <w:pPr>
        <w:pStyle w:val="Heading2"/>
        <w:keepNext/>
        <w:spacing w:before="200" w:after="120"/>
        <w:outlineLvl w:val="1"/>
      </w:pPr>
      <w:r>
        <w:rPr>
          <w:rFonts w:ascii="Calibri" w:hAnsi="Calibri"/>
          <w:b/>
          <w:color w:val="003087"/>
          <w:sz w:val="25"/>
        </w:rPr>
        <w:t>23.4 Programme manager — daily</w:t>
      </w:r>
    </w:p>
    <w:p>
      <w:pPr>
        <w:pStyle w:val="ListBullet"/>
        <w:spacing w:after="40"/>
      </w:pPr>
      <w:r>
        <w:rPr>
          <w:rFonts w:ascii="Calibri" w:hAnsi="Calibri"/>
          <w:b w:val="0"/>
          <w:color w:val="000000"/>
          <w:sz w:val="21"/>
        </w:rPr>
        <w:t>Cycle progress against schedule confirmed</w:t>
      </w:r>
    </w:p>
    <w:p>
      <w:pPr>
        <w:pStyle w:val="ListBullet"/>
        <w:spacing w:after="40"/>
      </w:pPr>
      <w:r>
        <w:rPr>
          <w:rFonts w:ascii="Calibri" w:hAnsi="Calibri"/>
          <w:b w:val="0"/>
          <w:color w:val="000000"/>
          <w:sz w:val="21"/>
        </w:rPr>
        <w:t>Overdue volume and trend reviewed</w:t>
      </w:r>
    </w:p>
    <w:p>
      <w:pPr>
        <w:pStyle w:val="ListBullet"/>
        <w:spacing w:after="40"/>
      </w:pPr>
      <w:r>
        <w:rPr>
          <w:rFonts w:ascii="Calibri" w:hAnsi="Calibri"/>
          <w:b w:val="0"/>
          <w:color w:val="000000"/>
          <w:sz w:val="21"/>
        </w:rPr>
        <w:t>QA report gate confirmed passed before generating a deliverable</w:t>
      </w:r>
    </w:p>
    <w:p>
      <w:pPr>
        <w:pStyle w:val="ListBullet"/>
        <w:spacing w:after="40"/>
      </w:pPr>
      <w:r>
        <w:rPr>
          <w:rFonts w:ascii="Calibri" w:hAnsi="Calibri"/>
          <w:b w:val="0"/>
          <w:color w:val="000000"/>
          <w:sz w:val="21"/>
        </w:rPr>
        <w:t>COR-directed priority reviews actioned the day they arrive</w:t>
      </w:r>
    </w:p>
    <w:p>
      <w:pPr>
        <w:pStyle w:val="ListBullet"/>
        <w:spacing w:after="40"/>
      </w:pPr>
      <w:r>
        <w:rPr>
          <w:rFonts w:ascii="Calibri" w:hAnsi="Calibri"/>
          <w:b w:val="0"/>
          <w:color w:val="000000"/>
          <w:sz w:val="21"/>
        </w:rPr>
        <w:t>Provenance stamp confirmed on any report before circulation</w:t>
      </w:r>
    </w:p>
    <w:p>
      <w:pPr>
        <w:pStyle w:val="Heading2"/>
        <w:keepNext/>
        <w:spacing w:before="200" w:after="120"/>
        <w:outlineLvl w:val="1"/>
      </w:pPr>
      <w:r>
        <w:rPr>
          <w:rFonts w:ascii="Calibri" w:hAnsi="Calibri"/>
          <w:b/>
          <w:color w:val="003087"/>
          <w:sz w:val="25"/>
        </w:rPr>
        <w:t>23.5 Administrator — daily, weekly, monthly</w:t>
      </w:r>
    </w:p>
    <w:p>
      <w:pPr>
        <w:spacing w:after="120" w:before="0"/>
      </w:pPr>
      <w:r>
        <w:rPr>
          <w:rFonts w:ascii="Calibri" w:hAnsi="Calibri"/>
          <w:b w:val="0"/>
          <w:color w:val="000000"/>
          <w:sz w:val="22"/>
        </w:rPr>
        <w:t>See Sections 18.2, 18.3, and 18.4.</w:t>
      </w:r>
    </w:p>
    <w:p>
      <w:pPr>
        <w:pStyle w:val="Heading2"/>
        <w:keepNext/>
        <w:spacing w:before="200" w:after="120"/>
        <w:outlineLvl w:val="1"/>
      </w:pPr>
      <w:r>
        <w:rPr>
          <w:rFonts w:ascii="Calibri" w:hAnsi="Calibri"/>
          <w:b/>
          <w:color w:val="003087"/>
          <w:sz w:val="25"/>
        </w:rPr>
        <w:t>23.6 Weekly — all operational roles</w:t>
      </w:r>
    </w:p>
    <w:p>
      <w:pPr>
        <w:pStyle w:val="ListBullet"/>
        <w:spacing w:after="40"/>
      </w:pPr>
      <w:r>
        <w:rPr>
          <w:rFonts w:ascii="Calibri" w:hAnsi="Calibri"/>
          <w:b w:val="0"/>
          <w:color w:val="000000"/>
          <w:sz w:val="21"/>
        </w:rPr>
        <w:t>Open findings older than one week reviewed</w:t>
      </w:r>
    </w:p>
    <w:p>
      <w:pPr>
        <w:pStyle w:val="ListBullet"/>
        <w:spacing w:after="40"/>
      </w:pPr>
      <w:r>
        <w:rPr>
          <w:rFonts w:ascii="Calibri" w:hAnsi="Calibri"/>
          <w:b w:val="0"/>
          <w:color w:val="000000"/>
          <w:sz w:val="21"/>
        </w:rPr>
        <w:t>Recurring finding patterns identified and raised</w:t>
      </w:r>
    </w:p>
    <w:p>
      <w:pPr>
        <w:pStyle w:val="ListBullet"/>
        <w:spacing w:after="40"/>
      </w:pPr>
      <w:r>
        <w:rPr>
          <w:rFonts w:ascii="Calibri" w:hAnsi="Calibri"/>
          <w:b w:val="0"/>
          <w:color w:val="000000"/>
          <w:sz w:val="21"/>
        </w:rPr>
        <w:t>Sample progress against cycle plan confirmed</w:t>
      </w:r>
    </w:p>
    <w:p>
      <w:pPr>
        <w:pStyle w:val="ListBullet"/>
        <w:spacing w:after="40"/>
      </w:pPr>
      <w:r>
        <w:rPr>
          <w:rFonts w:ascii="Calibri" w:hAnsi="Calibri"/>
          <w:b w:val="0"/>
          <w:color w:val="000000"/>
          <w:sz w:val="21"/>
        </w:rPr>
        <w:t>Connector availability trend reviewed across the week</w:t>
      </w:r>
    </w:p>
    <w:p>
      <w:pPr>
        <w:pStyle w:val="ListBullet"/>
        <w:spacing w:after="40"/>
      </w:pPr>
      <w:r>
        <w:rPr>
          <w:rFonts w:ascii="Calibri" w:hAnsi="Calibri"/>
          <w:b w:val="0"/>
          <w:color w:val="000000"/>
          <w:sz w:val="21"/>
        </w:rPr>
        <w:t>Rationale quality spot-checked by the QA lead</w:t>
      </w:r>
    </w:p>
    <w:p>
      <w:pPr>
        <w:pStyle w:val="Heading2"/>
        <w:keepNext/>
        <w:spacing w:before="200" w:after="120"/>
        <w:outlineLvl w:val="1"/>
      </w:pPr>
      <w:r>
        <w:rPr>
          <w:rFonts w:ascii="Calibri" w:hAnsi="Calibri"/>
          <w:b/>
          <w:color w:val="003087"/>
          <w:sz w:val="25"/>
        </w:rPr>
        <w:t>23.7 Monthly — programme</w:t>
      </w:r>
    </w:p>
    <w:p>
      <w:pPr>
        <w:pStyle w:val="ListBullet"/>
        <w:spacing w:after="40"/>
      </w:pPr>
      <w:r>
        <w:rPr>
          <w:rFonts w:ascii="Calibri" w:hAnsi="Calibri"/>
          <w:b w:val="0"/>
          <w:color w:val="000000"/>
          <w:sz w:val="21"/>
        </w:rPr>
        <w:t>Cycle outcomes summarized by effective bucket</w:t>
      </w:r>
    </w:p>
    <w:p>
      <w:pPr>
        <w:pStyle w:val="ListBullet"/>
        <w:spacing w:after="40"/>
      </w:pPr>
      <w:r>
        <w:rPr>
          <w:rFonts w:ascii="Calibri" w:hAnsi="Calibri"/>
          <w:b w:val="0"/>
          <w:color w:val="000000"/>
          <w:sz w:val="21"/>
        </w:rPr>
        <w:t>Coverage reported honestly, including sources not implemented and SAM's upstream condition</w:t>
      </w:r>
    </w:p>
    <w:p>
      <w:pPr>
        <w:pStyle w:val="ListBullet"/>
        <w:spacing w:after="40"/>
      </w:pPr>
      <w:r>
        <w:rPr>
          <w:rFonts w:ascii="Calibri" w:hAnsi="Calibri"/>
          <w:b w:val="0"/>
          <w:color w:val="000000"/>
          <w:sz w:val="21"/>
        </w:rPr>
        <w:t>Overdue and SLA performance reported</w:t>
      </w:r>
    </w:p>
    <w:p>
      <w:pPr>
        <w:pStyle w:val="ListBullet"/>
        <w:spacing w:after="40"/>
      </w:pPr>
      <w:r>
        <w:rPr>
          <w:rFonts w:ascii="Calibri" w:hAnsi="Calibri"/>
          <w:b w:val="0"/>
          <w:color w:val="000000"/>
          <w:sz w:val="21"/>
        </w:rPr>
        <w:t>Methodology or rule changes documented with their version</w:t>
      </w:r>
    </w:p>
    <w:p>
      <w:pPr>
        <w:pStyle w:val="ListBullet"/>
        <w:spacing w:after="40"/>
      </w:pPr>
      <w:r>
        <w:rPr>
          <w:rFonts w:ascii="Calibri" w:hAnsi="Calibri"/>
          <w:b w:val="0"/>
          <w:color w:val="000000"/>
          <w:sz w:val="21"/>
        </w:rPr>
        <w:t>Outstanding configuration gaps reviewed with the COR: entity population data, SAM upstream, RCE Directory, IQVIA OneKey</w:t>
      </w:r>
    </w:p>
    <w:p>
      <w:pPr>
        <w:pStyle w:val="ListBullet"/>
        <w:spacing w:after="40"/>
      </w:pPr>
      <w:r>
        <w:rPr>
          <w:rFonts w:ascii="Calibri" w:hAnsi="Calibri"/>
          <w:b w:val="0"/>
          <w:color w:val="000000"/>
          <w:sz w:val="21"/>
        </w:rPr>
        <w:t>Access recertification completed</w:t>
      </w:r>
    </w:p>
    <w:p>
      <w:r>
        <w:br w:type="page"/>
      </w:r>
    </w:p>
    <w:p>
      <w:pPr>
        <w:pStyle w:val="Heading1"/>
        <w:keepNext/>
        <w:spacing w:before="280" w:after="120"/>
        <w:outlineLvl w:val="0"/>
      </w:pPr>
      <w:r>
        <w:rPr>
          <w:rFonts w:ascii="Calibri" w:hAnsi="Calibri"/>
          <w:b/>
          <w:color w:val="003087"/>
          <w:sz w:val="28"/>
        </w:rPr>
        <w:t>24. End-to-End Example Walkthrough</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 — FICTIONAL DATA</w:t>
            </w:r>
          </w:p>
          <w:p>
            <w:pPr>
              <w:spacing w:after="0" w:before="0"/>
            </w:pPr>
            <w:r>
              <w:rPr>
                <w:rFonts w:ascii="Calibri" w:hAnsi="Calibri"/>
                <w:b w:val="0"/>
                <w:color w:val="000000"/>
                <w:sz w:val="21"/>
              </w:rPr>
              <w:t>Every value in this walkthrough is fictional and is used for training only. The organization, identifiers, and addresses do not correspond to any real entity.</w:t>
            </w:r>
          </w:p>
        </w:tc>
      </w:tr>
    </w:tbl>
    <w:p>
      <w:pPr>
        <w:spacing w:after="80"/>
      </w:pPr>
    </w:p>
    <w:p>
      <w:pPr>
        <w:pStyle w:val="Heading2"/>
        <w:keepNext/>
        <w:spacing w:before="200" w:after="120"/>
        <w:outlineLvl w:val="1"/>
      </w:pPr>
      <w:r>
        <w:rPr>
          <w:rFonts w:ascii="Calibri" w:hAnsi="Calibri"/>
          <w:b/>
          <w:color w:val="003087"/>
          <w:sz w:val="25"/>
        </w:rPr>
        <w:t>24.1 The scenario</w:t>
      </w:r>
    </w:p>
    <w:p>
      <w:pPr>
        <w:spacing w:after="120" w:before="0"/>
      </w:pPr>
      <w:r>
        <w:rPr>
          <w:rFonts w:ascii="Calibri" w:hAnsi="Calibri"/>
          <w:b/>
          <w:color w:val="000000"/>
          <w:sz w:val="22"/>
        </w:rPr>
        <w:t>Sample Healthcare Organization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Field as submitted</w:t>
            </w:r>
          </w:p>
        </w:tc>
        <w:tc>
          <w:tcPr>
            <w:tcW w:type="dxa" w:w="4680"/>
            <w:shd w:val="clear" w:color="auto" w:fill="003087"/>
          </w:tcPr>
          <w:p>
            <w:pPr>
              <w:spacing w:after="40" w:before="40"/>
            </w:pPr>
            <w:r>
              <w:rPr>
                <w:rFonts w:ascii="Calibri" w:hAnsi="Calibri"/>
                <w:b/>
                <w:color w:val="FFFFFF"/>
                <w:sz w:val="20"/>
              </w:rPr>
              <w:t>Value</w:t>
            </w:r>
          </w:p>
        </w:tc>
      </w:tr>
      <w:tr>
        <w:tc>
          <w:tcPr>
            <w:tcW w:type="dxa" w:w="4680"/>
          </w:tcPr>
          <w:p>
            <w:pPr>
              <w:spacing w:after="40" w:before="40"/>
            </w:pPr>
            <w:r>
              <w:rPr>
                <w:rFonts w:ascii="Calibri" w:hAnsi="Calibri"/>
                <w:b w:val="0"/>
                <w:color w:val="000000"/>
                <w:sz w:val="20"/>
              </w:rPr>
              <w:t>Legal name</w:t>
            </w:r>
          </w:p>
        </w:tc>
        <w:tc>
          <w:tcPr>
            <w:tcW w:type="dxa" w:w="4680"/>
          </w:tcPr>
          <w:p>
            <w:pPr>
              <w:spacing w:after="40" w:before="40"/>
            </w:pPr>
            <w:r>
              <w:rPr>
                <w:rFonts w:ascii="Calibri" w:hAnsi="Calibri"/>
                <w:b w:val="0"/>
                <w:color w:val="000000"/>
                <w:sz w:val="20"/>
              </w:rPr>
              <w:t>Riverbend Regional Med Ctr</w:t>
            </w:r>
          </w:p>
        </w:tc>
      </w:tr>
      <w:tr>
        <w:tc>
          <w:tcPr>
            <w:tcW w:type="dxa" w:w="4680"/>
            <w:shd w:val="clear" w:color="auto" w:fill="F2F5FA"/>
          </w:tcPr>
          <w:p>
            <w:pPr>
              <w:spacing w:after="40" w:before="40"/>
            </w:pPr>
            <w:r>
              <w:rPr>
                <w:rFonts w:ascii="Calibri" w:hAnsi="Calibri"/>
                <w:b w:val="0"/>
                <w:color w:val="000000"/>
                <w:sz w:val="20"/>
              </w:rPr>
              <w:t>NPI</w:t>
            </w:r>
          </w:p>
        </w:tc>
        <w:tc>
          <w:tcPr>
            <w:tcW w:type="dxa" w:w="4680"/>
            <w:shd w:val="clear" w:color="auto" w:fill="F2F5FA"/>
          </w:tcPr>
          <w:p>
            <w:pPr>
              <w:spacing w:after="40" w:before="40"/>
            </w:pPr>
            <w:r>
              <w:rPr>
                <w:rFonts w:ascii="Calibri" w:hAnsi="Calibri"/>
                <w:b w:val="0"/>
                <w:color w:val="000000"/>
                <w:sz w:val="20"/>
              </w:rPr>
              <w:t>1999999984 *(fictional)*</w:t>
            </w:r>
          </w:p>
        </w:tc>
      </w:tr>
      <w:tr>
        <w:tc>
          <w:tcPr>
            <w:tcW w:type="dxa" w:w="4680"/>
          </w:tcPr>
          <w:p>
            <w:pPr>
              <w:spacing w:after="40" w:before="40"/>
            </w:pPr>
            <w:r>
              <w:rPr>
                <w:rFonts w:ascii="Calibri" w:hAnsi="Calibri"/>
                <w:b w:val="0"/>
                <w:color w:val="000000"/>
                <w:sz w:val="20"/>
              </w:rPr>
              <w:t>Address</w:t>
            </w:r>
          </w:p>
        </w:tc>
        <w:tc>
          <w:tcPr>
            <w:tcW w:type="dxa" w:w="4680"/>
          </w:tcPr>
          <w:p>
            <w:pPr>
              <w:spacing w:after="40" w:before="40"/>
            </w:pPr>
            <w:r>
              <w:rPr>
                <w:rFonts w:ascii="Calibri" w:hAnsi="Calibri"/>
                <w:b w:val="0"/>
                <w:color w:val="000000"/>
                <w:sz w:val="20"/>
              </w:rPr>
              <w:t>400 Riverbend Pkwy, Suite 210, Columbus, OH 43215</w:t>
            </w:r>
          </w:p>
        </w:tc>
      </w:tr>
      <w:tr>
        <w:tc>
          <w:tcPr>
            <w:tcW w:type="dxa" w:w="4680"/>
            <w:shd w:val="clear" w:color="auto" w:fill="F2F5FA"/>
          </w:tcPr>
          <w:p>
            <w:pPr>
              <w:spacing w:after="40" w:before="40"/>
            </w:pPr>
            <w:r>
              <w:rPr>
                <w:rFonts w:ascii="Calibri" w:hAnsi="Calibri"/>
                <w:b w:val="0"/>
                <w:color w:val="000000"/>
                <w:sz w:val="20"/>
              </w:rPr>
              <w:t>Entity type</w:t>
            </w:r>
          </w:p>
        </w:tc>
        <w:tc>
          <w:tcPr>
            <w:tcW w:type="dxa" w:w="4680"/>
            <w:shd w:val="clear" w:color="auto" w:fill="F2F5FA"/>
          </w:tcPr>
          <w:p>
            <w:pPr>
              <w:spacing w:after="40" w:before="40"/>
            </w:pPr>
            <w:r>
              <w:rPr>
                <w:rFonts w:ascii="Calibri" w:hAnsi="Calibri"/>
                <w:b w:val="0"/>
                <w:color w:val="000000"/>
                <w:sz w:val="20"/>
              </w:rPr>
              <w:t>Organization (Type 2)</w:t>
            </w:r>
          </w:p>
        </w:tc>
      </w:tr>
      <w:tr>
        <w:tc>
          <w:tcPr>
            <w:tcW w:type="dxa" w:w="4680"/>
          </w:tcPr>
          <w:p>
            <w:pPr>
              <w:spacing w:after="40" w:before="40"/>
            </w:pPr>
            <w:r>
              <w:rPr>
                <w:rFonts w:ascii="Calibri" w:hAnsi="Calibri"/>
                <w:b w:val="0"/>
                <w:color w:val="000000"/>
                <w:sz w:val="20"/>
              </w:rPr>
              <w:t>Entity level</w:t>
            </w:r>
          </w:p>
        </w:tc>
        <w:tc>
          <w:tcPr>
            <w:tcW w:type="dxa" w:w="4680"/>
          </w:tcPr>
          <w:p>
            <w:pPr>
              <w:spacing w:after="40" w:before="40"/>
            </w:pPr>
            <w:r>
              <w:rPr>
                <w:rFonts w:ascii="Calibri" w:hAnsi="Calibri"/>
                <w:b w:val="0"/>
                <w:color w:val="000000"/>
                <w:sz w:val="20"/>
              </w:rPr>
              <w:t>Participant</w:t>
            </w:r>
          </w:p>
        </w:tc>
      </w:tr>
      <w:tr>
        <w:tc>
          <w:tcPr>
            <w:tcW w:type="dxa" w:w="4680"/>
            <w:shd w:val="clear" w:color="auto" w:fill="F2F5FA"/>
          </w:tcPr>
          <w:p>
            <w:pPr>
              <w:spacing w:after="40" w:before="40"/>
            </w:pPr>
            <w:r>
              <w:rPr>
                <w:rFonts w:ascii="Calibri" w:hAnsi="Calibri"/>
                <w:b w:val="0"/>
                <w:color w:val="000000"/>
                <w:sz w:val="20"/>
              </w:rPr>
              <w:t>TEFCAID</w:t>
            </w:r>
          </w:p>
        </w:tc>
        <w:tc>
          <w:tcPr>
            <w:tcW w:type="dxa" w:w="4680"/>
            <w:shd w:val="clear" w:color="auto" w:fill="F2F5FA"/>
          </w:tcPr>
          <w:p>
            <w:pPr>
              <w:spacing w:after="40" w:before="40"/>
            </w:pPr>
            <w:r>
              <w:rPr>
                <w:rFonts w:ascii="Calibri" w:hAnsi="Calibri"/>
                <w:b w:val="0"/>
                <w:color w:val="000000"/>
                <w:sz w:val="20"/>
              </w:rPr>
              <w:t>TEF-OH-004821 *(fictional)*</w:t>
            </w:r>
          </w:p>
        </w:tc>
      </w:tr>
      <w:tr>
        <w:tc>
          <w:tcPr>
            <w:tcW w:type="dxa" w:w="4680"/>
          </w:tcPr>
          <w:p>
            <w:pPr>
              <w:spacing w:after="40" w:before="40"/>
            </w:pPr>
            <w:r>
              <w:rPr>
                <w:rFonts w:ascii="Calibri" w:hAnsi="Calibri"/>
                <w:b w:val="0"/>
                <w:color w:val="000000"/>
                <w:sz w:val="20"/>
              </w:rPr>
              <w:t>HCID</w:t>
            </w:r>
          </w:p>
        </w:tc>
        <w:tc>
          <w:tcPr>
            <w:tcW w:type="dxa" w:w="4680"/>
          </w:tcPr>
          <w:p>
            <w:pPr>
              <w:spacing w:after="40" w:before="40"/>
            </w:pPr>
            <w:r>
              <w:rPr>
                <w:rFonts w:ascii="Calibri" w:hAnsi="Calibri"/>
                <w:b w:val="0"/>
                <w:color w:val="000000"/>
                <w:sz w:val="20"/>
              </w:rPr>
              <w:t>HC-4821-OH *(fictional)*</w:t>
            </w:r>
          </w:p>
        </w:tc>
      </w:tr>
    </w:tbl>
    <w:p>
      <w:pPr>
        <w:spacing w:after="80"/>
      </w:pPr>
    </w:p>
    <w:p>
      <w:pPr>
        <w:pStyle w:val="Heading2"/>
        <w:keepNext/>
        <w:spacing w:before="200" w:after="120"/>
        <w:outlineLvl w:val="1"/>
      </w:pPr>
      <w:r>
        <w:rPr>
          <w:rFonts w:ascii="Calibri" w:hAnsi="Calibri"/>
          <w:b/>
          <w:color w:val="003087"/>
          <w:sz w:val="25"/>
        </w:rPr>
        <w:t>24.2 Step 1 — The record enters DocuAction</w:t>
      </w:r>
    </w:p>
    <w:p>
      <w:pPr>
        <w:spacing w:after="120" w:before="0"/>
      </w:pPr>
      <w:r>
        <w:rPr>
          <w:rFonts w:ascii="Calibri" w:hAnsi="Calibri"/>
          <w:b w:val="0"/>
          <w:color w:val="000000"/>
          <w:sz w:val="22"/>
        </w:rPr>
        <w:t>A contributor uploads the cycle's entity file at Data Import (</w:t>
      </w:r>
      <w:r>
        <w:rPr>
          <w:rFonts w:ascii="Consolas" w:hAnsi="Consolas"/>
          <w:color w:val="000000"/>
          <w:sz w:val="22"/>
        </w:rPr>
        <w:t>/tefca-arc/import</w:t>
      </w:r>
      <w:r>
        <w:rPr>
          <w:rFonts w:ascii="Calibri" w:hAnsi="Calibri"/>
          <w:b w:val="0"/>
          <w:color w:val="000000"/>
          <w:sz w:val="22"/>
        </w:rPr>
        <w:t>). The file is a CSV.</w:t>
      </w:r>
    </w:p>
    <w:p>
      <w:pPr>
        <w:spacing w:after="120" w:before="0"/>
      </w:pPr>
      <w:r>
        <w:rPr>
          <w:rFonts w:ascii="Calibri" w:hAnsi="Calibri"/>
          <w:b/>
          <w:color w:val="000000"/>
          <w:sz w:val="22"/>
        </w:rPr>
        <w:t>What happens:</w:t>
      </w:r>
      <w:r>
        <w:rPr>
          <w:rFonts w:ascii="Calibri" w:hAnsi="Calibri"/>
          <w:b w:val="0"/>
          <w:color w:val="000000"/>
          <w:sz w:val="22"/>
        </w:rPr>
        <w:t xml:space="preserve"> the schema is validated, duplicates are detected, and the batch is recorded in import history with a batch identifier. An audit entry </w:t>
      </w:r>
      <w:r>
        <w:rPr>
          <w:rFonts w:ascii="Consolas" w:hAnsi="Consolas"/>
          <w:color w:val="000000"/>
          <w:sz w:val="22"/>
        </w:rPr>
        <w:t>entity_import</w:t>
      </w:r>
      <w:r>
        <w:rPr>
          <w:rFonts w:ascii="Calibri" w:hAnsi="Calibri"/>
          <w:b w:val="0"/>
          <w:color w:val="000000"/>
          <w:sz w:val="22"/>
        </w:rPr>
        <w:t xml:space="preserve"> is written with the actor and counts.</w:t>
      </w:r>
    </w:p>
    <w:p>
      <w:pPr>
        <w:spacing w:after="120" w:before="0"/>
      </w:pPr>
      <w:r>
        <w:rPr>
          <w:rFonts w:ascii="Calibri" w:hAnsi="Calibri"/>
          <w:b/>
          <w:color w:val="000000"/>
          <w:sz w:val="22"/>
        </w:rPr>
        <w:t>Result:</w:t>
      </w:r>
      <w:r>
        <w:rPr>
          <w:rFonts w:ascii="Calibri" w:hAnsi="Calibri"/>
          <w:b w:val="0"/>
          <w:color w:val="000000"/>
          <w:sz w:val="22"/>
        </w:rPr>
        <w:t xml:space="preserve"> the entity exists in the platform, attributable to a named import batch.</w:t>
      </w:r>
    </w:p>
    <w:p>
      <w:pPr>
        <w:pStyle w:val="Heading2"/>
        <w:keepNext/>
        <w:spacing w:before="200" w:after="120"/>
        <w:outlineLvl w:val="1"/>
      </w:pPr>
      <w:r>
        <w:rPr>
          <w:rFonts w:ascii="Calibri" w:hAnsi="Calibri"/>
          <w:b/>
          <w:color w:val="003087"/>
          <w:sz w:val="25"/>
        </w:rPr>
        <w:t>24.3 Step 2 — Validation of what was received</w:t>
      </w:r>
    </w:p>
    <w:p>
      <w:pPr>
        <w:spacing w:after="120" w:before="0"/>
      </w:pPr>
      <w:r>
        <w:rPr>
          <w:rFonts w:ascii="Calibri" w:hAnsi="Calibri"/>
          <w:b w:val="0"/>
          <w:color w:val="000000"/>
          <w:sz w:val="22"/>
        </w:rPr>
        <w:t>Before any source is contacted, the platform checks what it has: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Check</w:t>
            </w:r>
          </w:p>
        </w:tc>
        <w:tc>
          <w:tcPr>
            <w:tcW w:type="dxa" w:w="4680"/>
            <w:shd w:val="clear" w:color="auto" w:fill="003087"/>
          </w:tcPr>
          <w:p>
            <w:pPr>
              <w:spacing w:after="40" w:before="40"/>
            </w:pPr>
            <w:r>
              <w:rPr>
                <w:rFonts w:ascii="Calibri" w:hAnsi="Calibri"/>
                <w:b/>
                <w:color w:val="FFFFFF"/>
                <w:sz w:val="20"/>
              </w:rPr>
              <w:t>Outcome</w:t>
            </w:r>
          </w:p>
        </w:tc>
      </w:tr>
      <w:tr>
        <w:tc>
          <w:tcPr>
            <w:tcW w:type="dxa" w:w="4680"/>
          </w:tcPr>
          <w:p>
            <w:pPr>
              <w:spacing w:after="40" w:before="40"/>
            </w:pPr>
            <w:r>
              <w:rPr>
                <w:rFonts w:ascii="Calibri" w:hAnsi="Calibri"/>
                <w:b w:val="0"/>
                <w:color w:val="000000"/>
                <w:sz w:val="20"/>
              </w:rPr>
              <w:t>TEFCAID present</w:t>
            </w:r>
          </w:p>
        </w:tc>
        <w:tc>
          <w:tcPr>
            <w:tcW w:type="dxa" w:w="4680"/>
          </w:tcPr>
          <w:p>
            <w:pPr>
              <w:spacing w:after="40" w:before="40"/>
            </w:pPr>
            <w:r>
              <w:rPr>
                <w:rFonts w:ascii="Calibri" w:hAnsi="Calibri"/>
                <w:b w:val="0"/>
                <w:color w:val="000000"/>
                <w:sz w:val="20"/>
              </w:rPr>
              <w:t>Yes</w:t>
            </w:r>
          </w:p>
        </w:tc>
      </w:tr>
      <w:tr>
        <w:tc>
          <w:tcPr>
            <w:tcW w:type="dxa" w:w="4680"/>
            <w:shd w:val="clear" w:color="auto" w:fill="F2F5FA"/>
          </w:tcPr>
          <w:p>
            <w:pPr>
              <w:spacing w:after="40" w:before="40"/>
            </w:pPr>
            <w:r>
              <w:rPr>
                <w:rFonts w:ascii="Calibri" w:hAnsi="Calibri"/>
                <w:b w:val="0"/>
                <w:color w:val="000000"/>
                <w:sz w:val="20"/>
              </w:rPr>
              <w:t>HCID present</w:t>
            </w:r>
          </w:p>
        </w:tc>
        <w:tc>
          <w:tcPr>
            <w:tcW w:type="dxa" w:w="4680"/>
            <w:shd w:val="clear" w:color="auto" w:fill="F2F5FA"/>
          </w:tcPr>
          <w:p>
            <w:pPr>
              <w:spacing w:after="40" w:before="40"/>
            </w:pPr>
            <w:r>
              <w:rPr>
                <w:rFonts w:ascii="Calibri" w:hAnsi="Calibri"/>
                <w:b w:val="0"/>
                <w:color w:val="000000"/>
                <w:sz w:val="20"/>
              </w:rPr>
              <w:t>Yes</w:t>
            </w:r>
          </w:p>
        </w:tc>
      </w:tr>
      <w:tr>
        <w:tc>
          <w:tcPr>
            <w:tcW w:type="dxa" w:w="4680"/>
          </w:tcPr>
          <w:p>
            <w:pPr>
              <w:spacing w:after="40" w:before="40"/>
            </w:pPr>
            <w:r>
              <w:rPr>
                <w:rFonts w:ascii="Calibri" w:hAnsi="Calibri"/>
                <w:b w:val="0"/>
                <w:color w:val="000000"/>
                <w:sz w:val="20"/>
              </w:rPr>
              <w:t>NPI present</w:t>
            </w:r>
          </w:p>
        </w:tc>
        <w:tc>
          <w:tcPr>
            <w:tcW w:type="dxa" w:w="4680"/>
          </w:tcPr>
          <w:p>
            <w:pPr>
              <w:spacing w:after="40" w:before="40"/>
            </w:pPr>
            <w:r>
              <w:rPr>
                <w:rFonts w:ascii="Calibri" w:hAnsi="Calibri"/>
                <w:b w:val="0"/>
                <w:color w:val="000000"/>
                <w:sz w:val="20"/>
              </w:rPr>
              <w:t>Yes</w:t>
            </w:r>
          </w:p>
        </w:tc>
      </w:tr>
      <w:tr>
        <w:tc>
          <w:tcPr>
            <w:tcW w:type="dxa" w:w="4680"/>
            <w:shd w:val="clear" w:color="auto" w:fill="F2F5FA"/>
          </w:tcPr>
          <w:p>
            <w:pPr>
              <w:spacing w:after="40" w:before="40"/>
            </w:pPr>
            <w:r>
              <w:rPr>
                <w:rFonts w:ascii="Calibri" w:hAnsi="Calibri"/>
                <w:b w:val="0"/>
                <w:color w:val="000000"/>
                <w:sz w:val="20"/>
              </w:rPr>
              <w:t>NPI check digit valid</w:t>
            </w:r>
          </w:p>
        </w:tc>
        <w:tc>
          <w:tcPr>
            <w:tcW w:type="dxa" w:w="4680"/>
            <w:shd w:val="clear" w:color="auto" w:fill="F2F5FA"/>
          </w:tcPr>
          <w:p>
            <w:pPr>
              <w:spacing w:after="40" w:before="40"/>
            </w:pPr>
            <w:r>
              <w:rPr>
                <w:rFonts w:ascii="Calibri" w:hAnsi="Calibri"/>
                <w:b w:val="0"/>
                <w:color w:val="000000"/>
                <w:sz w:val="20"/>
              </w:rPr>
              <w:t>Passes</w:t>
            </w:r>
          </w:p>
        </w:tc>
      </w:tr>
      <w:tr>
        <w:tc>
          <w:tcPr>
            <w:tcW w:type="dxa" w:w="4680"/>
          </w:tcPr>
          <w:p>
            <w:pPr>
              <w:spacing w:after="40" w:before="40"/>
            </w:pPr>
            <w:r>
              <w:rPr>
                <w:rFonts w:ascii="Calibri" w:hAnsi="Calibri"/>
                <w:b w:val="0"/>
                <w:color w:val="000000"/>
                <w:sz w:val="20"/>
              </w:rPr>
              <w:t>Entity level valid</w:t>
            </w:r>
          </w:p>
        </w:tc>
        <w:tc>
          <w:tcPr>
            <w:tcW w:type="dxa" w:w="4680"/>
          </w:tcPr>
          <w:p>
            <w:pPr>
              <w:spacing w:after="40" w:before="40"/>
            </w:pPr>
            <w:r>
              <w:rPr>
                <w:rFonts w:ascii="Calibri" w:hAnsi="Calibri"/>
                <w:b w:val="0"/>
                <w:color w:val="000000"/>
                <w:sz w:val="20"/>
              </w:rPr>
              <w:t>Participant</w:t>
            </w:r>
          </w:p>
        </w:tc>
      </w:tr>
    </w:tbl>
    <w:p>
      <w:pPr>
        <w:spacing w:after="80"/>
      </w:pPr>
    </w:p>
    <w:p>
      <w:pPr>
        <w:spacing w:after="120" w:before="0"/>
      </w:pPr>
      <w:r>
        <w:rPr>
          <w:rFonts w:ascii="Calibri" w:hAnsi="Calibri"/>
          <w:b/>
          <w:color w:val="000000"/>
          <w:sz w:val="22"/>
        </w:rPr>
        <w:t>Result:</w:t>
      </w:r>
      <w:r>
        <w:rPr>
          <w:rFonts w:ascii="Calibri" w:hAnsi="Calibri"/>
          <w:b w:val="0"/>
          <w:color w:val="000000"/>
          <w:sz w:val="22"/>
        </w:rPr>
        <w:t xml:space="preserve"> the record is well-formed enough to verify. Had the NPI failed its check digit, that would be a malformed identifier finding — not a missing organization.</w:t>
      </w:r>
    </w:p>
    <w:p>
      <w:pPr>
        <w:pStyle w:val="Heading2"/>
        <w:keepNext/>
        <w:spacing w:before="200" w:after="120"/>
        <w:outlineLvl w:val="1"/>
      </w:pPr>
      <w:r>
        <w:rPr>
          <w:rFonts w:ascii="Calibri" w:hAnsi="Calibri"/>
          <w:b/>
          <w:color w:val="003087"/>
          <w:sz w:val="25"/>
        </w:rPr>
        <w:t>24.4 Step 3 — Sample selection</w:t>
      </w:r>
    </w:p>
    <w:p>
      <w:pPr>
        <w:spacing w:after="120" w:before="0"/>
      </w:pPr>
      <w:r>
        <w:rPr>
          <w:rFonts w:ascii="Calibri" w:hAnsi="Calibri"/>
          <w:b w:val="0"/>
          <w:color w:val="000000"/>
          <w:sz w:val="22"/>
        </w:rPr>
        <w:t>The entity is included in the cycle sample. The sample was drawn with a Cochran calculation, finite population correction applied, at 95% confidence and 5% margin of error, using a recorded seed.</w:t>
      </w:r>
    </w:p>
    <w:p>
      <w:pPr>
        <w:spacing w:after="120" w:before="0"/>
      </w:pPr>
      <w:r>
        <w:rPr>
          <w:rFonts w:ascii="Calibri" w:hAnsi="Calibri"/>
          <w:b/>
          <w:color w:val="000000"/>
          <w:sz w:val="22"/>
        </w:rPr>
        <w:t>Why this matters:</w:t>
      </w:r>
      <w:r>
        <w:rPr>
          <w:rFonts w:ascii="Calibri" w:hAnsi="Calibri"/>
          <w:b w:val="0"/>
          <w:color w:val="000000"/>
          <w:sz w:val="22"/>
        </w:rPr>
        <w:t xml:space="preserve"> because the seed is stored, this exact sample can be re-drawn a year from now and shown to be the same sample. That is what makes it evidence rather than an assertion.</w:t>
      </w:r>
    </w:p>
    <w:p>
      <w:pPr>
        <w:pStyle w:val="Heading2"/>
        <w:keepNext/>
        <w:spacing w:before="200" w:after="120"/>
        <w:outlineLvl w:val="1"/>
      </w:pPr>
      <w:r>
        <w:rPr>
          <w:rFonts w:ascii="Calibri" w:hAnsi="Calibri"/>
          <w:b/>
          <w:color w:val="003087"/>
          <w:sz w:val="25"/>
        </w:rPr>
        <w:t>24.5 Step 4 — Authoritative source verification</w:t>
      </w:r>
    </w:p>
    <w:p>
      <w:pPr>
        <w:spacing w:after="120" w:before="0"/>
      </w:pPr>
      <w:r>
        <w:rPr>
          <w:rFonts w:ascii="Calibri" w:hAnsi="Calibri"/>
          <w:b w:val="0"/>
          <w:color w:val="000000"/>
          <w:sz w:val="22"/>
        </w:rPr>
        <w:t>A reviewer opens the entity and runs verification. Three sources are queried concurrently.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087"/>
          </w:tcPr>
          <w:p>
            <w:pPr>
              <w:spacing w:after="40" w:before="40"/>
            </w:pPr>
            <w:r>
              <w:rPr>
                <w:rFonts w:ascii="Calibri" w:hAnsi="Calibri"/>
                <w:b/>
                <w:color w:val="FFFFFF"/>
                <w:sz w:val="20"/>
              </w:rPr>
              <w:t>Source</w:t>
            </w:r>
          </w:p>
        </w:tc>
        <w:tc>
          <w:tcPr>
            <w:tcW w:type="dxa" w:w="3120"/>
            <w:shd w:val="clear" w:color="auto" w:fill="003087"/>
          </w:tcPr>
          <w:p>
            <w:pPr>
              <w:spacing w:after="40" w:before="40"/>
            </w:pPr>
            <w:r>
              <w:rPr>
                <w:rFonts w:ascii="Calibri" w:hAnsi="Calibri"/>
                <w:b/>
                <w:color w:val="FFFFFF"/>
                <w:sz w:val="20"/>
              </w:rPr>
              <w:t>State</w:t>
            </w:r>
          </w:p>
        </w:tc>
        <w:tc>
          <w:tcPr>
            <w:tcW w:type="dxa" w:w="3120"/>
            <w:shd w:val="clear" w:color="auto" w:fill="003087"/>
          </w:tcPr>
          <w:p>
            <w:pPr>
              <w:spacing w:after="40" w:before="40"/>
            </w:pPr>
            <w:r>
              <w:rPr>
                <w:rFonts w:ascii="Calibri" w:hAnsi="Calibri"/>
                <w:b/>
                <w:color w:val="FFFFFF"/>
                <w:sz w:val="20"/>
              </w:rPr>
              <w:t>What it returned</w:t>
            </w:r>
          </w:p>
        </w:tc>
      </w:tr>
      <w:tr>
        <w:tc>
          <w:tcPr>
            <w:tcW w:type="dxa" w:w="3120"/>
          </w:tcPr>
          <w:p>
            <w:pPr>
              <w:spacing w:after="40" w:before="40"/>
            </w:pPr>
            <w:r>
              <w:rPr>
                <w:rFonts w:ascii="Calibri" w:hAnsi="Calibri"/>
                <w:b/>
                <w:color w:val="000000"/>
                <w:sz w:val="20"/>
              </w:rPr>
              <w:t>NPPES</w:t>
            </w:r>
          </w:p>
        </w:tc>
        <w:tc>
          <w:tcPr>
            <w:tcW w:type="dxa" w:w="3120"/>
          </w:tcPr>
          <w:p>
            <w:pPr>
              <w:spacing w:after="40" w:before="40"/>
            </w:pPr>
            <w:r>
              <w:rPr>
                <w:rFonts w:ascii="Consolas" w:hAnsi="Consolas"/>
                <w:color w:val="000000"/>
                <w:sz w:val="20"/>
              </w:rPr>
              <w:t>verified</w:t>
            </w:r>
          </w:p>
        </w:tc>
        <w:tc>
          <w:tcPr>
            <w:tcW w:type="dxa" w:w="3120"/>
          </w:tcPr>
          <w:p>
            <w:pPr>
              <w:spacing w:after="40" w:before="40"/>
            </w:pPr>
            <w:r>
              <w:rPr>
                <w:rFonts w:ascii="Calibri" w:hAnsi="Calibri"/>
                <w:b w:val="0"/>
                <w:color w:val="000000"/>
                <w:sz w:val="20"/>
              </w:rPr>
              <w:t>NPI 1999999984 active, Type 2, legal name "Riverbend Regional Medical Center", taxonomy General Acute Care Hospital, location 400 Riverbend Parkway, Columbus OH 43215</w:t>
            </w:r>
          </w:p>
        </w:tc>
      </w:tr>
      <w:tr>
        <w:tc>
          <w:tcPr>
            <w:tcW w:type="dxa" w:w="3120"/>
            <w:shd w:val="clear" w:color="auto" w:fill="F2F5FA"/>
          </w:tcPr>
          <w:p>
            <w:pPr>
              <w:spacing w:after="40" w:before="40"/>
            </w:pPr>
            <w:r>
              <w:rPr>
                <w:rFonts w:ascii="Calibri" w:hAnsi="Calibri"/>
                <w:b/>
                <w:color w:val="000000"/>
                <w:sz w:val="20"/>
              </w:rPr>
              <w:t>Medicare enrollment indicator</w:t>
            </w:r>
          </w:p>
        </w:tc>
        <w:tc>
          <w:tcPr>
            <w:tcW w:type="dxa" w:w="3120"/>
            <w:shd w:val="clear" w:color="auto" w:fill="F2F5FA"/>
          </w:tcPr>
          <w:p>
            <w:pPr>
              <w:spacing w:after="40" w:before="40"/>
            </w:pPr>
            <w:r>
              <w:rPr>
                <w:rFonts w:ascii="Consolas" w:hAnsi="Consolas"/>
                <w:color w:val="000000"/>
                <w:sz w:val="20"/>
              </w:rPr>
              <w:t>verified</w:t>
            </w:r>
          </w:p>
        </w:tc>
        <w:tc>
          <w:tcPr>
            <w:tcW w:type="dxa" w:w="3120"/>
            <w:shd w:val="clear" w:color="auto" w:fill="F2F5FA"/>
          </w:tcPr>
          <w:p>
            <w:pPr>
              <w:spacing w:after="40" w:before="40"/>
            </w:pPr>
            <w:r>
              <w:rPr>
                <w:rFonts w:ascii="Calibri" w:hAnsi="Calibri"/>
                <w:b w:val="0"/>
                <w:color w:val="000000"/>
                <w:sz w:val="20"/>
              </w:rPr>
              <w:t xml:space="preserve">Provider enumerated; provider type consistent. Payment suspension: </w:t>
            </w:r>
            <w:r>
              <w:rPr>
                <w:rFonts w:ascii="Calibri" w:hAnsi="Calibri"/>
                <w:b/>
                <w:color w:val="000000"/>
                <w:sz w:val="20"/>
              </w:rPr>
              <w:t>not provided by this source</w:t>
            </w:r>
          </w:p>
        </w:tc>
      </w:tr>
      <w:tr>
        <w:tc>
          <w:tcPr>
            <w:tcW w:type="dxa" w:w="3120"/>
          </w:tcPr>
          <w:p>
            <w:pPr>
              <w:spacing w:after="40" w:before="40"/>
            </w:pPr>
            <w:r>
              <w:rPr>
                <w:rFonts w:ascii="Calibri" w:hAnsi="Calibri"/>
                <w:b/>
                <w:color w:val="000000"/>
                <w:sz w:val="20"/>
              </w:rPr>
              <w:t>OIG LEIE</w:t>
            </w:r>
          </w:p>
        </w:tc>
        <w:tc>
          <w:tcPr>
            <w:tcW w:type="dxa" w:w="3120"/>
          </w:tcPr>
          <w:p>
            <w:pPr>
              <w:spacing w:after="40" w:before="40"/>
            </w:pPr>
            <w:r>
              <w:rPr>
                <w:rFonts w:ascii="Consolas" w:hAnsi="Consolas"/>
                <w:color w:val="000000"/>
                <w:sz w:val="20"/>
              </w:rPr>
              <w:t>clear</w:t>
            </w:r>
          </w:p>
        </w:tc>
        <w:tc>
          <w:tcPr>
            <w:tcW w:type="dxa" w:w="3120"/>
          </w:tcPr>
          <w:p>
            <w:pPr>
              <w:spacing w:after="40" w:before="40"/>
            </w:pPr>
            <w:r>
              <w:rPr>
                <w:rFonts w:ascii="Calibri" w:hAnsi="Calibri"/>
                <w:b w:val="0"/>
                <w:color w:val="000000"/>
                <w:sz w:val="20"/>
              </w:rPr>
              <w:t>No exclusion record</w:t>
            </w:r>
          </w:p>
        </w:tc>
      </w:tr>
      <w:tr>
        <w:tc>
          <w:tcPr>
            <w:tcW w:type="dxa" w:w="3120"/>
            <w:shd w:val="clear" w:color="auto" w:fill="F2F5FA"/>
          </w:tcPr>
          <w:p>
            <w:pPr>
              <w:spacing w:after="40" w:before="40"/>
            </w:pPr>
            <w:r>
              <w:rPr>
                <w:rFonts w:ascii="Calibri" w:hAnsi="Calibri"/>
                <w:b/>
                <w:color w:val="000000"/>
                <w:sz w:val="20"/>
              </w:rPr>
              <w:t>SAM.gov</w:t>
            </w:r>
          </w:p>
        </w:tc>
        <w:tc>
          <w:tcPr>
            <w:tcW w:type="dxa" w:w="3120"/>
            <w:shd w:val="clear" w:color="auto" w:fill="F2F5FA"/>
          </w:tcPr>
          <w:p>
            <w:pPr>
              <w:spacing w:after="40" w:before="40"/>
            </w:pPr>
            <w:r>
              <w:rPr>
                <w:rFonts w:ascii="Consolas" w:hAnsi="Consolas"/>
                <w:color w:val="000000"/>
                <w:sz w:val="20"/>
              </w:rPr>
              <w:t>not_checked</w:t>
            </w:r>
          </w:p>
        </w:tc>
        <w:tc>
          <w:tcPr>
            <w:tcW w:type="dxa" w:w="3120"/>
            <w:shd w:val="clear" w:color="auto" w:fill="F2F5FA"/>
          </w:tcPr>
          <w:p>
            <w:pPr>
              <w:spacing w:after="40" w:before="40"/>
            </w:pPr>
            <w:r>
              <w:rPr>
                <w:rFonts w:ascii="Calibri" w:hAnsi="Calibri"/>
                <w:b w:val="0"/>
                <w:color w:val="000000"/>
                <w:sz w:val="20"/>
              </w:rPr>
              <w:t>"API key configured. Entity lookup endpoints returning 404 — API version under investigation."</w:t>
            </w:r>
          </w:p>
        </w:tc>
      </w:tr>
    </w:tbl>
    <w:p>
      <w:pPr>
        <w:spacing w:after="80"/>
      </w:pPr>
    </w:p>
    <w:p>
      <w:pPr>
        <w:spacing w:after="120" w:before="0"/>
      </w:pPr>
      <w:r>
        <w:rPr>
          <w:rFonts w:ascii="Calibri" w:hAnsi="Calibri"/>
          <w:b/>
          <w:color w:val="000000"/>
          <w:sz w:val="22"/>
        </w:rPr>
        <w:t>Coverage note:</w:t>
      </w:r>
      <w:r>
        <w:rPr>
          <w:rFonts w:ascii="Calibri" w:hAnsi="Calibri"/>
          <w:b w:val="0"/>
          <w:color w:val="000000"/>
          <w:sz w:val="22"/>
        </w:rPr>
        <w:t xml:space="preserve"> *3 of 3 implemented sources checked. Not implemented (excluded from coverage): irs, state_registry.*</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60" w:before="0"/>
            </w:pPr>
            <w:r>
              <w:rPr>
                <w:rFonts w:ascii="Calibri" w:hAnsi="Calibri"/>
                <w:b/>
                <w:color w:val="000000"/>
                <w:sz w:val="21"/>
              </w:rPr>
              <w:t>NOTE</w:t>
            </w:r>
          </w:p>
          <w:p>
            <w:pPr>
              <w:spacing w:after="0" w:before="0"/>
            </w:pPr>
            <w:r>
              <w:rPr>
                <w:rFonts w:ascii="Calibri" w:hAnsi="Calibri"/>
                <w:b w:val="0"/>
                <w:color w:val="000000"/>
                <w:sz w:val="21"/>
              </w:rPr>
              <w:t>Coverage reads 3 of 3 because SAM is not counted among implemented connectors in this path. The reviewer must still register that no federal registration evidence exists for this entity.</w:t>
            </w:r>
          </w:p>
        </w:tc>
      </w:tr>
    </w:tbl>
    <w:p>
      <w:pPr>
        <w:spacing w:after="80"/>
      </w:pPr>
    </w:p>
    <w:p>
      <w:pPr>
        <w:pStyle w:val="Heading2"/>
        <w:keepNext/>
        <w:spacing w:before="200" w:after="120"/>
        <w:outlineLvl w:val="1"/>
      </w:pPr>
      <w:r>
        <w:rPr>
          <w:rFonts w:ascii="Calibri" w:hAnsi="Calibri"/>
          <w:b/>
          <w:color w:val="003087"/>
          <w:sz w:val="25"/>
        </w:rPr>
        <w:t>24.6 Step 5 — NPI verification</w:t>
      </w:r>
    </w:p>
    <w:p>
      <w:pPr>
        <w:spacing w:after="120" w:before="0"/>
      </w:pPr>
      <w:r>
        <w:rPr>
          <w:rFonts w:ascii="Calibri" w:hAnsi="Calibri"/>
          <w:b w:val="0"/>
          <w:color w:val="000000"/>
          <w:sz w:val="22"/>
        </w:rPr>
        <w:t>Submitted NPI matches the NPPES record exactly. Status is active, not deactivated. Enumeration type is Type 2, consistent with an organization.</w:t>
      </w:r>
    </w:p>
    <w:p>
      <w:pPr>
        <w:spacing w:after="120" w:before="0"/>
      </w:pPr>
      <w:r>
        <w:rPr>
          <w:rFonts w:ascii="Calibri" w:hAnsi="Calibri"/>
          <w:b/>
          <w:color w:val="000000"/>
          <w:sz w:val="22"/>
        </w:rPr>
        <w:t>Finding:</w:t>
      </w:r>
      <w:r>
        <w:rPr>
          <w:rFonts w:ascii="Calibri" w:hAnsi="Calibri"/>
          <w:b w:val="0"/>
          <w:color w:val="000000"/>
          <w:sz w:val="22"/>
        </w:rPr>
        <w:t xml:space="preserve"> none.</w:t>
      </w:r>
    </w:p>
    <w:p>
      <w:pPr>
        <w:pStyle w:val="Heading2"/>
        <w:keepNext/>
        <w:spacing w:before="200" w:after="120"/>
        <w:outlineLvl w:val="1"/>
      </w:pPr>
      <w:r>
        <w:rPr>
          <w:rFonts w:ascii="Calibri" w:hAnsi="Calibri"/>
          <w:b/>
          <w:color w:val="003087"/>
          <w:sz w:val="25"/>
        </w:rPr>
        <w:t>24.7 Step 6 — Name matching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Stage</w:t>
            </w:r>
          </w:p>
        </w:tc>
        <w:tc>
          <w:tcPr>
            <w:tcW w:type="dxa" w:w="4680"/>
            <w:shd w:val="clear" w:color="auto" w:fill="003087"/>
          </w:tcPr>
          <w:p>
            <w:pPr>
              <w:spacing w:after="40" w:before="40"/>
            </w:pPr>
            <w:r>
              <w:rPr>
                <w:rFonts w:ascii="Calibri" w:hAnsi="Calibri"/>
                <w:b/>
                <w:color w:val="FFFFFF"/>
                <w:sz w:val="20"/>
              </w:rPr>
              <w:t>Value</w:t>
            </w:r>
          </w:p>
        </w:tc>
      </w:tr>
      <w:tr>
        <w:tc>
          <w:tcPr>
            <w:tcW w:type="dxa" w:w="4680"/>
          </w:tcPr>
          <w:p>
            <w:pPr>
              <w:spacing w:after="40" w:before="40"/>
            </w:pPr>
            <w:r>
              <w:rPr>
                <w:rFonts w:ascii="Calibri" w:hAnsi="Calibri"/>
                <w:b w:val="0"/>
                <w:color w:val="000000"/>
                <w:sz w:val="20"/>
              </w:rPr>
              <w:t>Submitted</w:t>
            </w:r>
          </w:p>
        </w:tc>
        <w:tc>
          <w:tcPr>
            <w:tcW w:type="dxa" w:w="4680"/>
          </w:tcPr>
          <w:p>
            <w:pPr>
              <w:spacing w:after="40" w:before="40"/>
            </w:pPr>
            <w:r>
              <w:rPr>
                <w:rFonts w:ascii="Calibri" w:hAnsi="Calibri"/>
                <w:b w:val="0"/>
                <w:color w:val="000000"/>
                <w:sz w:val="20"/>
              </w:rPr>
              <w:t>Riverbend Regional Med Ctr</w:t>
            </w:r>
          </w:p>
        </w:tc>
      </w:tr>
      <w:tr>
        <w:tc>
          <w:tcPr>
            <w:tcW w:type="dxa" w:w="4680"/>
            <w:shd w:val="clear" w:color="auto" w:fill="F2F5FA"/>
          </w:tcPr>
          <w:p>
            <w:pPr>
              <w:spacing w:after="40" w:before="40"/>
            </w:pPr>
            <w:r>
              <w:rPr>
                <w:rFonts w:ascii="Calibri" w:hAnsi="Calibri"/>
                <w:b w:val="0"/>
                <w:color w:val="000000"/>
                <w:sz w:val="20"/>
              </w:rPr>
              <w:t>NPPES</w:t>
            </w:r>
          </w:p>
        </w:tc>
        <w:tc>
          <w:tcPr>
            <w:tcW w:type="dxa" w:w="4680"/>
            <w:shd w:val="clear" w:color="auto" w:fill="F2F5FA"/>
          </w:tcPr>
          <w:p>
            <w:pPr>
              <w:spacing w:after="40" w:before="40"/>
            </w:pPr>
            <w:r>
              <w:rPr>
                <w:rFonts w:ascii="Calibri" w:hAnsi="Calibri"/>
                <w:b w:val="0"/>
                <w:color w:val="000000"/>
                <w:sz w:val="20"/>
              </w:rPr>
              <w:t>Riverbend Regional Medical Center</w:t>
            </w:r>
          </w:p>
        </w:tc>
      </w:tr>
      <w:tr>
        <w:tc>
          <w:tcPr>
            <w:tcW w:type="dxa" w:w="4680"/>
          </w:tcPr>
          <w:p>
            <w:pPr>
              <w:spacing w:after="40" w:before="40"/>
            </w:pPr>
            <w:r>
              <w:rPr>
                <w:rFonts w:ascii="Calibri" w:hAnsi="Calibri"/>
                <w:b w:val="0"/>
                <w:color w:val="000000"/>
                <w:sz w:val="20"/>
              </w:rPr>
              <w:t>After normalization</w:t>
            </w:r>
          </w:p>
        </w:tc>
        <w:tc>
          <w:tcPr>
            <w:tcW w:type="dxa" w:w="4680"/>
          </w:tcPr>
          <w:p>
            <w:pPr>
              <w:spacing w:after="40" w:before="40"/>
            </w:pPr>
            <w:r>
              <w:rPr>
                <w:rFonts w:ascii="Consolas" w:hAnsi="Consolas"/>
                <w:color w:val="000000"/>
                <w:sz w:val="20"/>
              </w:rPr>
              <w:t>riverbend regional medical center</w:t>
            </w:r>
            <w:r>
              <w:rPr>
                <w:rFonts w:ascii="Calibri" w:hAnsi="Calibri"/>
                <w:b w:val="0"/>
                <w:color w:val="000000"/>
                <w:sz w:val="20"/>
              </w:rPr>
              <w:t xml:space="preserve"> on both sides — "Med Ctr" expands to "Medical Center"</w:t>
            </w:r>
          </w:p>
        </w:tc>
      </w:tr>
      <w:tr>
        <w:tc>
          <w:tcPr>
            <w:tcW w:type="dxa" w:w="4680"/>
            <w:shd w:val="clear" w:color="auto" w:fill="F2F5FA"/>
          </w:tcPr>
          <w:p>
            <w:pPr>
              <w:spacing w:after="40" w:before="40"/>
            </w:pPr>
            <w:r>
              <w:rPr>
                <w:rFonts w:ascii="Calibri" w:hAnsi="Calibri"/>
                <w:b w:val="0"/>
                <w:color w:val="000000"/>
                <w:sz w:val="20"/>
              </w:rPr>
              <w:t>Similarity</w:t>
            </w:r>
          </w:p>
        </w:tc>
        <w:tc>
          <w:tcPr>
            <w:tcW w:type="dxa" w:w="4680"/>
            <w:shd w:val="clear" w:color="auto" w:fill="F2F5FA"/>
          </w:tcPr>
          <w:p>
            <w:pPr>
              <w:spacing w:after="40" w:before="40"/>
            </w:pPr>
            <w:r>
              <w:rPr>
                <w:rFonts w:ascii="Calibri" w:hAnsi="Calibri"/>
                <w:b w:val="0"/>
                <w:color w:val="000000"/>
                <w:sz w:val="20"/>
              </w:rPr>
              <w:t>0.94</w:t>
            </w:r>
          </w:p>
        </w:tc>
      </w:tr>
    </w:tbl>
    <w:p>
      <w:pPr>
        <w:spacing w:after="80"/>
      </w:pPr>
    </w:p>
    <w:p>
      <w:pPr>
        <w:spacing w:after="120" w:before="0"/>
      </w:pPr>
      <w:r>
        <w:rPr>
          <w:rFonts w:ascii="Calibri" w:hAnsi="Calibri"/>
          <w:b w:val="0"/>
          <w:color w:val="000000"/>
          <w:sz w:val="22"/>
        </w:rPr>
        <w:t>0.94 falls in the 0.70–0.89 band once the raw comparison is scored, producing an abbreviation finding rather than a clean pass.</w:t>
      </w:r>
    </w:p>
    <w:p>
      <w:pPr>
        <w:spacing w:after="120" w:before="0"/>
      </w:pPr>
      <w:r>
        <w:rPr>
          <w:rFonts w:ascii="Calibri" w:hAnsi="Calibri"/>
          <w:b/>
          <w:color w:val="000000"/>
          <w:sz w:val="22"/>
        </w:rPr>
        <w:t>Finding:</w:t>
      </w:r>
      <w:r>
        <w:rPr>
          <w:rFonts w:ascii="Calibri" w:hAnsi="Calibri"/>
          <w:b w:val="0"/>
          <w:color w:val="000000"/>
          <w:sz w:val="22"/>
        </w:rPr>
        <w:t xml:space="preserve"> </w:t>
      </w:r>
      <w:r>
        <w:rPr>
          <w:rFonts w:ascii="Consolas" w:hAnsi="Consolas"/>
          <w:color w:val="000000"/>
          <w:sz w:val="22"/>
        </w:rPr>
        <w:t>NAME_ABBREVIATION_DIFF</w:t>
      </w:r>
      <w:r>
        <w:rPr>
          <w:rFonts w:ascii="Calibri" w:hAnsi="Calibri"/>
          <w:b w:val="0"/>
          <w:color w:val="000000"/>
          <w:sz w:val="22"/>
        </w:rPr>
        <w:t xml:space="preserve"> — *Name difference attributable to abbreviation.* Bucket contribution: </w:t>
      </w:r>
      <w:r>
        <w:rPr>
          <w:rFonts w:ascii="Calibri" w:hAnsi="Calibri"/>
          <w:b/>
          <w:color w:val="000000"/>
          <w:sz w:val="22"/>
        </w:rPr>
        <w:t>B2</w:t>
      </w:r>
      <w:r>
        <w:rPr>
          <w:rFonts w:ascii="Calibri" w:hAnsi="Calibri"/>
          <w:b w:val="0"/>
          <w:color w:val="000000"/>
          <w:sz w:val="22"/>
        </w:rPr>
        <w:t>. Confidence deduction: 0.10.</w:t>
      </w:r>
    </w:p>
    <w:p>
      <w:pPr>
        <w:pStyle w:val="Heading2"/>
        <w:keepNext/>
        <w:spacing w:before="200" w:after="120"/>
        <w:outlineLvl w:val="1"/>
      </w:pPr>
      <w:r>
        <w:rPr>
          <w:rFonts w:ascii="Calibri" w:hAnsi="Calibri"/>
          <w:b/>
          <w:color w:val="003087"/>
          <w:sz w:val="25"/>
        </w:rPr>
        <w:t>24.8 Step 7 — Address cross-reference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Stage</w:t>
            </w:r>
          </w:p>
        </w:tc>
        <w:tc>
          <w:tcPr>
            <w:tcW w:type="dxa" w:w="4680"/>
            <w:shd w:val="clear" w:color="auto" w:fill="003087"/>
          </w:tcPr>
          <w:p>
            <w:pPr>
              <w:spacing w:after="40" w:before="40"/>
            </w:pPr>
            <w:r>
              <w:rPr>
                <w:rFonts w:ascii="Calibri" w:hAnsi="Calibri"/>
                <w:b/>
                <w:color w:val="FFFFFF"/>
                <w:sz w:val="20"/>
              </w:rPr>
              <w:t>Value</w:t>
            </w:r>
          </w:p>
        </w:tc>
      </w:tr>
      <w:tr>
        <w:tc>
          <w:tcPr>
            <w:tcW w:type="dxa" w:w="4680"/>
          </w:tcPr>
          <w:p>
            <w:pPr>
              <w:spacing w:after="40" w:before="40"/>
            </w:pPr>
            <w:r>
              <w:rPr>
                <w:rFonts w:ascii="Calibri" w:hAnsi="Calibri"/>
                <w:b w:val="0"/>
                <w:color w:val="000000"/>
                <w:sz w:val="20"/>
              </w:rPr>
              <w:t>Submitted</w:t>
            </w:r>
          </w:p>
        </w:tc>
        <w:tc>
          <w:tcPr>
            <w:tcW w:type="dxa" w:w="4680"/>
          </w:tcPr>
          <w:p>
            <w:pPr>
              <w:spacing w:after="40" w:before="40"/>
            </w:pPr>
            <w:r>
              <w:rPr>
                <w:rFonts w:ascii="Calibri" w:hAnsi="Calibri"/>
                <w:b w:val="0"/>
                <w:color w:val="000000"/>
                <w:sz w:val="20"/>
              </w:rPr>
              <w:t>400 Riverbend Pkwy, Suite 210, Columbus, OH 43215</w:t>
            </w:r>
          </w:p>
        </w:tc>
      </w:tr>
      <w:tr>
        <w:tc>
          <w:tcPr>
            <w:tcW w:type="dxa" w:w="4680"/>
            <w:shd w:val="clear" w:color="auto" w:fill="F2F5FA"/>
          </w:tcPr>
          <w:p>
            <w:pPr>
              <w:spacing w:after="40" w:before="40"/>
            </w:pPr>
            <w:r>
              <w:rPr>
                <w:rFonts w:ascii="Calibri" w:hAnsi="Calibri"/>
                <w:b w:val="0"/>
                <w:color w:val="000000"/>
                <w:sz w:val="20"/>
              </w:rPr>
              <w:t>NPPES</w:t>
            </w:r>
          </w:p>
        </w:tc>
        <w:tc>
          <w:tcPr>
            <w:tcW w:type="dxa" w:w="4680"/>
            <w:shd w:val="clear" w:color="auto" w:fill="F2F5FA"/>
          </w:tcPr>
          <w:p>
            <w:pPr>
              <w:spacing w:after="40" w:before="40"/>
            </w:pPr>
            <w:r>
              <w:rPr>
                <w:rFonts w:ascii="Calibri" w:hAnsi="Calibri"/>
                <w:b w:val="0"/>
                <w:color w:val="000000"/>
                <w:sz w:val="20"/>
              </w:rPr>
              <w:t>400 Riverbend Parkway, Columbus, OH 43215</w:t>
            </w:r>
          </w:p>
        </w:tc>
      </w:tr>
      <w:tr>
        <w:tc>
          <w:tcPr>
            <w:tcW w:type="dxa" w:w="4680"/>
          </w:tcPr>
          <w:p>
            <w:pPr>
              <w:spacing w:after="40" w:before="40"/>
            </w:pPr>
            <w:r>
              <w:rPr>
                <w:rFonts w:ascii="Calibri" w:hAnsi="Calibri"/>
                <w:b w:val="0"/>
                <w:color w:val="000000"/>
                <w:sz w:val="20"/>
              </w:rPr>
              <w:t>After Publication 28 normalization</w:t>
            </w:r>
          </w:p>
        </w:tc>
        <w:tc>
          <w:tcPr>
            <w:tcW w:type="dxa" w:w="4680"/>
          </w:tcPr>
          <w:p>
            <w:pPr>
              <w:spacing w:after="40" w:before="40"/>
            </w:pPr>
            <w:r>
              <w:rPr>
                <w:rFonts w:ascii="Consolas" w:hAnsi="Consolas"/>
                <w:color w:val="000000"/>
                <w:sz w:val="20"/>
              </w:rPr>
              <w:t>400 RIVERBEND PKWY COLUMBUS OH 43215</w:t>
            </w:r>
            <w:r>
              <w:rPr>
                <w:rFonts w:ascii="Calibri" w:hAnsi="Calibri"/>
                <w:b w:val="0"/>
                <w:color w:val="000000"/>
                <w:sz w:val="20"/>
              </w:rPr>
              <w:t xml:space="preserve"> on both sides</w:t>
            </w:r>
          </w:p>
        </w:tc>
      </w:tr>
      <w:tr>
        <w:tc>
          <w:tcPr>
            <w:tcW w:type="dxa" w:w="4680"/>
            <w:shd w:val="clear" w:color="auto" w:fill="F2F5FA"/>
          </w:tcPr>
          <w:p>
            <w:pPr>
              <w:spacing w:after="40" w:before="40"/>
            </w:pPr>
            <w:r>
              <w:rPr>
                <w:rFonts w:ascii="Calibri" w:hAnsi="Calibri"/>
                <w:b w:val="0"/>
                <w:color w:val="000000"/>
                <w:sz w:val="20"/>
              </w:rPr>
              <w:t>State comparison</w:t>
            </w:r>
          </w:p>
        </w:tc>
        <w:tc>
          <w:tcPr>
            <w:tcW w:type="dxa" w:w="4680"/>
            <w:shd w:val="clear" w:color="auto" w:fill="F2F5FA"/>
          </w:tcPr>
          <w:p>
            <w:pPr>
              <w:spacing w:after="40" w:before="40"/>
            </w:pPr>
            <w:r>
              <w:rPr>
                <w:rFonts w:ascii="Calibri" w:hAnsi="Calibri"/>
                <w:b w:val="0"/>
                <w:color w:val="000000"/>
                <w:sz w:val="20"/>
              </w:rPr>
              <w:t>OH = OH — no conflict</w:t>
            </w:r>
          </w:p>
        </w:tc>
      </w:tr>
      <w:tr>
        <w:tc>
          <w:tcPr>
            <w:tcW w:type="dxa" w:w="4680"/>
          </w:tcPr>
          <w:p>
            <w:pPr>
              <w:spacing w:after="40" w:before="40"/>
            </w:pPr>
            <w:r>
              <w:rPr>
                <w:rFonts w:ascii="Calibri" w:hAnsi="Calibri"/>
                <w:b w:val="0"/>
                <w:color w:val="000000"/>
                <w:sz w:val="20"/>
              </w:rPr>
              <w:t>ZIP comparison</w:t>
            </w:r>
          </w:p>
        </w:tc>
        <w:tc>
          <w:tcPr>
            <w:tcW w:type="dxa" w:w="4680"/>
          </w:tcPr>
          <w:p>
            <w:pPr>
              <w:spacing w:after="40" w:before="40"/>
            </w:pPr>
            <w:r>
              <w:rPr>
                <w:rFonts w:ascii="Calibri" w:hAnsi="Calibri"/>
                <w:b w:val="0"/>
                <w:color w:val="000000"/>
                <w:sz w:val="20"/>
              </w:rPr>
              <w:t>43215 = 43215</w:t>
            </w:r>
          </w:p>
        </w:tc>
      </w:tr>
      <w:tr>
        <w:tc>
          <w:tcPr>
            <w:tcW w:type="dxa" w:w="4680"/>
            <w:shd w:val="clear" w:color="auto" w:fill="F2F5FA"/>
          </w:tcPr>
          <w:p>
            <w:pPr>
              <w:spacing w:after="40" w:before="40"/>
            </w:pPr>
            <w:r>
              <w:rPr>
                <w:rFonts w:ascii="Calibri" w:hAnsi="Calibri"/>
                <w:b w:val="0"/>
                <w:color w:val="000000"/>
                <w:sz w:val="20"/>
              </w:rPr>
              <w:t>Street core comparison</w:t>
            </w:r>
          </w:p>
        </w:tc>
        <w:tc>
          <w:tcPr>
            <w:tcW w:type="dxa" w:w="4680"/>
            <w:shd w:val="clear" w:color="auto" w:fill="F2F5FA"/>
          </w:tcPr>
          <w:p>
            <w:pPr>
              <w:spacing w:after="40" w:before="40"/>
            </w:pPr>
            <w:r>
              <w:rPr>
                <w:rFonts w:ascii="Calibri" w:hAnsi="Calibri"/>
                <w:b w:val="0"/>
                <w:color w:val="000000"/>
                <w:sz w:val="20"/>
              </w:rPr>
              <w:t>Matches once the secondary unit designator is set aside</w:t>
            </w:r>
          </w:p>
        </w:tc>
      </w:tr>
    </w:tbl>
    <w:p>
      <w:pPr>
        <w:spacing w:after="80"/>
      </w:pPr>
    </w:p>
    <w:p>
      <w:pPr>
        <w:spacing w:after="120" w:before="0"/>
      </w:pPr>
      <w:r>
        <w:rPr>
          <w:rFonts w:ascii="Calibri" w:hAnsi="Calibri"/>
          <w:b/>
          <w:color w:val="000000"/>
          <w:sz w:val="22"/>
        </w:rPr>
        <w:t>Finding:</w:t>
      </w:r>
      <w:r>
        <w:rPr>
          <w:rFonts w:ascii="Calibri" w:hAnsi="Calibri"/>
          <w:b w:val="0"/>
          <w:color w:val="000000"/>
          <w:sz w:val="22"/>
        </w:rPr>
        <w:t xml:space="preserve"> none. The suite number is a secondary designator, not an address difference.</w:t>
      </w:r>
    </w:p>
    <w:p>
      <w:pPr>
        <w:pStyle w:val="Heading2"/>
        <w:keepNext/>
        <w:spacing w:before="200" w:after="120"/>
        <w:outlineLvl w:val="1"/>
      </w:pPr>
      <w:r>
        <w:rPr>
          <w:rFonts w:ascii="Calibri" w:hAnsi="Calibri"/>
          <w:b/>
          <w:color w:val="003087"/>
          <w:sz w:val="25"/>
        </w:rPr>
        <w:t>24.9 Step 8 — Exclusion screening</w:t>
      </w:r>
    </w:p>
    <w:p>
      <w:pPr>
        <w:spacing w:after="120" w:before="0"/>
      </w:pPr>
      <w:r>
        <w:rPr>
          <w:rFonts w:ascii="Calibri" w:hAnsi="Calibri"/>
          <w:b w:val="0"/>
          <w:color w:val="000000"/>
          <w:sz w:val="22"/>
        </w:rPr>
        <w:t>Name and NPI submitted to OIG LEIE. No exclusion record, current or historical.</w:t>
      </w:r>
    </w:p>
    <w:p>
      <w:pPr>
        <w:spacing w:after="120" w:before="0"/>
      </w:pPr>
      <w:r>
        <w:rPr>
          <w:rFonts w:ascii="Calibri" w:hAnsi="Calibri"/>
          <w:b/>
          <w:color w:val="000000"/>
          <w:sz w:val="22"/>
        </w:rPr>
        <w:t>Finding:</w:t>
      </w:r>
      <w:r>
        <w:rPr>
          <w:rFonts w:ascii="Calibri" w:hAnsi="Calibri"/>
          <w:b w:val="0"/>
          <w:color w:val="000000"/>
          <w:sz w:val="22"/>
        </w:rPr>
        <w:t xml:space="preserve"> none.</w:t>
      </w:r>
    </w:p>
    <w:p>
      <w:pPr>
        <w:pStyle w:val="Heading2"/>
        <w:keepNext/>
        <w:spacing w:before="200" w:after="120"/>
        <w:outlineLvl w:val="1"/>
      </w:pPr>
      <w:r>
        <w:rPr>
          <w:rFonts w:ascii="Calibri" w:hAnsi="Calibri"/>
          <w:b/>
          <w:color w:val="003087"/>
          <w:sz w:val="25"/>
        </w:rPr>
        <w:t>24.10 Step 9 — Medicare enrollment verification</w:t>
      </w:r>
    </w:p>
    <w:p>
      <w:pPr>
        <w:spacing w:after="120" w:before="0"/>
      </w:pPr>
      <w:r>
        <w:rPr>
          <w:rFonts w:ascii="Calibri" w:hAnsi="Calibri"/>
          <w:b w:val="0"/>
          <w:color w:val="000000"/>
          <w:sz w:val="22"/>
        </w:rPr>
        <w:t>The enrollment indicator confirms the provider is enumerated with a consistent provider type and address.</w:t>
      </w:r>
    </w:p>
    <w:p>
      <w:pPr>
        <w:spacing w:after="120" w:before="0"/>
      </w:pPr>
      <w:r>
        <w:rPr>
          <w:rFonts w:ascii="Calibri" w:hAnsi="Calibri"/>
          <w:b/>
          <w:color w:val="000000"/>
          <w:sz w:val="22"/>
        </w:rPr>
        <w:t>Payment suspension:</w:t>
      </w:r>
      <w:r>
        <w:rPr>
          <w:rFonts w:ascii="Calibri" w:hAnsi="Calibri"/>
          <w:b w:val="0"/>
          <w:color w:val="000000"/>
          <w:sz w:val="22"/>
        </w:rPr>
        <w:t xml:space="preserve"> reported as *not provided by this source*. It is not reported as clean.</w:t>
      </w:r>
    </w:p>
    <w:p>
      <w:pPr>
        <w:spacing w:after="120" w:before="0"/>
      </w:pPr>
      <w:r>
        <w:rPr>
          <w:rFonts w:ascii="Calibri" w:hAnsi="Calibri"/>
          <w:b/>
          <w:color w:val="000000"/>
          <w:sz w:val="22"/>
        </w:rPr>
        <w:t>Finding:</w:t>
      </w:r>
      <w:r>
        <w:rPr>
          <w:rFonts w:ascii="Calibri" w:hAnsi="Calibri"/>
          <w:b w:val="0"/>
          <w:color w:val="000000"/>
          <w:sz w:val="22"/>
        </w:rPr>
        <w:t xml:space="preserve"> none — and no finding could be raised about payment suspension, because the data element is unavailable.</w:t>
      </w:r>
    </w:p>
    <w:p>
      <w:pPr>
        <w:pStyle w:val="Heading2"/>
        <w:keepNext/>
        <w:spacing w:before="200" w:after="120"/>
        <w:outlineLvl w:val="1"/>
      </w:pPr>
      <w:r>
        <w:rPr>
          <w:rFonts w:ascii="Calibri" w:hAnsi="Calibri"/>
          <w:b/>
          <w:color w:val="003087"/>
          <w:sz w:val="25"/>
        </w:rPr>
        <w:t>24.11 Step 10 — Rules applied and classification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Input</w:t>
            </w:r>
          </w:p>
        </w:tc>
        <w:tc>
          <w:tcPr>
            <w:tcW w:type="dxa" w:w="4680"/>
            <w:shd w:val="clear" w:color="auto" w:fill="003087"/>
          </w:tcPr>
          <w:p>
            <w:pPr>
              <w:spacing w:after="40" w:before="40"/>
            </w:pPr>
            <w:r>
              <w:rPr>
                <w:rFonts w:ascii="Calibri" w:hAnsi="Calibri"/>
                <w:b/>
                <w:color w:val="FFFFFF"/>
                <w:sz w:val="20"/>
              </w:rPr>
              <w:t>Value</w:t>
            </w:r>
          </w:p>
        </w:tc>
      </w:tr>
      <w:tr>
        <w:tc>
          <w:tcPr>
            <w:tcW w:type="dxa" w:w="4680"/>
          </w:tcPr>
          <w:p>
            <w:pPr>
              <w:spacing w:after="40" w:before="40"/>
            </w:pPr>
            <w:r>
              <w:rPr>
                <w:rFonts w:ascii="Calibri" w:hAnsi="Calibri"/>
                <w:b w:val="0"/>
                <w:color w:val="000000"/>
                <w:sz w:val="20"/>
              </w:rPr>
              <w:t>Findings</w:t>
            </w:r>
          </w:p>
        </w:tc>
        <w:tc>
          <w:tcPr>
            <w:tcW w:type="dxa" w:w="4680"/>
          </w:tcPr>
          <w:p>
            <w:pPr>
              <w:spacing w:after="40" w:before="40"/>
            </w:pPr>
            <w:r>
              <w:rPr>
                <w:rFonts w:ascii="Consolas" w:hAnsi="Consolas"/>
                <w:color w:val="000000"/>
                <w:sz w:val="20"/>
              </w:rPr>
              <w:t>NAME_ABBREVIATION_DIFF</w:t>
            </w:r>
          </w:p>
        </w:tc>
      </w:tr>
      <w:tr>
        <w:tc>
          <w:tcPr>
            <w:tcW w:type="dxa" w:w="4680"/>
            <w:shd w:val="clear" w:color="auto" w:fill="F2F5FA"/>
          </w:tcPr>
          <w:p>
            <w:pPr>
              <w:spacing w:after="40" w:before="40"/>
            </w:pPr>
            <w:r>
              <w:rPr>
                <w:rFonts w:ascii="Calibri" w:hAnsi="Calibri"/>
                <w:b w:val="0"/>
                <w:color w:val="000000"/>
                <w:sz w:val="20"/>
              </w:rPr>
              <w:t>Bucket rule</w:t>
            </w:r>
          </w:p>
        </w:tc>
        <w:tc>
          <w:tcPr>
            <w:tcW w:type="dxa" w:w="4680"/>
            <w:shd w:val="clear" w:color="auto" w:fill="F2F5FA"/>
          </w:tcPr>
          <w:p>
            <w:pPr>
              <w:spacing w:after="40" w:before="40"/>
            </w:pPr>
            <w:r>
              <w:rPr>
                <w:rFonts w:ascii="Calibri" w:hAnsi="Calibri"/>
                <w:b w:val="0"/>
                <w:color w:val="000000"/>
                <w:sz w:val="20"/>
              </w:rPr>
              <w:t>Worst finding wins</w:t>
            </w:r>
          </w:p>
        </w:tc>
      </w:tr>
      <w:tr>
        <w:tc>
          <w:tcPr>
            <w:tcW w:type="dxa" w:w="4680"/>
          </w:tcPr>
          <w:p>
            <w:pPr>
              <w:spacing w:after="40" w:before="40"/>
            </w:pPr>
            <w:r>
              <w:rPr>
                <w:rFonts w:ascii="Calibri" w:hAnsi="Calibri"/>
                <w:b w:val="0"/>
                <w:color w:val="000000"/>
                <w:sz w:val="20"/>
              </w:rPr>
              <w:t>Bucket</w:t>
            </w:r>
          </w:p>
        </w:tc>
        <w:tc>
          <w:tcPr>
            <w:tcW w:type="dxa" w:w="4680"/>
          </w:tcPr>
          <w:p>
            <w:pPr>
              <w:spacing w:after="40" w:before="40"/>
            </w:pPr>
            <w:r>
              <w:rPr>
                <w:rFonts w:ascii="Calibri" w:hAnsi="Calibri"/>
                <w:b/>
                <w:color w:val="000000"/>
                <w:sz w:val="20"/>
              </w:rPr>
              <w:t>B2 — Minor or Administrative</w:t>
            </w:r>
          </w:p>
        </w:tc>
      </w:tr>
      <w:tr>
        <w:tc>
          <w:tcPr>
            <w:tcW w:type="dxa" w:w="4680"/>
            <w:shd w:val="clear" w:color="auto" w:fill="F2F5FA"/>
          </w:tcPr>
          <w:p>
            <w:pPr>
              <w:spacing w:after="40" w:before="40"/>
            </w:pPr>
            <w:r>
              <w:rPr>
                <w:rFonts w:ascii="Calibri" w:hAnsi="Calibri"/>
                <w:b w:val="0"/>
                <w:color w:val="000000"/>
                <w:sz w:val="20"/>
              </w:rPr>
              <w:t>Confidence</w:t>
            </w:r>
          </w:p>
        </w:tc>
        <w:tc>
          <w:tcPr>
            <w:tcW w:type="dxa" w:w="4680"/>
            <w:shd w:val="clear" w:color="auto" w:fill="F2F5FA"/>
          </w:tcPr>
          <w:p>
            <w:pPr>
              <w:spacing w:after="40" w:before="40"/>
            </w:pPr>
            <w:r>
              <w:rPr>
                <w:rFonts w:ascii="Calibri" w:hAnsi="Calibri"/>
                <w:b w:val="0"/>
                <w:color w:val="000000"/>
                <w:sz w:val="20"/>
              </w:rPr>
              <w:t>0.90 (1.00 less the 0.10 abbreviation deduction)</w:t>
            </w:r>
          </w:p>
        </w:tc>
      </w:tr>
      <w:tr>
        <w:tc>
          <w:tcPr>
            <w:tcW w:type="dxa" w:w="4680"/>
          </w:tcPr>
          <w:p>
            <w:pPr>
              <w:spacing w:after="40" w:before="40"/>
            </w:pPr>
            <w:r>
              <w:rPr>
                <w:rFonts w:ascii="Calibri" w:hAnsi="Calibri"/>
                <w:b w:val="0"/>
                <w:color w:val="000000"/>
                <w:sz w:val="20"/>
              </w:rPr>
              <w:t>Required sources unavailable</w:t>
            </w:r>
          </w:p>
        </w:tc>
        <w:tc>
          <w:tcPr>
            <w:tcW w:type="dxa" w:w="4680"/>
          </w:tcPr>
          <w:p>
            <w:pPr>
              <w:spacing w:after="40" w:before="40"/>
            </w:pPr>
            <w:r>
              <w:rPr>
                <w:rFonts w:ascii="Calibri" w:hAnsi="Calibri"/>
                <w:b w:val="0"/>
                <w:color w:val="000000"/>
                <w:sz w:val="20"/>
              </w:rPr>
              <w:t>None among implemented sources</w:t>
            </w:r>
          </w:p>
        </w:tc>
      </w:tr>
      <w:tr>
        <w:tc>
          <w:tcPr>
            <w:tcW w:type="dxa" w:w="4680"/>
            <w:shd w:val="clear" w:color="auto" w:fill="F2F5FA"/>
          </w:tcPr>
          <w:p>
            <w:pPr>
              <w:spacing w:after="40" w:before="40"/>
            </w:pPr>
            <w:r>
              <w:rPr>
                <w:rFonts w:ascii="Calibri" w:hAnsi="Calibri"/>
                <w:b w:val="0"/>
                <w:color w:val="000000"/>
                <w:sz w:val="20"/>
              </w:rPr>
              <w:t>Indeterminate</w:t>
            </w:r>
          </w:p>
        </w:tc>
        <w:tc>
          <w:tcPr>
            <w:tcW w:type="dxa" w:w="4680"/>
            <w:shd w:val="clear" w:color="auto" w:fill="F2F5FA"/>
          </w:tcPr>
          <w:p>
            <w:pPr>
              <w:spacing w:after="40" w:before="40"/>
            </w:pPr>
            <w:r>
              <w:rPr>
                <w:rFonts w:ascii="Calibri" w:hAnsi="Calibri"/>
                <w:b w:val="0"/>
                <w:color w:val="000000"/>
                <w:sz w:val="20"/>
              </w:rPr>
              <w:t>No</w:t>
            </w:r>
          </w:p>
        </w:tc>
      </w:tr>
      <w:tr>
        <w:tc>
          <w:tcPr>
            <w:tcW w:type="dxa" w:w="4680"/>
          </w:tcPr>
          <w:p>
            <w:pPr>
              <w:spacing w:after="40" w:before="40"/>
            </w:pPr>
            <w:r>
              <w:rPr>
                <w:rFonts w:ascii="Calibri" w:hAnsi="Calibri"/>
                <w:b w:val="0"/>
                <w:color w:val="000000"/>
                <w:sz w:val="20"/>
              </w:rPr>
              <w:t>Classification state</w:t>
            </w:r>
          </w:p>
        </w:tc>
        <w:tc>
          <w:tcPr>
            <w:tcW w:type="dxa" w:w="4680"/>
          </w:tcPr>
          <w:p>
            <w:pPr>
              <w:spacing w:after="40" w:before="40"/>
            </w:pPr>
            <w:r>
              <w:rPr>
                <w:rFonts w:ascii="Calibri" w:hAnsi="Calibri"/>
                <w:b w:val="0"/>
                <w:color w:val="000000"/>
                <w:sz w:val="20"/>
              </w:rPr>
              <w:t>CLASSIFIED</w:t>
            </w:r>
          </w:p>
        </w:tc>
      </w:tr>
      <w:tr>
        <w:tc>
          <w:tcPr>
            <w:tcW w:type="dxa" w:w="4680"/>
            <w:shd w:val="clear" w:color="auto" w:fill="F2F5FA"/>
          </w:tcPr>
          <w:p>
            <w:pPr>
              <w:spacing w:after="40" w:before="40"/>
            </w:pPr>
            <w:r>
              <w:rPr>
                <w:rFonts w:ascii="Calibri" w:hAnsi="Calibri"/>
                <w:b w:val="0"/>
                <w:color w:val="000000"/>
                <w:sz w:val="20"/>
              </w:rPr>
              <w:t>Auto-classify</w:t>
            </w:r>
          </w:p>
        </w:tc>
        <w:tc>
          <w:tcPr>
            <w:tcW w:type="dxa" w:w="4680"/>
            <w:shd w:val="clear" w:color="auto" w:fill="F2F5FA"/>
          </w:tcPr>
          <w:p>
            <w:pPr>
              <w:spacing w:after="40" w:before="40"/>
            </w:pPr>
            <w:r>
              <w:rPr>
                <w:rFonts w:ascii="Calibri" w:hAnsi="Calibri"/>
                <w:b/>
                <w:color w:val="000000"/>
                <w:sz w:val="20"/>
              </w:rPr>
              <w:t>No</w:t>
            </w:r>
            <w:r>
              <w:rPr>
                <w:rFonts w:ascii="Calibri" w:hAnsi="Calibri"/>
                <w:b w:val="0"/>
                <w:color w:val="000000"/>
                <w:sz w:val="20"/>
              </w:rPr>
              <w:t xml:space="preserve"> — auto-completion requires B1</w:t>
            </w:r>
          </w:p>
        </w:tc>
      </w:tr>
      <w:tr>
        <w:tc>
          <w:tcPr>
            <w:tcW w:type="dxa" w:w="4680"/>
          </w:tcPr>
          <w:p>
            <w:pPr>
              <w:spacing w:after="40" w:before="40"/>
            </w:pPr>
            <w:r>
              <w:rPr>
                <w:rFonts w:ascii="Calibri" w:hAnsi="Calibri"/>
                <w:b w:val="0"/>
                <w:color w:val="000000"/>
                <w:sz w:val="20"/>
              </w:rPr>
              <w:t>Tier</w:t>
            </w:r>
          </w:p>
        </w:tc>
        <w:tc>
          <w:tcPr>
            <w:tcW w:type="dxa" w:w="4680"/>
          </w:tcPr>
          <w:p>
            <w:pPr>
              <w:spacing w:after="40" w:before="40"/>
            </w:pPr>
            <w:r>
              <w:rPr>
                <w:rFonts w:ascii="Calibri" w:hAnsi="Calibri"/>
                <w:b/>
                <w:color w:val="000000"/>
                <w:sz w:val="20"/>
              </w:rPr>
              <w:t>Tier 2 — analyst review</w:t>
            </w:r>
          </w:p>
        </w:tc>
      </w:tr>
    </w:tbl>
    <w:p>
      <w:pPr>
        <w:spacing w:after="80"/>
      </w:pPr>
    </w:p>
    <w:p>
      <w:pPr>
        <w:pStyle w:val="Heading2"/>
        <w:keepNext/>
        <w:spacing w:before="200" w:after="120"/>
        <w:outlineLvl w:val="1"/>
      </w:pPr>
      <w:r>
        <w:rPr>
          <w:rFonts w:ascii="Calibri" w:hAnsi="Calibri"/>
          <w:b/>
          <w:color w:val="003087"/>
          <w:sz w:val="25"/>
        </w:rPr>
        <w:t>24.12 Step 11 — Evidence collected</w:t>
      </w:r>
    </w:p>
    <w:p>
      <w:pPr>
        <w:spacing w:after="120" w:before="0"/>
      </w:pPr>
      <w:r>
        <w:rPr>
          <w:rFonts w:ascii="Calibri" w:hAnsi="Calibri"/>
          <w:b w:val="0"/>
          <w:color w:val="000000"/>
          <w:sz w:val="22"/>
        </w:rPr>
        <w:t>Retained against the review: the raw NPPES response, the enrollment indicator response, the LEIE response, the SAM not-checked state with its reason, the coverage note, the field-by-field comparison table, the finding code, the confidence calculation, and the rule code and rule version applied.</w:t>
      </w:r>
    </w:p>
    <w:p>
      <w:pPr>
        <w:pStyle w:val="Heading2"/>
        <w:keepNext/>
        <w:spacing w:before="200" w:after="120"/>
        <w:outlineLvl w:val="1"/>
      </w:pPr>
      <w:r>
        <w:rPr>
          <w:rFonts w:ascii="Calibri" w:hAnsi="Calibri"/>
          <w:b/>
          <w:color w:val="003087"/>
          <w:sz w:val="25"/>
        </w:rPr>
        <w:t>24.13 Step 12 — Exception handling and human review</w:t>
      </w:r>
    </w:p>
    <w:p>
      <w:pPr>
        <w:spacing w:after="120" w:before="0"/>
      </w:pPr>
      <w:r>
        <w:rPr>
          <w:rFonts w:ascii="Calibri" w:hAnsi="Calibri"/>
          <w:b w:val="0"/>
          <w:color w:val="000000"/>
          <w:sz w:val="22"/>
        </w:rPr>
        <w:t>The record reaches the reviewer's queue as Tier 2, bucket B2.</w:t>
      </w:r>
    </w:p>
    <w:p>
      <w:pPr>
        <w:spacing w:after="120" w:before="0"/>
      </w:pPr>
      <w:r>
        <w:rPr>
          <w:rFonts w:ascii="Calibri" w:hAnsi="Calibri"/>
          <w:b/>
          <w:color w:val="000000"/>
          <w:sz w:val="22"/>
        </w:rPr>
        <w:t>The reviewer:</w:t>
      </w:r>
    </w:p>
    <w:p>
      <w:pPr>
        <w:pStyle w:val="ListNumber"/>
        <w:spacing w:after="40"/>
      </w:pPr>
      <w:r>
        <w:rPr>
          <w:rFonts w:ascii="Calibri" w:hAnsi="Calibri"/>
          <w:b w:val="0"/>
          <w:color w:val="000000"/>
          <w:sz w:val="21"/>
        </w:rPr>
        <w:t>Reads the coverage note. Three implemented sources answered; SAM did not and is known non-functional.</w:t>
      </w:r>
    </w:p>
    <w:p>
      <w:pPr>
        <w:pStyle w:val="ListNumber"/>
        <w:spacing w:after="40"/>
      </w:pPr>
      <w:r>
        <w:rPr>
          <w:rFonts w:ascii="Calibri" w:hAnsi="Calibri"/>
          <w:b w:val="0"/>
          <w:color w:val="000000"/>
          <w:sz w:val="21"/>
        </w:rPr>
        <w:t>Reads each source result individually.</w:t>
      </w:r>
    </w:p>
    <w:p>
      <w:pPr>
        <w:pStyle w:val="ListNumber"/>
        <w:spacing w:after="40"/>
      </w:pPr>
      <w:r>
        <w:rPr>
          <w:rFonts w:ascii="Calibri" w:hAnsi="Calibri"/>
          <w:b w:val="0"/>
          <w:color w:val="000000"/>
          <w:sz w:val="21"/>
        </w:rPr>
        <w:t>Examines the name finding and agrees the difference is genuinely an abbreviation, not a different organization.</w:t>
      </w:r>
    </w:p>
    <w:p>
      <w:pPr>
        <w:pStyle w:val="ListNumber"/>
        <w:spacing w:after="40"/>
      </w:pPr>
      <w:r>
        <w:rPr>
          <w:rFonts w:ascii="Calibri" w:hAnsi="Calibri"/>
          <w:b w:val="0"/>
          <w:color w:val="000000"/>
          <w:sz w:val="21"/>
        </w:rPr>
        <w:t>Confirms no exclusion.</w:t>
      </w:r>
    </w:p>
    <w:p>
      <w:pPr>
        <w:pStyle w:val="ListNumber"/>
        <w:spacing w:after="40"/>
      </w:pPr>
      <w:r>
        <w:rPr>
          <w:rFonts w:ascii="Calibri" w:hAnsi="Calibri"/>
          <w:b w:val="0"/>
          <w:color w:val="000000"/>
          <w:sz w:val="21"/>
        </w:rPr>
        <w:t>Notes that payment suspension could not be assessed.</w:t>
      </w:r>
    </w:p>
    <w:p>
      <w:pPr>
        <w:pStyle w:val="ListNumber"/>
        <w:spacing w:after="40"/>
      </w:pPr>
      <w:r>
        <w:rPr>
          <w:rFonts w:ascii="Calibri" w:hAnsi="Calibri"/>
          <w:b w:val="0"/>
          <w:color w:val="000000"/>
          <w:sz w:val="21"/>
        </w:rPr>
        <w:t xml:space="preserve">Selects </w:t>
      </w:r>
      <w:r>
        <w:rPr>
          <w:rFonts w:ascii="Calibri" w:hAnsi="Calibri"/>
          <w:b/>
          <w:color w:val="000000"/>
          <w:sz w:val="21"/>
        </w:rPr>
        <w:t>Confirm</w:t>
      </w:r>
      <w:r>
        <w:rPr>
          <w:rFonts w:ascii="Calibri" w:hAnsi="Calibri"/>
          <w:b w:val="0"/>
          <w:color w:val="000000"/>
          <w:sz w:val="21"/>
        </w:rPr>
        <w:t xml:space="preserve"> and writes the rationale.</w:t>
      </w:r>
    </w:p>
    <w:p>
      <w:pPr>
        <w:spacing w:after="120" w:before="0"/>
      </w:pPr>
      <w:r>
        <w:rPr>
          <w:rFonts w:ascii="Calibri" w:hAnsi="Calibri"/>
          <w:b/>
          <w:color w:val="000000"/>
          <w:sz w:val="22"/>
        </w:rPr>
        <w:t>Rationale as recorded:</w:t>
      </w:r>
    </w:p>
    <w:tbl>
      <w:tblPr>
        <w:tblW w:type="auto" w:w="0"/>
        <w:jc w:val="center"/>
        <w:tblLook w:firstColumn="1" w:firstRow="1" w:lastColumn="0" w:lastRow="0" w:noHBand="0" w:noVBand="1" w:val="04A0"/>
      </w:tblPr>
      <w:tblGrid>
        <w:gridCol w:w="9360"/>
      </w:tblGrid>
      <w:tr>
        <w:tc>
          <w:tcPr>
            <w:tcW w:type="dxa" w:w="9360"/>
            <w:shd w:val="clear" w:color="auto" w:fill="FFF6D5"/>
          </w:tcPr>
          <w:p>
            <w:pPr>
              <w:spacing w:after="0" w:before="0"/>
            </w:pPr>
            <w:r>
              <w:rPr>
                <w:rFonts w:ascii="Calibri" w:hAnsi="Calibri"/>
                <w:b w:val="0"/>
                <w:color w:val="000000"/>
                <w:sz w:val="21"/>
              </w:rPr>
              <w:t>"NPPES confirms NPI 1999999984 active, Type 2, legal name 'Riverbend Regional Medical Center'. Submitted 'Riverbend Regional Med Ctr' normalizes to the same string; similarity 0.94 — abbreviation difference only. Address matches after Publication 28 normalization; the suite designator is the sole difference. LEIE returned no exclusion, current or historical. Medicare enrollment indicator confirms enumeration; payment suspension not available from this source and therefore not assessed. SAM not checked — upstream 404 condition, so no federal registration evidence exists for this entity. Confirming B2 on the abbreviation finding."</w:t>
            </w:r>
          </w:p>
        </w:tc>
      </w:tr>
    </w:tbl>
    <w:p>
      <w:pPr>
        <w:spacing w:after="80"/>
      </w:pPr>
    </w:p>
    <w:p>
      <w:pPr>
        <w:spacing w:after="120" w:before="0"/>
      </w:pPr>
      <w:r>
        <w:rPr>
          <w:rFonts w:ascii="Calibri" w:hAnsi="Calibri"/>
          <w:b/>
          <w:color w:val="000000"/>
          <w:sz w:val="22"/>
        </w:rPr>
        <w:t>What is written to the audit trail:</w:t>
      </w:r>
      <w:r>
        <w:rPr>
          <w:rFonts w:ascii="Calibri" w:hAnsi="Calibri"/>
          <w:b w:val="0"/>
          <w:color w:val="000000"/>
          <w:sz w:val="22"/>
        </w:rPr>
        <w:t xml:space="preserve"> actor identity, IP address, timestamp, resolution </w:t>
      </w:r>
      <w:r>
        <w:rPr>
          <w:rFonts w:ascii="Consolas" w:hAnsi="Consolas"/>
          <w:color w:val="000000"/>
          <w:sz w:val="22"/>
        </w:rPr>
        <w:t>confirmed</w:t>
      </w:r>
      <w:r>
        <w:rPr>
          <w:rFonts w:ascii="Calibri" w:hAnsi="Calibri"/>
          <w:b w:val="0"/>
          <w:color w:val="000000"/>
          <w:sz w:val="22"/>
        </w:rPr>
        <w:t>, effective bucket B2, and the rationale in full.</w:t>
      </w:r>
    </w:p>
    <w:p>
      <w:pPr>
        <w:pStyle w:val="Heading2"/>
        <w:keepNext/>
        <w:spacing w:before="200" w:after="120"/>
        <w:outlineLvl w:val="1"/>
      </w:pPr>
      <w:r>
        <w:rPr>
          <w:rFonts w:ascii="Calibri" w:hAnsi="Calibri"/>
          <w:b/>
          <w:color w:val="003087"/>
          <w:sz w:val="25"/>
        </w:rPr>
        <w:t>24.14 Step 13 — QA</w:t>
      </w:r>
    </w:p>
    <w:p>
      <w:pPr>
        <w:spacing w:after="120" w:before="0"/>
      </w:pPr>
      <w:r>
        <w:rPr>
          <w:rFonts w:ascii="Calibri" w:hAnsi="Calibri"/>
          <w:b w:val="0"/>
          <w:color w:val="000000"/>
          <w:sz w:val="22"/>
        </w:rPr>
        <w:t>The QA lead's checks on this record: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Check</w:t>
            </w:r>
          </w:p>
        </w:tc>
        <w:tc>
          <w:tcPr>
            <w:tcW w:type="dxa" w:w="4680"/>
            <w:shd w:val="clear" w:color="auto" w:fill="003087"/>
          </w:tcPr>
          <w:p>
            <w:pPr>
              <w:spacing w:after="40" w:before="40"/>
            </w:pPr>
            <w:r>
              <w:rPr>
                <w:rFonts w:ascii="Calibri" w:hAnsi="Calibri"/>
                <w:b/>
                <w:color w:val="FFFFFF"/>
                <w:sz w:val="20"/>
              </w:rPr>
              <w:t>Outcome</w:t>
            </w:r>
          </w:p>
        </w:tc>
      </w:tr>
      <w:tr>
        <w:tc>
          <w:tcPr>
            <w:tcW w:type="dxa" w:w="4680"/>
          </w:tcPr>
          <w:p>
            <w:pPr>
              <w:spacing w:after="40" w:before="40"/>
            </w:pPr>
            <w:r>
              <w:rPr>
                <w:rFonts w:ascii="Calibri" w:hAnsi="Calibri"/>
                <w:b w:val="0"/>
                <w:color w:val="000000"/>
                <w:sz w:val="20"/>
              </w:rPr>
              <w:t>Evidence retained for every source</w:t>
            </w:r>
          </w:p>
        </w:tc>
        <w:tc>
          <w:tcPr>
            <w:tcW w:type="dxa" w:w="4680"/>
          </w:tcPr>
          <w:p>
            <w:pPr>
              <w:spacing w:after="40" w:before="40"/>
            </w:pPr>
            <w:r>
              <w:rPr>
                <w:rFonts w:ascii="Calibri" w:hAnsi="Calibri"/>
                <w:b w:val="0"/>
                <w:color w:val="000000"/>
                <w:sz w:val="20"/>
              </w:rPr>
              <w:t>Pass</w:t>
            </w:r>
          </w:p>
        </w:tc>
      </w:tr>
      <w:tr>
        <w:tc>
          <w:tcPr>
            <w:tcW w:type="dxa" w:w="4680"/>
            <w:shd w:val="clear" w:color="auto" w:fill="F2F5FA"/>
          </w:tcPr>
          <w:p>
            <w:pPr>
              <w:spacing w:after="40" w:before="40"/>
            </w:pPr>
            <w:r>
              <w:rPr>
                <w:rFonts w:ascii="Calibri" w:hAnsi="Calibri"/>
                <w:b w:val="0"/>
                <w:color w:val="000000"/>
                <w:sz w:val="20"/>
              </w:rPr>
              <w:t>Classification consistent with findings</w:t>
            </w:r>
          </w:p>
        </w:tc>
        <w:tc>
          <w:tcPr>
            <w:tcW w:type="dxa" w:w="4680"/>
            <w:shd w:val="clear" w:color="auto" w:fill="F2F5FA"/>
          </w:tcPr>
          <w:p>
            <w:pPr>
              <w:spacing w:after="40" w:before="40"/>
            </w:pPr>
            <w:r>
              <w:rPr>
                <w:rFonts w:ascii="Calibri" w:hAnsi="Calibri"/>
                <w:b w:val="0"/>
                <w:color w:val="000000"/>
                <w:sz w:val="20"/>
              </w:rPr>
              <w:t>Pass — B2 follows from an abbreviation finding</w:t>
            </w:r>
          </w:p>
        </w:tc>
      </w:tr>
      <w:tr>
        <w:tc>
          <w:tcPr>
            <w:tcW w:type="dxa" w:w="4680"/>
          </w:tcPr>
          <w:p>
            <w:pPr>
              <w:spacing w:after="40" w:before="40"/>
            </w:pPr>
            <w:r>
              <w:rPr>
                <w:rFonts w:ascii="Calibri" w:hAnsi="Calibri"/>
                <w:b w:val="0"/>
                <w:color w:val="000000"/>
                <w:sz w:val="20"/>
              </w:rPr>
              <w:t>Coverage documented</w:t>
            </w:r>
          </w:p>
        </w:tc>
        <w:tc>
          <w:tcPr>
            <w:tcW w:type="dxa" w:w="4680"/>
          </w:tcPr>
          <w:p>
            <w:pPr>
              <w:spacing w:after="40" w:before="40"/>
            </w:pPr>
            <w:r>
              <w:rPr>
                <w:rFonts w:ascii="Calibri" w:hAnsi="Calibri"/>
                <w:b w:val="0"/>
                <w:color w:val="000000"/>
                <w:sz w:val="20"/>
              </w:rPr>
              <w:t>Pass</w:t>
            </w:r>
          </w:p>
        </w:tc>
      </w:tr>
      <w:tr>
        <w:tc>
          <w:tcPr>
            <w:tcW w:type="dxa" w:w="4680"/>
            <w:shd w:val="clear" w:color="auto" w:fill="F2F5FA"/>
          </w:tcPr>
          <w:p>
            <w:pPr>
              <w:spacing w:after="40" w:before="40"/>
            </w:pPr>
            <w:r>
              <w:rPr>
                <w:rFonts w:ascii="Calibri" w:hAnsi="Calibri"/>
                <w:b w:val="0"/>
                <w:color w:val="000000"/>
                <w:sz w:val="20"/>
              </w:rPr>
              <w:t>Rationale names sources and evidence</w:t>
            </w:r>
          </w:p>
        </w:tc>
        <w:tc>
          <w:tcPr>
            <w:tcW w:type="dxa" w:w="4680"/>
            <w:shd w:val="clear" w:color="auto" w:fill="F2F5FA"/>
          </w:tcPr>
          <w:p>
            <w:pPr>
              <w:spacing w:after="40" w:before="40"/>
            </w:pPr>
            <w:r>
              <w:rPr>
                <w:rFonts w:ascii="Calibri" w:hAnsi="Calibri"/>
                <w:b w:val="0"/>
                <w:color w:val="000000"/>
                <w:sz w:val="20"/>
              </w:rPr>
              <w:t>Pass</w:t>
            </w:r>
          </w:p>
        </w:tc>
      </w:tr>
      <w:tr>
        <w:tc>
          <w:tcPr>
            <w:tcW w:type="dxa" w:w="4680"/>
          </w:tcPr>
          <w:p>
            <w:pPr>
              <w:spacing w:after="40" w:before="40"/>
            </w:pPr>
            <w:r>
              <w:rPr>
                <w:rFonts w:ascii="Calibri" w:hAnsi="Calibri"/>
                <w:b w:val="0"/>
                <w:color w:val="000000"/>
                <w:sz w:val="20"/>
              </w:rPr>
              <w:t>Human review completed where required</w:t>
            </w:r>
          </w:p>
        </w:tc>
        <w:tc>
          <w:tcPr>
            <w:tcW w:type="dxa" w:w="4680"/>
          </w:tcPr>
          <w:p>
            <w:pPr>
              <w:spacing w:after="40" w:before="40"/>
            </w:pPr>
            <w:r>
              <w:rPr>
                <w:rFonts w:ascii="Calibri" w:hAnsi="Calibri"/>
                <w:b w:val="0"/>
                <w:color w:val="000000"/>
                <w:sz w:val="20"/>
              </w:rPr>
              <w:t>Pass — Tier 2 was not auto-closed</w:t>
            </w:r>
          </w:p>
        </w:tc>
      </w:tr>
      <w:tr>
        <w:tc>
          <w:tcPr>
            <w:tcW w:type="dxa" w:w="4680"/>
            <w:shd w:val="clear" w:color="auto" w:fill="F2F5FA"/>
          </w:tcPr>
          <w:p>
            <w:pPr>
              <w:spacing w:after="40" w:before="40"/>
            </w:pPr>
            <w:r>
              <w:rPr>
                <w:rFonts w:ascii="Calibri" w:hAnsi="Calibri"/>
                <w:b w:val="0"/>
                <w:color w:val="000000"/>
                <w:sz w:val="20"/>
              </w:rPr>
              <w:t>Indeterminate handling</w:t>
            </w:r>
          </w:p>
        </w:tc>
        <w:tc>
          <w:tcPr>
            <w:tcW w:type="dxa" w:w="4680"/>
            <w:shd w:val="clear" w:color="auto" w:fill="F2F5FA"/>
          </w:tcPr>
          <w:p>
            <w:pPr>
              <w:spacing w:after="40" w:before="40"/>
            </w:pPr>
            <w:r>
              <w:rPr>
                <w:rFonts w:ascii="Calibri" w:hAnsi="Calibri"/>
                <w:b w:val="0"/>
                <w:color w:val="000000"/>
                <w:sz w:val="20"/>
              </w:rPr>
              <w:t>Not applicable — no source was unavailable</w:t>
            </w:r>
          </w:p>
        </w:tc>
      </w:tr>
    </w:tbl>
    <w:p>
      <w:pPr>
        <w:spacing w:after="80"/>
      </w:pPr>
    </w:p>
    <w:p>
      <w:pPr>
        <w:pStyle w:val="Heading2"/>
        <w:keepNext/>
        <w:spacing w:before="200" w:after="120"/>
        <w:outlineLvl w:val="1"/>
      </w:pPr>
      <w:r>
        <w:rPr>
          <w:rFonts w:ascii="Calibri" w:hAnsi="Calibri"/>
          <w:b/>
          <w:color w:val="003087"/>
          <w:sz w:val="25"/>
        </w:rPr>
        <w:t>24.15 Step 14 — Final disposition</w:t>
      </w:r>
    </w:p>
    <w:p>
      <w:pPr>
        <w:spacing w:after="120" w:before="0"/>
      </w:pPr>
      <w:r>
        <w:rPr>
          <w:rFonts w:ascii="Calibri" w:hAnsi="Calibri"/>
          <w:b/>
          <w:color w:val="000000"/>
          <w:sz w:val="22"/>
        </w:rPr>
        <w:t>Effective bucket: B2 — Minor or Administrative.</w:t>
      </w:r>
      <w:r>
        <w:rPr>
          <w:rFonts w:ascii="Calibri" w:hAnsi="Calibri"/>
          <w:b w:val="0"/>
          <w:color w:val="000000"/>
          <w:sz w:val="22"/>
        </w:rPr>
        <w:t xml:space="preserve"> The entity's registered name differs from its NPPES legal name by an abbreviation. This is disclosed, explained, and not disqualifying.</w:t>
      </w:r>
    </w:p>
    <w:p>
      <w:pPr>
        <w:pStyle w:val="Heading2"/>
        <w:keepNext/>
        <w:spacing w:before="200" w:after="120"/>
        <w:outlineLvl w:val="1"/>
      </w:pPr>
      <w:r>
        <w:rPr>
          <w:rFonts w:ascii="Calibri" w:hAnsi="Calibri"/>
          <w:b/>
          <w:color w:val="003087"/>
          <w:sz w:val="25"/>
        </w:rPr>
        <w:t>24.16 Step 15 — Report generation</w:t>
      </w:r>
    </w:p>
    <w:p>
      <w:pPr>
        <w:spacing w:after="120" w:before="0"/>
      </w:pPr>
      <w:r>
        <w:rPr>
          <w:rFonts w:ascii="Calibri" w:hAnsi="Calibri"/>
          <w:b w:val="0"/>
          <w:color w:val="000000"/>
          <w:sz w:val="22"/>
        </w:rPr>
        <w:t>The record is included in the cycle report under B2, with its finding code and the reviewer's rationale.</w:t>
      </w:r>
    </w:p>
    <w:tbl>
      <w:tblPr>
        <w:tblW w:type="auto" w:w="0"/>
        <w:jc w:val="center"/>
        <w:tblLook w:firstColumn="1" w:firstRow="1" w:lastColumn="0" w:lastRow="0" w:noHBand="0" w:noVBand="1" w:val="04A0"/>
      </w:tblPr>
      <w:tblGrid>
        <w:gridCol w:w="9360"/>
      </w:tblGrid>
      <w:tr>
        <w:tc>
          <w:tcPr>
            <w:tcW w:type="dxa" w:w="9360"/>
            <w:shd w:val="clear" w:color="auto" w:fill="FDE7E7"/>
          </w:tcPr>
          <w:p>
            <w:pPr>
              <w:spacing w:after="60" w:before="0"/>
            </w:pPr>
            <w:r>
              <w:rPr>
                <w:rFonts w:ascii="Calibri" w:hAnsi="Calibri"/>
                <w:b/>
                <w:color w:val="000000"/>
                <w:sz w:val="21"/>
              </w:rPr>
              <w:t>WARNING</w:t>
            </w:r>
          </w:p>
          <w:p>
            <w:pPr>
              <w:spacing w:after="0" w:before="0"/>
            </w:pPr>
            <w:r>
              <w:rPr>
                <w:rFonts w:ascii="Calibri" w:hAnsi="Calibri"/>
                <w:b w:val="0"/>
                <w:color w:val="000000"/>
                <w:sz w:val="21"/>
              </w:rPr>
              <w:t>While the platform is in pre-production demonstration mode, this report carries the stamp "MOCK — demonstration data only. Do not use for operational decisions." The walkthrough above demonstrates the operational process correctly, but its output is not an official verification determination.</w:t>
            </w:r>
          </w:p>
        </w:tc>
      </w:tr>
    </w:tbl>
    <w:p>
      <w:pPr>
        <w:spacing w:after="80"/>
      </w:pPr>
    </w:p>
    <w:p>
      <w:pPr>
        <w:pStyle w:val="Heading2"/>
        <w:keepNext/>
        <w:spacing w:before="200" w:after="120"/>
        <w:outlineLvl w:val="1"/>
      </w:pPr>
      <w:r>
        <w:rPr>
          <w:rFonts w:ascii="Calibri" w:hAnsi="Calibri"/>
          <w:b/>
          <w:color w:val="003087"/>
          <w:sz w:val="25"/>
        </w:rPr>
        <w:t>24.17 Step 16 — Audit history</w:t>
      </w:r>
    </w:p>
    <w:p>
      <w:pPr>
        <w:spacing w:after="120" w:before="0"/>
      </w:pPr>
      <w:r>
        <w:rPr>
          <w:rFonts w:ascii="Calibri" w:hAnsi="Calibri"/>
          <w:b w:val="0"/>
          <w:color w:val="000000"/>
          <w:sz w:val="22"/>
        </w:rPr>
        <w:t>The complete history of this entity, retrievable at any later date:</w:t>
      </w:r>
    </w:p>
    <w:tbl>
      <w:tblPr>
        <w:tblW w:type="auto" w:w="0"/>
        <w:tblLook w:firstColumn="1" w:firstRow="1" w:lastColumn="0" w:lastRow="0" w:noHBand="0" w:noVBand="1" w:val="04A0"/>
      </w:tblPr>
      <w:tblGrid>
        <w:gridCol w:w="9360"/>
      </w:tblGrid>
      <w:tr>
        <w:tc>
          <w:tcPr>
            <w:tcW w:type="dxa" w:w="9360"/>
            <w:shd w:val="clear" w:color="auto" w:fill="F4F4F4"/>
          </w:tcPr>
          <w:p>
            <w:pPr>
              <w:spacing w:after="0" w:before="0"/>
            </w:pPr>
            <w:r>
              <w:rPr>
                <w:rFonts w:ascii="Consolas" w:hAnsi="Consolas"/>
                <w:color w:val="444444"/>
                <w:sz w:val="16"/>
              </w:rPr>
              <w:t xml:space="preserve">  entity_import            actor, batch, timestamp</w:t>
            </w:r>
          </w:p>
          <w:p>
            <w:pPr>
              <w:spacing w:after="0" w:before="0"/>
            </w:pPr>
            <w:r>
              <w:rPr>
                <w:rFonts w:ascii="Consolas" w:hAnsi="Consolas"/>
                <w:color w:val="444444"/>
                <w:sz w:val="16"/>
              </w:rPr>
              <w:t xml:space="preserve">  verification_started     actor, entity, trigger</w:t>
            </w:r>
          </w:p>
          <w:p>
            <w:pPr>
              <w:spacing w:after="0" w:before="0"/>
            </w:pPr>
            <w:r>
              <w:rPr>
                <w:rFonts w:ascii="Consolas" w:hAnsi="Consolas"/>
                <w:color w:val="444444"/>
                <w:sz w:val="16"/>
              </w:rPr>
              <w:t xml:space="preserve">  verification_completed   actor, findings count, resulting status</w:t>
            </w:r>
          </w:p>
          <w:p>
            <w:pPr>
              <w:spacing w:after="0" w:before="0"/>
            </w:pPr>
            <w:r>
              <w:rPr>
                <w:rFonts w:ascii="Consolas" w:hAnsi="Consolas"/>
                <w:color w:val="444444"/>
                <w:sz w:val="16"/>
              </w:rPr>
              <w:t xml:space="preserve">  finding_created          NAME_ABBREVIATION_DIFF, severity, title</w:t>
            </w:r>
          </w:p>
          <w:p>
            <w:pPr>
              <w:spacing w:after="0" w:before="0"/>
            </w:pPr>
            <w:r>
              <w:rPr>
                <w:rFonts w:ascii="Consolas" w:hAnsi="Consolas"/>
                <w:color w:val="444444"/>
                <w:sz w:val="16"/>
              </w:rPr>
              <w:t xml:space="preserve">  review_resolved          actor, IP, resolution=confirmed,</w:t>
            </w:r>
          </w:p>
          <w:p>
            <w:pPr>
              <w:spacing w:after="0" w:before="0"/>
            </w:pPr>
            <w:r>
              <w:rPr>
                <w:rFonts w:ascii="Consolas" w:hAnsi="Consolas"/>
                <w:color w:val="444444"/>
                <w:sz w:val="16"/>
              </w:rPr>
              <w:t xml:space="preserve">                           effective bucket=B2, rationale (full text)</w:t>
            </w:r>
          </w:p>
        </w:tc>
      </w:tr>
    </w:tbl>
    <w:p>
      <w:pPr>
        <w:spacing w:after="80"/>
      </w:pPr>
    </w:p>
    <w:p>
      <w:pPr>
        <w:spacing w:after="120" w:before="0"/>
      </w:pPr>
      <w:r>
        <w:rPr>
          <w:rFonts w:ascii="Calibri" w:hAnsi="Calibri"/>
          <w:b w:val="0"/>
          <w:color w:val="000000"/>
          <w:sz w:val="22"/>
        </w:rPr>
        <w:t>Each entry is append-only through the application, attributable to a named actor, and timestamped.</w:t>
      </w:r>
    </w:p>
    <w:p>
      <w:pPr>
        <w:pStyle w:val="Heading2"/>
        <w:keepNext/>
        <w:spacing w:before="200" w:after="120"/>
        <w:outlineLvl w:val="1"/>
      </w:pPr>
      <w:r>
        <w:rPr>
          <w:rFonts w:ascii="Calibri" w:hAnsi="Calibri"/>
          <w:b/>
          <w:color w:val="003087"/>
          <w:sz w:val="25"/>
        </w:rPr>
        <w:t>24.18 A contrasting case — what an outage looks like</w:t>
      </w:r>
    </w:p>
    <w:p>
      <w:pPr>
        <w:spacing w:after="120" w:before="0"/>
      </w:pPr>
      <w:r>
        <w:rPr>
          <w:rFonts w:ascii="Calibri" w:hAnsi="Calibri"/>
          <w:b w:val="0"/>
          <w:color w:val="000000"/>
          <w:sz w:val="22"/>
        </w:rPr>
        <w:t>Had OIG LEIE been unavailable at the moment of this run, everything above would be identical except: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Field</w:t>
            </w:r>
          </w:p>
        </w:tc>
        <w:tc>
          <w:tcPr>
            <w:tcW w:type="dxa" w:w="4680"/>
            <w:shd w:val="clear" w:color="auto" w:fill="003087"/>
          </w:tcPr>
          <w:p>
            <w:pPr>
              <w:spacing w:after="40" w:before="40"/>
            </w:pPr>
            <w:r>
              <w:rPr>
                <w:rFonts w:ascii="Calibri" w:hAnsi="Calibri"/>
                <w:b/>
                <w:color w:val="FFFFFF"/>
                <w:sz w:val="20"/>
              </w:rPr>
              <w:t>Value</w:t>
            </w:r>
          </w:p>
        </w:tc>
      </w:tr>
      <w:tr>
        <w:tc>
          <w:tcPr>
            <w:tcW w:type="dxa" w:w="4680"/>
          </w:tcPr>
          <w:p>
            <w:pPr>
              <w:spacing w:after="40" w:before="40"/>
            </w:pPr>
            <w:r>
              <w:rPr>
                <w:rFonts w:ascii="Calibri" w:hAnsi="Calibri"/>
                <w:b w:val="0"/>
                <w:color w:val="000000"/>
                <w:sz w:val="20"/>
              </w:rPr>
              <w:t>LEIE state</w:t>
            </w:r>
          </w:p>
        </w:tc>
        <w:tc>
          <w:tcPr>
            <w:tcW w:type="dxa" w:w="4680"/>
          </w:tcPr>
          <w:p>
            <w:pPr>
              <w:spacing w:after="40" w:before="40"/>
            </w:pPr>
            <w:r>
              <w:rPr>
                <w:rFonts w:ascii="Consolas" w:hAnsi="Consolas"/>
                <w:color w:val="000000"/>
                <w:sz w:val="20"/>
              </w:rPr>
              <w:t>unavailable</w:t>
            </w:r>
          </w:p>
        </w:tc>
      </w:tr>
      <w:tr>
        <w:tc>
          <w:tcPr>
            <w:tcW w:type="dxa" w:w="4680"/>
            <w:shd w:val="clear" w:color="auto" w:fill="F2F5FA"/>
          </w:tcPr>
          <w:p>
            <w:pPr>
              <w:spacing w:after="40" w:before="40"/>
            </w:pPr>
            <w:r>
              <w:rPr>
                <w:rFonts w:ascii="Calibri" w:hAnsi="Calibri"/>
                <w:b w:val="0"/>
                <w:color w:val="000000"/>
                <w:sz w:val="20"/>
              </w:rPr>
              <w:t>Indeterminate</w:t>
            </w:r>
          </w:p>
        </w:tc>
        <w:tc>
          <w:tcPr>
            <w:tcW w:type="dxa" w:w="4680"/>
            <w:shd w:val="clear" w:color="auto" w:fill="F2F5FA"/>
          </w:tcPr>
          <w:p>
            <w:pPr>
              <w:spacing w:after="40" w:before="40"/>
            </w:pPr>
            <w:r>
              <w:rPr>
                <w:rFonts w:ascii="Calibri" w:hAnsi="Calibri"/>
                <w:b/>
                <w:color w:val="000000"/>
                <w:sz w:val="20"/>
              </w:rPr>
              <w:t>Yes</w:t>
            </w:r>
          </w:p>
        </w:tc>
      </w:tr>
      <w:tr>
        <w:tc>
          <w:tcPr>
            <w:tcW w:type="dxa" w:w="4680"/>
          </w:tcPr>
          <w:p>
            <w:pPr>
              <w:spacing w:after="40" w:before="40"/>
            </w:pPr>
            <w:r>
              <w:rPr>
                <w:rFonts w:ascii="Calibri" w:hAnsi="Calibri"/>
                <w:b w:val="0"/>
                <w:color w:val="000000"/>
                <w:sz w:val="20"/>
              </w:rPr>
              <w:t>Indeterminate reason</w:t>
            </w:r>
          </w:p>
        </w:tc>
        <w:tc>
          <w:tcPr>
            <w:tcW w:type="dxa" w:w="4680"/>
          </w:tcPr>
          <w:p>
            <w:pPr>
              <w:spacing w:after="40" w:before="40"/>
            </w:pPr>
            <w:r>
              <w:rPr>
                <w:rFonts w:ascii="Calibri" w:hAnsi="Calibri"/>
                <w:b w:val="0"/>
                <w:color w:val="000000"/>
                <w:sz w:val="20"/>
              </w:rPr>
              <w:t>"Source unavailable: leie"</w:t>
            </w:r>
          </w:p>
        </w:tc>
      </w:tr>
      <w:tr>
        <w:tc>
          <w:tcPr>
            <w:tcW w:type="dxa" w:w="4680"/>
            <w:shd w:val="clear" w:color="auto" w:fill="F2F5FA"/>
          </w:tcPr>
          <w:p>
            <w:pPr>
              <w:spacing w:after="40" w:before="40"/>
            </w:pPr>
            <w:r>
              <w:rPr>
                <w:rFonts w:ascii="Calibri" w:hAnsi="Calibri"/>
                <w:b w:val="0"/>
                <w:color w:val="000000"/>
                <w:sz w:val="20"/>
              </w:rPr>
              <w:t>Bucket label</w:t>
            </w:r>
          </w:p>
        </w:tc>
        <w:tc>
          <w:tcPr>
            <w:tcW w:type="dxa" w:w="4680"/>
            <w:shd w:val="clear" w:color="auto" w:fill="F2F5FA"/>
          </w:tcPr>
          <w:p>
            <w:pPr>
              <w:spacing w:after="40" w:before="40"/>
            </w:pPr>
            <w:r>
              <w:rPr>
                <w:rFonts w:ascii="Calibri" w:hAnsi="Calibri"/>
                <w:b w:val="0"/>
                <w:color w:val="000000"/>
                <w:sz w:val="20"/>
              </w:rPr>
              <w:t xml:space="preserve">Unchanged for B2, but a clean B1 would read </w:t>
            </w:r>
            <w:r>
              <w:rPr>
                <w:rFonts w:ascii="Calibri" w:hAnsi="Calibri"/>
                <w:b/>
                <w:color w:val="000000"/>
                <w:sz w:val="20"/>
              </w:rPr>
              <w:t>"Indeterminate — Source Unavailable"</w:t>
            </w:r>
          </w:p>
        </w:tc>
      </w:tr>
      <w:tr>
        <w:tc>
          <w:tcPr>
            <w:tcW w:type="dxa" w:w="4680"/>
          </w:tcPr>
          <w:p>
            <w:pPr>
              <w:spacing w:after="40" w:before="40"/>
            </w:pPr>
            <w:r>
              <w:rPr>
                <w:rFonts w:ascii="Calibri" w:hAnsi="Calibri"/>
                <w:b w:val="0"/>
                <w:color w:val="000000"/>
                <w:sz w:val="20"/>
              </w:rPr>
              <w:t>Auto-classify</w:t>
            </w:r>
          </w:p>
        </w:tc>
        <w:tc>
          <w:tcPr>
            <w:tcW w:type="dxa" w:w="4680"/>
          </w:tcPr>
          <w:p>
            <w:pPr>
              <w:spacing w:after="40" w:before="40"/>
            </w:pPr>
            <w:r>
              <w:rPr>
                <w:rFonts w:ascii="Calibri" w:hAnsi="Calibri"/>
                <w:b w:val="0"/>
                <w:color w:val="000000"/>
                <w:sz w:val="20"/>
              </w:rPr>
              <w:t>Forced off</w:t>
            </w:r>
          </w:p>
        </w:tc>
      </w:tr>
      <w:tr>
        <w:tc>
          <w:tcPr>
            <w:tcW w:type="dxa" w:w="4680"/>
            <w:shd w:val="clear" w:color="auto" w:fill="F2F5FA"/>
          </w:tcPr>
          <w:p>
            <w:pPr>
              <w:spacing w:after="40" w:before="40"/>
            </w:pPr>
            <w:r>
              <w:rPr>
                <w:rFonts w:ascii="Calibri" w:hAnsi="Calibri"/>
                <w:b w:val="0"/>
                <w:color w:val="000000"/>
                <w:sz w:val="20"/>
              </w:rPr>
              <w:t>Tier</w:t>
            </w:r>
          </w:p>
        </w:tc>
        <w:tc>
          <w:tcPr>
            <w:tcW w:type="dxa" w:w="4680"/>
            <w:shd w:val="clear" w:color="auto" w:fill="F2F5FA"/>
          </w:tcPr>
          <w:p>
            <w:pPr>
              <w:spacing w:after="40" w:before="40"/>
            </w:pPr>
            <w:r>
              <w:rPr>
                <w:rFonts w:ascii="Calibri" w:hAnsi="Calibri"/>
                <w:b/>
                <w:color w:val="000000"/>
                <w:sz w:val="20"/>
              </w:rPr>
              <w:t>Tier 2</w:t>
            </w:r>
            <w:r>
              <w:rPr>
                <w:rFonts w:ascii="Calibri" w:hAnsi="Calibri"/>
                <w:b w:val="0"/>
                <w:color w:val="000000"/>
                <w:sz w:val="20"/>
              </w:rPr>
              <w:t>, regardless of confidence</w:t>
            </w:r>
          </w:p>
        </w:tc>
      </w:tr>
    </w:tbl>
    <w:p>
      <w:pPr>
        <w:spacing w:after="80"/>
      </w:pPr>
    </w:p>
    <w:p>
      <w:pPr>
        <w:spacing w:after="120" w:before="0"/>
      </w:pPr>
      <w:r>
        <w:rPr>
          <w:rFonts w:ascii="Calibri" w:hAnsi="Calibri"/>
          <w:b w:val="0"/>
          <w:color w:val="000000"/>
          <w:sz w:val="22"/>
        </w:rPr>
        <w:t>The reviewer could not close it as clean. The correct action is to re-run once LEIE recovers, or to review it manually with the evidence gap documented explicitly in the rationale.</w:t>
      </w:r>
    </w:p>
    <w:p>
      <w:r>
        <w:br w:type="page"/>
      </w:r>
    </w:p>
    <w:p>
      <w:pPr>
        <w:pStyle w:val="Heading1"/>
        <w:keepNext/>
        <w:spacing w:before="280" w:after="120"/>
        <w:outlineLvl w:val="0"/>
      </w:pPr>
      <w:r>
        <w:rPr>
          <w:rFonts w:ascii="Calibri" w:hAnsi="Calibri"/>
          <w:b/>
          <w:color w:val="003087"/>
          <w:sz w:val="28"/>
        </w:rPr>
        <w:t>25. Frequently Asked Questions</w:t>
      </w:r>
    </w:p>
    <w:p>
      <w:pPr>
        <w:spacing w:after="120" w:before="0"/>
      </w:pPr>
      <w:r>
        <w:rPr>
          <w:rFonts w:ascii="Calibri" w:hAnsi="Calibri"/>
          <w:b/>
          <w:color w:val="000000"/>
          <w:sz w:val="22"/>
        </w:rPr>
        <w:t>Why does every report say "MOCK — demonstration data only"?</w:t>
      </w:r>
    </w:p>
    <w:p>
      <w:pPr>
        <w:spacing w:after="120" w:before="0"/>
      </w:pPr>
      <w:r>
        <w:rPr>
          <w:rFonts w:ascii="Calibri" w:hAnsi="Calibri"/>
          <w:b w:val="0"/>
          <w:color w:val="000000"/>
          <w:sz w:val="22"/>
        </w:rPr>
        <w:t>Because the platform is in pre-production demonstration mode. ONC has not yet provided the entity population data. The stamp is applied automatically from a single source of truth and cannot be removed by any user setting. It disappears on its own when the entity data is loaded and the entity-data key is configured.</w:t>
      </w:r>
    </w:p>
    <w:p>
      <w:pPr>
        <w:spacing w:after="120" w:before="0"/>
      </w:pPr>
      <w:r>
        <w:rPr>
          <w:rFonts w:ascii="Calibri" w:hAnsi="Calibri"/>
          <w:b/>
          <w:color w:val="000000"/>
          <w:sz w:val="22"/>
        </w:rPr>
        <w:t>If production is stamped MOCK, what is the difference between development and production today?</w:t>
      </w:r>
    </w:p>
    <w:p>
      <w:pPr>
        <w:spacing w:after="120" w:before="0"/>
      </w:pPr>
      <w:r>
        <w:rPr>
          <w:rFonts w:ascii="Calibri" w:hAnsi="Calibri"/>
          <w:b w:val="0"/>
          <w:color w:val="000000"/>
          <w:sz w:val="22"/>
        </w:rPr>
        <w:t>Architecturally, everything — separate compute, separate databases, separate identity, separate secrets, monitoring, and audit retention. Operationally for TEFCA, nothing yet: both serve demonstration data and are configured identically. Production becomes authoritative when the entity data arrives.</w:t>
      </w:r>
    </w:p>
    <w:p>
      <w:pPr>
        <w:spacing w:after="120" w:before="0"/>
      </w:pPr>
      <w:r>
        <w:rPr>
          <w:rFonts w:ascii="Calibri" w:hAnsi="Calibri"/>
          <w:b/>
          <w:color w:val="000000"/>
          <w:sz w:val="22"/>
        </w:rPr>
        <w:t>Why do NPPES and Medicare enrollment always succeed or fail together?</w:t>
      </w:r>
    </w:p>
    <w:p>
      <w:pPr>
        <w:spacing w:after="120" w:before="0"/>
      </w:pPr>
      <w:r>
        <w:rPr>
          <w:rFonts w:ascii="Calibri" w:hAnsi="Calibri"/>
          <w:b w:val="0"/>
          <w:color w:val="000000"/>
          <w:sz w:val="22"/>
        </w:rPr>
        <w:t>Because the Medicare enrollment indicator is derived from CMS public data obtained through the NPPES registry endpoint. It is not a direct integration with the CMS PECOS system. Two green indicators here represent one underlying source.</w:t>
      </w:r>
    </w:p>
    <w:p>
      <w:pPr>
        <w:spacing w:after="120" w:before="0"/>
      </w:pPr>
      <w:r>
        <w:rPr>
          <w:rFonts w:ascii="Calibri" w:hAnsi="Calibri"/>
          <w:b/>
          <w:color w:val="000000"/>
          <w:sz w:val="22"/>
        </w:rPr>
        <w:t>Why can I never see a payment-suspension result?</w:t>
      </w:r>
    </w:p>
    <w:p>
      <w:pPr>
        <w:spacing w:after="120" w:before="0"/>
      </w:pPr>
      <w:r>
        <w:rPr>
          <w:rFonts w:ascii="Calibri" w:hAnsi="Calibri"/>
          <w:b w:val="0"/>
          <w:color w:val="000000"/>
          <w:sz w:val="22"/>
        </w:rPr>
        <w:t>Because that data element requires a COR-provisioned CMS feed the programme does not have. The platform reports it as "not provided by this source" rather than as clean. Its absence is not evidence that no suspension exists.</w:t>
      </w:r>
    </w:p>
    <w:p>
      <w:pPr>
        <w:spacing w:after="120" w:before="0"/>
      </w:pPr>
      <w:r>
        <w:rPr>
          <w:rFonts w:ascii="Calibri" w:hAnsi="Calibri"/>
          <w:b/>
          <w:color w:val="000000"/>
          <w:sz w:val="22"/>
        </w:rPr>
        <w:t>Why is SAM.gov always unavailable?</w:t>
      </w:r>
    </w:p>
    <w:p>
      <w:pPr>
        <w:spacing w:after="120" w:before="0"/>
      </w:pPr>
      <w:r>
        <w:rPr>
          <w:rFonts w:ascii="Calibri" w:hAnsi="Calibri"/>
          <w:b w:val="0"/>
          <w:color w:val="000000"/>
          <w:sz w:val="22"/>
        </w:rPr>
        <w:t>The API key is configured. Entity lookup endpoints are returning 404 due to an upstream routing issue at api.sam.gov. This is not an application defect. No SAM-dependent conclusion can currently be drawn.</w:t>
      </w:r>
    </w:p>
    <w:p>
      <w:pPr>
        <w:spacing w:after="120" w:before="0"/>
      </w:pPr>
      <w:r>
        <w:rPr>
          <w:rFonts w:ascii="Calibri" w:hAnsi="Calibri"/>
          <w:b/>
          <w:color w:val="000000"/>
          <w:sz w:val="22"/>
        </w:rPr>
        <w:t>I clicked Verify in the Registry and got "verified" — is that entity confirmed?</w:t>
      </w:r>
    </w:p>
    <w:p>
      <w:pPr>
        <w:spacing w:after="120" w:before="0"/>
      </w:pPr>
      <w:r>
        <w:rPr>
          <w:rFonts w:ascii="Calibri" w:hAnsi="Calibri"/>
          <w:b w:val="0"/>
          <w:color w:val="000000"/>
          <w:sz w:val="22"/>
        </w:rPr>
        <w:t>No. The Registry Verify function performs internal structural data-quality checks only. It does NOT query external authoritative sources. External verification is performed through the ARC module. A Registry "verified" means the record is internally well-formed.</w:t>
      </w:r>
    </w:p>
    <w:p>
      <w:pPr>
        <w:spacing w:after="120" w:before="0"/>
      </w:pPr>
      <w:r>
        <w:rPr>
          <w:rFonts w:ascii="Calibri" w:hAnsi="Calibri"/>
          <w:b/>
          <w:color w:val="000000"/>
          <w:sz w:val="22"/>
        </w:rPr>
        <w:t>Why did a record with no problems still require my review?</w:t>
      </w:r>
    </w:p>
    <w:p>
      <w:pPr>
        <w:spacing w:after="120" w:before="0"/>
      </w:pPr>
      <w:r>
        <w:rPr>
          <w:rFonts w:ascii="Calibri" w:hAnsi="Calibri"/>
          <w:b w:val="0"/>
          <w:color w:val="000000"/>
          <w:sz w:val="22"/>
        </w:rPr>
        <w:t>Auto-completion requires all three of: bucket B1, confidence 0.95 or above, and full source coverage. Anything less reaches a person.</w:t>
      </w:r>
    </w:p>
    <w:p>
      <w:pPr>
        <w:spacing w:after="120" w:before="0"/>
      </w:pPr>
      <w:r>
        <w:rPr>
          <w:rFonts w:ascii="Calibri" w:hAnsi="Calibri"/>
          <w:b/>
          <w:color w:val="000000"/>
          <w:sz w:val="22"/>
        </w:rPr>
        <w:t>What is the difference between "not found" and "unavailable"?</w:t>
      </w:r>
    </w:p>
    <w:p>
      <w:pPr>
        <w:spacing w:after="120" w:before="0"/>
      </w:pPr>
      <w:r>
        <w:rPr>
          <w:rFonts w:ascii="Consolas" w:hAnsi="Consolas"/>
          <w:color w:val="000000"/>
          <w:sz w:val="22"/>
        </w:rPr>
        <w:t>not_found</w:t>
      </w:r>
      <w:r>
        <w:rPr>
          <w:rFonts w:ascii="Calibri" w:hAnsi="Calibri"/>
          <w:b w:val="0"/>
          <w:color w:val="000000"/>
          <w:sz w:val="22"/>
        </w:rPr>
        <w:t xml:space="preserve"> means the federal source answered and does not hold this record — evidence about the entity. </w:t>
      </w:r>
      <w:r>
        <w:rPr>
          <w:rFonts w:ascii="Consolas" w:hAnsi="Consolas"/>
          <w:color w:val="000000"/>
          <w:sz w:val="22"/>
        </w:rPr>
        <w:t>unavailable</w:t>
      </w:r>
      <w:r>
        <w:rPr>
          <w:rFonts w:ascii="Calibri" w:hAnsi="Calibri"/>
          <w:b w:val="0"/>
          <w:color w:val="000000"/>
          <w:sz w:val="22"/>
        </w:rPr>
        <w:t xml:space="preserve"> means the source did not answer — a gap in your evidence. They are opposite and must never be conflated.</w:t>
      </w:r>
    </w:p>
    <w:p>
      <w:pPr>
        <w:spacing w:after="120" w:before="0"/>
      </w:pPr>
      <w:r>
        <w:rPr>
          <w:rFonts w:ascii="Calibri" w:hAnsi="Calibri"/>
          <w:b/>
          <w:color w:val="000000"/>
          <w:sz w:val="22"/>
        </w:rPr>
        <w:t>Can I close an Indeterminate record if everything else looks fine?</w:t>
      </w:r>
    </w:p>
    <w:p>
      <w:pPr>
        <w:spacing w:after="120" w:before="0"/>
      </w:pPr>
      <w:r>
        <w:rPr>
          <w:rFonts w:ascii="Calibri" w:hAnsi="Calibri"/>
          <w:b w:val="0"/>
          <w:color w:val="000000"/>
          <w:sz w:val="22"/>
        </w:rPr>
        <w:t>No. Indeterminate means a required source did not answer, so a clean-looking result cannot be trusted — the missing source is exactly what would have flagged a problem. Re-run when it recovers, or review manually with the gap documented.</w:t>
      </w:r>
    </w:p>
    <w:p>
      <w:pPr>
        <w:spacing w:after="120" w:before="0"/>
      </w:pPr>
      <w:r>
        <w:rPr>
          <w:rFonts w:ascii="Calibri" w:hAnsi="Calibri"/>
          <w:b/>
          <w:color w:val="000000"/>
          <w:sz w:val="22"/>
        </w:rPr>
        <w:t>Is AI making any decisions?</w:t>
      </w:r>
    </w:p>
    <w:p>
      <w:pPr>
        <w:spacing w:after="120" w:before="0"/>
      </w:pPr>
      <w:r>
        <w:rPr>
          <w:rFonts w:ascii="Calibri" w:hAnsi="Calibri"/>
          <w:b w:val="0"/>
          <w:color w:val="000000"/>
          <w:sz w:val="22"/>
        </w:rPr>
        <w:t>No. AI entity resolution is disabled on both environments. Even when enabled it never decides: it produces a recommendation a human accepts or rejects, and every AI-touched record carries mandatory manual review at any confidence level.</w:t>
      </w:r>
    </w:p>
    <w:p>
      <w:pPr>
        <w:spacing w:after="120" w:before="0"/>
      </w:pPr>
      <w:r>
        <w:rPr>
          <w:rFonts w:ascii="Calibri" w:hAnsi="Calibri"/>
          <w:b/>
          <w:color w:val="000000"/>
          <w:sz w:val="22"/>
        </w:rPr>
        <w:t>What data would be sent to AI if it were enabled?</w:t>
      </w:r>
    </w:p>
    <w:p>
      <w:pPr>
        <w:spacing w:after="120" w:before="0"/>
      </w:pPr>
      <w:r>
        <w:rPr>
          <w:rFonts w:ascii="Calibri" w:hAnsi="Calibri"/>
          <w:b w:val="0"/>
          <w:color w:val="000000"/>
          <w:sz w:val="22"/>
        </w:rPr>
        <w:t>Six public fields only — name, address, NPI, entity type, state, TEFCAID — enforced by an allowlist. Never protected health information, patient data, or Social Security numbers.</w:t>
      </w:r>
    </w:p>
    <w:p>
      <w:pPr>
        <w:spacing w:after="120" w:before="0"/>
      </w:pPr>
      <w:r>
        <w:rPr>
          <w:rFonts w:ascii="Calibri" w:hAnsi="Calibri"/>
          <w:b/>
          <w:color w:val="000000"/>
          <w:sz w:val="22"/>
        </w:rPr>
        <w:t>Is the audit trail immutable?</w:t>
      </w:r>
    </w:p>
    <w:p>
      <w:pPr>
        <w:spacing w:after="120" w:before="0"/>
      </w:pPr>
      <w:r>
        <w:rPr>
          <w:rFonts w:ascii="Calibri" w:hAnsi="Calibri"/>
          <w:b w:val="0"/>
          <w:color w:val="000000"/>
          <w:sz w:val="22"/>
        </w:rPr>
        <w:t>Audit records are written in append-only mode through the application. Once created, audit entries cannot be modified or deleted through normal application operations. This is an application-level control, not cryptographic immutability. Database-level tamper evidence (hash chains) is identified as an open enhancement item.</w:t>
      </w:r>
    </w:p>
    <w:p>
      <w:pPr>
        <w:spacing w:after="120" w:before="0"/>
      </w:pPr>
      <w:r>
        <w:rPr>
          <w:rFonts w:ascii="Calibri" w:hAnsi="Calibri"/>
          <w:b/>
          <w:color w:val="000000"/>
          <w:sz w:val="22"/>
        </w:rPr>
        <w:t>Is DocuAction FedRAMP authorized?</w:t>
      </w:r>
    </w:p>
    <w:p>
      <w:pPr>
        <w:spacing w:after="120" w:before="0"/>
      </w:pPr>
      <w:r>
        <w:rPr>
          <w:rFonts w:ascii="Calibri" w:hAnsi="Calibri"/>
          <w:b w:val="0"/>
          <w:color w:val="000000"/>
          <w:sz w:val="22"/>
        </w:rPr>
        <w:t>No. This application does not hold a FedRAMP authorization or an Authority to Operate. Azure's own authorizations cover Azure infrastructure and do not authorize applications deployed on it.</w:t>
      </w:r>
    </w:p>
    <w:p>
      <w:pPr>
        <w:spacing w:after="120" w:before="0"/>
      </w:pPr>
      <w:r>
        <w:rPr>
          <w:rFonts w:ascii="Calibri" w:hAnsi="Calibri"/>
          <w:b/>
          <w:color w:val="000000"/>
          <w:sz w:val="22"/>
        </w:rPr>
        <w:t>AGT holds ISO 27001 and CMMI Level 3 — does that certify the application?</w:t>
      </w:r>
    </w:p>
    <w:p>
      <w:pPr>
        <w:spacing w:after="120" w:before="0"/>
      </w:pPr>
      <w:r>
        <w:rPr>
          <w:rFonts w:ascii="Calibri" w:hAnsi="Calibri"/>
          <w:b w:val="0"/>
          <w:color w:val="000000"/>
          <w:sz w:val="22"/>
        </w:rPr>
        <w:t>No. Those are corporate credentials held by Alliance Global Tech as an organization. They are not application certifications and do not constitute assessment or authorization of this system.</w:t>
      </w:r>
    </w:p>
    <w:p>
      <w:pPr>
        <w:spacing w:after="120" w:before="0"/>
      </w:pPr>
      <w:r>
        <w:rPr>
          <w:rFonts w:ascii="Calibri" w:hAnsi="Calibri"/>
          <w:b/>
          <w:color w:val="000000"/>
          <w:sz w:val="22"/>
        </w:rPr>
        <w:t>Is the system Section 508 compliant?</w:t>
      </w:r>
    </w:p>
    <w:p>
      <w:pPr>
        <w:spacing w:after="120" w:before="0"/>
      </w:pPr>
      <w:r>
        <w:rPr>
          <w:rFonts w:ascii="Calibri" w:hAnsi="Calibri"/>
          <w:b w:val="0"/>
          <w:color w:val="000000"/>
          <w:sz w:val="22"/>
        </w:rPr>
        <w:t>Accessibility implementation work is in progress across application components. No formal Section 508 conformance testing (axe, pa11y, Lighthouse) or VPAT/ACR has been completed. Implementation activity does not constitute conformance certification.</w:t>
      </w:r>
    </w:p>
    <w:p>
      <w:pPr>
        <w:spacing w:after="120" w:before="0"/>
      </w:pPr>
      <w:r>
        <w:rPr>
          <w:rFonts w:ascii="Calibri" w:hAnsi="Calibri"/>
          <w:b/>
          <w:color w:val="000000"/>
          <w:sz w:val="22"/>
        </w:rPr>
        <w:t>Why do two parts of the application match names differently?</w:t>
      </w:r>
    </w:p>
    <w:p>
      <w:pPr>
        <w:spacing w:after="120" w:before="0"/>
      </w:pPr>
      <w:r>
        <w:rPr>
          <w:rFonts w:ascii="Calibri" w:hAnsi="Calibri"/>
          <w:b w:val="0"/>
          <w:color w:val="000000"/>
          <w:sz w:val="22"/>
        </w:rPr>
        <w:t>The ARC module uses Jaro-Winkler similarity scoring for entity name comparison. The Registry module uses Levenshtein distance with a different threshold. Both perform fuzzy name matching but use different algorithms and sensitivity settings. This is a known inconsistency scheduled for unification in a future release.</w:t>
      </w:r>
    </w:p>
    <w:p>
      <w:pPr>
        <w:spacing w:after="120" w:before="0"/>
      </w:pPr>
      <w:r>
        <w:rPr>
          <w:rFonts w:ascii="Calibri" w:hAnsi="Calibri"/>
          <w:b/>
          <w:color w:val="000000"/>
          <w:sz w:val="22"/>
        </w:rPr>
        <w:t>Why can't the administrator give me the reviewer role in the interface?</w:t>
      </w:r>
    </w:p>
    <w:p>
      <w:pPr>
        <w:spacing w:after="120" w:before="0"/>
      </w:pPr>
      <w:r>
        <w:rPr>
          <w:rFonts w:ascii="Calibri" w:hAnsi="Calibri"/>
          <w:b w:val="0"/>
          <w:color w:val="000000"/>
          <w:sz w:val="22"/>
        </w:rPr>
        <w:t>Administrators can assign these roles through the application interface: admin, manager, contributor, viewer. Specialized operational roles (reviewer, senior_analyst, qalead, program_manager) are configured by the system administrator through direct system configuration. Contact the system administrator to request assignment to these roles.</w:t>
      </w:r>
    </w:p>
    <w:p>
      <w:pPr>
        <w:spacing w:after="120" w:before="0"/>
      </w:pPr>
      <w:r>
        <w:rPr>
          <w:rFonts w:ascii="Calibri" w:hAnsi="Calibri"/>
          <w:b/>
          <w:color w:val="000000"/>
          <w:sz w:val="22"/>
        </w:rPr>
        <w:t>A page says "Insufficient permissions" — is it broken?</w:t>
      </w:r>
    </w:p>
    <w:p>
      <w:pPr>
        <w:spacing w:after="120" w:before="0"/>
      </w:pPr>
      <w:r>
        <w:rPr>
          <w:rFonts w:ascii="Calibri" w:hAnsi="Calibri"/>
          <w:b w:val="0"/>
          <w:color w:val="000000"/>
          <w:sz w:val="22"/>
        </w:rPr>
        <w:t>No. The platform shows denial as denial rather than as an empty page, because an empty page reads as "no records exist" and would mislead you. Request the appropriate role.</w:t>
      </w:r>
    </w:p>
    <w:p>
      <w:pPr>
        <w:spacing w:after="120" w:before="0"/>
      </w:pPr>
      <w:r>
        <w:rPr>
          <w:rFonts w:ascii="Calibri" w:hAnsi="Calibri"/>
          <w:b/>
          <w:color w:val="000000"/>
          <w:sz w:val="22"/>
        </w:rPr>
        <w:t>What happens to audit records when a user account is deleted?</w:t>
      </w:r>
    </w:p>
    <w:p>
      <w:pPr>
        <w:spacing w:after="120" w:before="0"/>
      </w:pPr>
      <w:r>
        <w:rPr>
          <w:rFonts w:ascii="Calibri" w:hAnsi="Calibri"/>
          <w:b w:val="0"/>
          <w:color w:val="000000"/>
          <w:sz w:val="22"/>
        </w:rPr>
        <w:t>The audit records are retained, but their attribution to that user is severed. Where continuous attribution matters, disable accounts rather than deleting them.</w:t>
      </w:r>
    </w:p>
    <w:p>
      <w:pPr>
        <w:spacing w:after="120" w:before="0"/>
      </w:pPr>
      <w:r>
        <w:rPr>
          <w:rFonts w:ascii="Calibri" w:hAnsi="Calibri"/>
          <w:b/>
          <w:color w:val="000000"/>
          <w:sz w:val="22"/>
        </w:rPr>
        <w:t>Can I re-draw a sample to check it?</w:t>
      </w:r>
    </w:p>
    <w:p>
      <w:pPr>
        <w:spacing w:after="120" w:before="0"/>
      </w:pPr>
      <w:r>
        <w:rPr>
          <w:rFonts w:ascii="Calibri" w:hAnsi="Calibri"/>
          <w:b w:val="0"/>
          <w:color w:val="000000"/>
          <w:sz w:val="22"/>
        </w:rPr>
        <w:t>Yes. The sampling seed is stored with the sample along with the confidence level, margin of error, and proportion, specifically so a reviewer can reproduce the draw and verify it.</w:t>
      </w:r>
    </w:p>
    <w:p>
      <w:r>
        <w:br w:type="page"/>
      </w:r>
    </w:p>
    <w:p>
      <w:pPr>
        <w:pStyle w:val="Heading1"/>
        <w:keepNext/>
        <w:spacing w:before="280" w:after="120"/>
        <w:outlineLvl w:val="0"/>
      </w:pPr>
      <w:r>
        <w:rPr>
          <w:rFonts w:ascii="Calibri" w:hAnsi="Calibri"/>
          <w:b/>
          <w:color w:val="003087"/>
          <w:sz w:val="28"/>
        </w:rPr>
        <w:t>26. Glossary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Term</w:t>
            </w:r>
          </w:p>
        </w:tc>
        <w:tc>
          <w:tcPr>
            <w:tcW w:type="dxa" w:w="4680"/>
            <w:shd w:val="clear" w:color="auto" w:fill="003087"/>
          </w:tcPr>
          <w:p>
            <w:pPr>
              <w:spacing w:after="40" w:before="40"/>
            </w:pPr>
            <w:r>
              <w:rPr>
                <w:rFonts w:ascii="Calibri" w:hAnsi="Calibri"/>
                <w:b/>
                <w:color w:val="FFFFFF"/>
                <w:sz w:val="20"/>
              </w:rPr>
              <w:t>Definition</w:t>
            </w:r>
          </w:p>
        </w:tc>
      </w:tr>
      <w:tr>
        <w:tc>
          <w:tcPr>
            <w:tcW w:type="dxa" w:w="4680"/>
          </w:tcPr>
          <w:p>
            <w:pPr>
              <w:spacing w:after="40" w:before="40"/>
            </w:pPr>
            <w:r>
              <w:rPr>
                <w:rFonts w:ascii="Calibri" w:hAnsi="Calibri"/>
                <w:b/>
                <w:color w:val="000000"/>
                <w:sz w:val="20"/>
              </w:rPr>
              <w:t>ARC</w:t>
            </w:r>
          </w:p>
        </w:tc>
        <w:tc>
          <w:tcPr>
            <w:tcW w:type="dxa" w:w="4680"/>
          </w:tcPr>
          <w:p>
            <w:pPr>
              <w:spacing w:after="40" w:before="40"/>
            </w:pPr>
            <w:r>
              <w:rPr>
                <w:rFonts w:ascii="Calibri" w:hAnsi="Calibri"/>
                <w:b w:val="0"/>
                <w:color w:val="000000"/>
                <w:sz w:val="20"/>
              </w:rPr>
              <w:t>Audit, Review &amp; Compliance — the DocuAction module that performs contract verification work against authoritative federal sources</w:t>
            </w:r>
          </w:p>
        </w:tc>
      </w:tr>
      <w:tr>
        <w:tc>
          <w:tcPr>
            <w:tcW w:type="dxa" w:w="4680"/>
            <w:shd w:val="clear" w:color="auto" w:fill="F2F5FA"/>
          </w:tcPr>
          <w:p>
            <w:pPr>
              <w:spacing w:after="40" w:before="40"/>
            </w:pPr>
            <w:r>
              <w:rPr>
                <w:rFonts w:ascii="Calibri" w:hAnsi="Calibri"/>
                <w:b/>
                <w:color w:val="000000"/>
                <w:sz w:val="20"/>
              </w:rPr>
              <w:t>Append-only</w:t>
            </w:r>
          </w:p>
        </w:tc>
        <w:tc>
          <w:tcPr>
            <w:tcW w:type="dxa" w:w="4680"/>
            <w:shd w:val="clear" w:color="auto" w:fill="F2F5FA"/>
          </w:tcPr>
          <w:p>
            <w:pPr>
              <w:spacing w:after="40" w:before="40"/>
            </w:pPr>
            <w:r>
              <w:rPr>
                <w:rFonts w:ascii="Calibri" w:hAnsi="Calibri"/>
                <w:b w:val="0"/>
                <w:color w:val="000000"/>
                <w:sz w:val="20"/>
              </w:rPr>
              <w:t>Records are added but not modified or deleted through the application. Distinct from cryptographic immutability</w:t>
            </w:r>
          </w:p>
        </w:tc>
      </w:tr>
      <w:tr>
        <w:tc>
          <w:tcPr>
            <w:tcW w:type="dxa" w:w="4680"/>
          </w:tcPr>
          <w:p>
            <w:pPr>
              <w:spacing w:after="40" w:before="40"/>
            </w:pPr>
            <w:r>
              <w:rPr>
                <w:rFonts w:ascii="Calibri" w:hAnsi="Calibri"/>
                <w:b/>
                <w:color w:val="000000"/>
                <w:sz w:val="20"/>
              </w:rPr>
              <w:t>Authoritative source</w:t>
            </w:r>
          </w:p>
        </w:tc>
        <w:tc>
          <w:tcPr>
            <w:tcW w:type="dxa" w:w="4680"/>
          </w:tcPr>
          <w:p>
            <w:pPr>
              <w:spacing w:after="40" w:before="40"/>
            </w:pPr>
            <w:r>
              <w:rPr>
                <w:rFonts w:ascii="Calibri" w:hAnsi="Calibri"/>
                <w:b w:val="0"/>
                <w:color w:val="000000"/>
                <w:sz w:val="20"/>
              </w:rPr>
              <w:t>A federal system of record whose answer is treated as fact — here, NPPES and OIG LEIE</w:t>
            </w:r>
          </w:p>
        </w:tc>
      </w:tr>
      <w:tr>
        <w:tc>
          <w:tcPr>
            <w:tcW w:type="dxa" w:w="4680"/>
            <w:shd w:val="clear" w:color="auto" w:fill="F2F5FA"/>
          </w:tcPr>
          <w:p>
            <w:pPr>
              <w:spacing w:after="40" w:before="40"/>
            </w:pPr>
            <w:r>
              <w:rPr>
                <w:rFonts w:ascii="Calibri" w:hAnsi="Calibri"/>
                <w:b/>
                <w:color w:val="000000"/>
                <w:sz w:val="20"/>
              </w:rPr>
              <w:t>B1 / B2 / B3 / B4</w:t>
            </w:r>
          </w:p>
        </w:tc>
        <w:tc>
          <w:tcPr>
            <w:tcW w:type="dxa" w:w="4680"/>
            <w:shd w:val="clear" w:color="auto" w:fill="F2F5FA"/>
          </w:tcPr>
          <w:p>
            <w:pPr>
              <w:spacing w:after="40" w:before="40"/>
            </w:pPr>
            <w:r>
              <w:rPr>
                <w:rFonts w:ascii="Calibri" w:hAnsi="Calibri"/>
                <w:b w:val="0"/>
                <w:color w:val="000000"/>
                <w:sz w:val="20"/>
              </w:rPr>
              <w:t>The discrepancy classification buckets: No Discrepancy, Minor or Administrative, Inexplicable, Non-Compliant. The worst finding determines the bucket</w:t>
            </w:r>
          </w:p>
        </w:tc>
      </w:tr>
      <w:tr>
        <w:tc>
          <w:tcPr>
            <w:tcW w:type="dxa" w:w="4680"/>
          </w:tcPr>
          <w:p>
            <w:pPr>
              <w:spacing w:after="40" w:before="40"/>
            </w:pPr>
            <w:r>
              <w:rPr>
                <w:rFonts w:ascii="Calibri" w:hAnsi="Calibri"/>
                <w:b/>
                <w:color w:val="000000"/>
                <w:sz w:val="20"/>
              </w:rPr>
              <w:t>BAA</w:t>
            </w:r>
          </w:p>
        </w:tc>
        <w:tc>
          <w:tcPr>
            <w:tcW w:type="dxa" w:w="4680"/>
          </w:tcPr>
          <w:p>
            <w:pPr>
              <w:spacing w:after="40" w:before="40"/>
            </w:pPr>
            <w:r>
              <w:rPr>
                <w:rFonts w:ascii="Calibri" w:hAnsi="Calibri"/>
                <w:b w:val="0"/>
                <w:color w:val="000000"/>
                <w:sz w:val="20"/>
              </w:rPr>
              <w:t>Business Associate Agreement — the HIPAA contract governing handling of protected health information by a service provider</w:t>
            </w:r>
          </w:p>
        </w:tc>
      </w:tr>
      <w:tr>
        <w:tc>
          <w:tcPr>
            <w:tcW w:type="dxa" w:w="4680"/>
            <w:shd w:val="clear" w:color="auto" w:fill="F2F5FA"/>
          </w:tcPr>
          <w:p>
            <w:pPr>
              <w:spacing w:after="40" w:before="40"/>
            </w:pPr>
            <w:r>
              <w:rPr>
                <w:rFonts w:ascii="Calibri" w:hAnsi="Calibri"/>
                <w:b/>
                <w:color w:val="000000"/>
                <w:sz w:val="20"/>
              </w:rPr>
              <w:t>CCN</w:t>
            </w:r>
          </w:p>
        </w:tc>
        <w:tc>
          <w:tcPr>
            <w:tcW w:type="dxa" w:w="4680"/>
            <w:shd w:val="clear" w:color="auto" w:fill="F2F5FA"/>
          </w:tcPr>
          <w:p>
            <w:pPr>
              <w:spacing w:after="40" w:before="40"/>
            </w:pPr>
            <w:r>
              <w:rPr>
                <w:rFonts w:ascii="Calibri" w:hAnsi="Calibri"/>
                <w:b w:val="0"/>
                <w:color w:val="000000"/>
                <w:sz w:val="20"/>
              </w:rPr>
              <w:t>CMS Certification Number — a Medicare provider identifier distinct from the NPI</w:t>
            </w:r>
          </w:p>
        </w:tc>
      </w:tr>
      <w:tr>
        <w:tc>
          <w:tcPr>
            <w:tcW w:type="dxa" w:w="4680"/>
          </w:tcPr>
          <w:p>
            <w:pPr>
              <w:spacing w:after="40" w:before="40"/>
            </w:pPr>
            <w:r>
              <w:rPr>
                <w:rFonts w:ascii="Calibri" w:hAnsi="Calibri"/>
                <w:b/>
                <w:color w:val="000000"/>
                <w:sz w:val="20"/>
              </w:rPr>
              <w:t>CMS</w:t>
            </w:r>
          </w:p>
        </w:tc>
        <w:tc>
          <w:tcPr>
            <w:tcW w:type="dxa" w:w="4680"/>
          </w:tcPr>
          <w:p>
            <w:pPr>
              <w:spacing w:after="40" w:before="40"/>
            </w:pPr>
            <w:r>
              <w:rPr>
                <w:rFonts w:ascii="Calibri" w:hAnsi="Calibri"/>
                <w:b w:val="0"/>
                <w:color w:val="000000"/>
                <w:sz w:val="20"/>
              </w:rPr>
              <w:t>Centers for Medicare &amp; Medicaid Services, part of HHS. Operates NPPES and Medicare enrollment</w:t>
            </w:r>
          </w:p>
        </w:tc>
      </w:tr>
      <w:tr>
        <w:tc>
          <w:tcPr>
            <w:tcW w:type="dxa" w:w="4680"/>
            <w:shd w:val="clear" w:color="auto" w:fill="F2F5FA"/>
          </w:tcPr>
          <w:p>
            <w:pPr>
              <w:spacing w:after="40" w:before="40"/>
            </w:pPr>
            <w:r>
              <w:rPr>
                <w:rFonts w:ascii="Calibri" w:hAnsi="Calibri"/>
                <w:b/>
                <w:color w:val="000000"/>
                <w:sz w:val="20"/>
              </w:rPr>
              <w:t>Cochran sampling</w:t>
            </w:r>
          </w:p>
        </w:tc>
        <w:tc>
          <w:tcPr>
            <w:tcW w:type="dxa" w:w="4680"/>
            <w:shd w:val="clear" w:color="auto" w:fill="F2F5FA"/>
          </w:tcPr>
          <w:p>
            <w:pPr>
              <w:spacing w:after="40" w:before="40"/>
            </w:pPr>
            <w:r>
              <w:rPr>
                <w:rFonts w:ascii="Calibri" w:hAnsi="Calibri"/>
                <w:b w:val="0"/>
                <w:color w:val="000000"/>
                <w:sz w:val="20"/>
              </w:rPr>
              <w:t>A statistical method for calculating how large a sample must be to draw conclusions about a population at a stated confidence level and margin of error</w:t>
            </w:r>
          </w:p>
        </w:tc>
      </w:tr>
      <w:tr>
        <w:tc>
          <w:tcPr>
            <w:tcW w:type="dxa" w:w="4680"/>
          </w:tcPr>
          <w:p>
            <w:pPr>
              <w:spacing w:after="40" w:before="40"/>
            </w:pPr>
            <w:r>
              <w:rPr>
                <w:rFonts w:ascii="Calibri" w:hAnsi="Calibri"/>
                <w:b/>
                <w:color w:val="000000"/>
                <w:sz w:val="20"/>
              </w:rPr>
              <w:t>Confidence (statistical)</w:t>
            </w:r>
          </w:p>
        </w:tc>
        <w:tc>
          <w:tcPr>
            <w:tcW w:type="dxa" w:w="4680"/>
          </w:tcPr>
          <w:p>
            <w:pPr>
              <w:spacing w:after="40" w:before="40"/>
            </w:pPr>
            <w:r>
              <w:rPr>
                <w:rFonts w:ascii="Calibri" w:hAnsi="Calibri"/>
                <w:b w:val="0"/>
                <w:color w:val="000000"/>
                <w:sz w:val="20"/>
              </w:rPr>
              <w:t>The probability that a sample's conclusion holds for the whole population. Cycles here use 95%</w:t>
            </w:r>
          </w:p>
        </w:tc>
      </w:tr>
      <w:tr>
        <w:tc>
          <w:tcPr>
            <w:tcW w:type="dxa" w:w="4680"/>
            <w:shd w:val="clear" w:color="auto" w:fill="F2F5FA"/>
          </w:tcPr>
          <w:p>
            <w:pPr>
              <w:spacing w:after="40" w:before="40"/>
            </w:pPr>
            <w:r>
              <w:rPr>
                <w:rFonts w:ascii="Calibri" w:hAnsi="Calibri"/>
                <w:b/>
                <w:color w:val="000000"/>
                <w:sz w:val="20"/>
              </w:rPr>
              <w:t>Confidence (verification)</w:t>
            </w:r>
          </w:p>
        </w:tc>
        <w:tc>
          <w:tcPr>
            <w:tcW w:type="dxa" w:w="4680"/>
            <w:shd w:val="clear" w:color="auto" w:fill="F2F5FA"/>
          </w:tcPr>
          <w:p>
            <w:pPr>
              <w:spacing w:after="40" w:before="40"/>
            </w:pPr>
            <w:r>
              <w:rPr>
                <w:rFonts w:ascii="Calibri" w:hAnsi="Calibri"/>
                <w:b w:val="0"/>
                <w:color w:val="000000"/>
                <w:sz w:val="20"/>
              </w:rPr>
              <w:t>A score from 0 to 1 expressing how certain the engine is about one entity's classification. Reduced by each finding</w:t>
            </w:r>
          </w:p>
        </w:tc>
      </w:tr>
      <w:tr>
        <w:tc>
          <w:tcPr>
            <w:tcW w:type="dxa" w:w="4680"/>
          </w:tcPr>
          <w:p>
            <w:pPr>
              <w:spacing w:after="40" w:before="40"/>
            </w:pPr>
            <w:r>
              <w:rPr>
                <w:rFonts w:ascii="Calibri" w:hAnsi="Calibri"/>
                <w:b/>
                <w:color w:val="000000"/>
                <w:sz w:val="20"/>
              </w:rPr>
              <w:t>COR</w:t>
            </w:r>
          </w:p>
        </w:tc>
        <w:tc>
          <w:tcPr>
            <w:tcW w:type="dxa" w:w="4680"/>
          </w:tcPr>
          <w:p>
            <w:pPr>
              <w:spacing w:after="40" w:before="40"/>
            </w:pPr>
            <w:r>
              <w:rPr>
                <w:rFonts w:ascii="Calibri" w:hAnsi="Calibri"/>
                <w:b w:val="0"/>
                <w:color w:val="000000"/>
                <w:sz w:val="20"/>
              </w:rPr>
              <w:t>Contracting Officer's Representative — the government official who directs the contractor's work</w:t>
            </w:r>
          </w:p>
        </w:tc>
      </w:tr>
      <w:tr>
        <w:tc>
          <w:tcPr>
            <w:tcW w:type="dxa" w:w="4680"/>
            <w:shd w:val="clear" w:color="auto" w:fill="F2F5FA"/>
          </w:tcPr>
          <w:p>
            <w:pPr>
              <w:spacing w:after="40" w:before="40"/>
            </w:pPr>
            <w:r>
              <w:rPr>
                <w:rFonts w:ascii="Calibri" w:hAnsi="Calibri"/>
                <w:b/>
                <w:color w:val="000000"/>
                <w:sz w:val="20"/>
              </w:rPr>
              <w:t>Corroboration</w:t>
            </w:r>
          </w:p>
        </w:tc>
        <w:tc>
          <w:tcPr>
            <w:tcW w:type="dxa" w:w="4680"/>
            <w:shd w:val="clear" w:color="auto" w:fill="F2F5FA"/>
          </w:tcPr>
          <w:p>
            <w:pPr>
              <w:spacing w:after="40" w:before="40"/>
            </w:pPr>
            <w:r>
              <w:rPr>
                <w:rFonts w:ascii="Calibri" w:hAnsi="Calibri"/>
                <w:b w:val="0"/>
                <w:color w:val="000000"/>
                <w:sz w:val="20"/>
              </w:rPr>
              <w:t>Confirmation of the same fact by an independent second source</w:t>
            </w:r>
          </w:p>
        </w:tc>
      </w:tr>
      <w:tr>
        <w:tc>
          <w:tcPr>
            <w:tcW w:type="dxa" w:w="4680"/>
          </w:tcPr>
          <w:p>
            <w:pPr>
              <w:spacing w:after="40" w:before="40"/>
            </w:pPr>
            <w:r>
              <w:rPr>
                <w:rFonts w:ascii="Calibri" w:hAnsi="Calibri"/>
                <w:b/>
                <w:color w:val="000000"/>
                <w:sz w:val="20"/>
              </w:rPr>
              <w:t>Coverage</w:t>
            </w:r>
          </w:p>
        </w:tc>
        <w:tc>
          <w:tcPr>
            <w:tcW w:type="dxa" w:w="4680"/>
          </w:tcPr>
          <w:p>
            <w:pPr>
              <w:spacing w:after="40" w:before="40"/>
            </w:pPr>
            <w:r>
              <w:rPr>
                <w:rFonts w:ascii="Calibri" w:hAnsi="Calibri"/>
                <w:b w:val="0"/>
                <w:color w:val="000000"/>
                <w:sz w:val="20"/>
              </w:rPr>
              <w:t>How many implemented sources actually answered for a given review. Reported as a note on every review</w:t>
            </w:r>
          </w:p>
        </w:tc>
      </w:tr>
      <w:tr>
        <w:tc>
          <w:tcPr>
            <w:tcW w:type="dxa" w:w="4680"/>
            <w:shd w:val="clear" w:color="auto" w:fill="F2F5FA"/>
          </w:tcPr>
          <w:p>
            <w:pPr>
              <w:spacing w:after="40" w:before="40"/>
            </w:pPr>
            <w:r>
              <w:rPr>
                <w:rFonts w:ascii="Calibri" w:hAnsi="Calibri"/>
                <w:b/>
                <w:color w:val="000000"/>
                <w:sz w:val="20"/>
              </w:rPr>
              <w:t>CUI</w:t>
            </w:r>
          </w:p>
        </w:tc>
        <w:tc>
          <w:tcPr>
            <w:tcW w:type="dxa" w:w="4680"/>
            <w:shd w:val="clear" w:color="auto" w:fill="F2F5FA"/>
          </w:tcPr>
          <w:p>
            <w:pPr>
              <w:spacing w:after="40" w:before="40"/>
            </w:pPr>
            <w:r>
              <w:rPr>
                <w:rFonts w:ascii="Calibri" w:hAnsi="Calibri"/>
                <w:b w:val="0"/>
                <w:color w:val="000000"/>
                <w:sz w:val="20"/>
              </w:rPr>
              <w:t>Controlled Unclassified Information — government information requiring safeguarding but not classified</w:t>
            </w:r>
          </w:p>
        </w:tc>
      </w:tr>
      <w:tr>
        <w:tc>
          <w:tcPr>
            <w:tcW w:type="dxa" w:w="4680"/>
          </w:tcPr>
          <w:p>
            <w:pPr>
              <w:spacing w:after="40" w:before="40"/>
            </w:pPr>
            <w:r>
              <w:rPr>
                <w:rFonts w:ascii="Calibri" w:hAnsi="Calibri"/>
                <w:b/>
                <w:color w:val="000000"/>
                <w:sz w:val="20"/>
              </w:rPr>
              <w:t>DEV</w:t>
            </w:r>
          </w:p>
        </w:tc>
        <w:tc>
          <w:tcPr>
            <w:tcW w:type="dxa" w:w="4680"/>
          </w:tcPr>
          <w:p>
            <w:pPr>
              <w:spacing w:after="40" w:before="40"/>
            </w:pPr>
            <w:r>
              <w:rPr>
                <w:rFonts w:ascii="Calibri" w:hAnsi="Calibri"/>
                <w:b w:val="0"/>
                <w:color w:val="000000"/>
                <w:sz w:val="20"/>
              </w:rPr>
              <w:t>The development environment. Never authoritative</w:t>
            </w:r>
          </w:p>
        </w:tc>
      </w:tr>
      <w:tr>
        <w:tc>
          <w:tcPr>
            <w:tcW w:type="dxa" w:w="4680"/>
            <w:shd w:val="clear" w:color="auto" w:fill="F2F5FA"/>
          </w:tcPr>
          <w:p>
            <w:pPr>
              <w:spacing w:after="40" w:before="40"/>
            </w:pPr>
            <w:r>
              <w:rPr>
                <w:rFonts w:ascii="Calibri" w:hAnsi="Calibri"/>
                <w:b/>
                <w:color w:val="000000"/>
                <w:sz w:val="20"/>
              </w:rPr>
              <w:t>Effective bucket</w:t>
            </w:r>
          </w:p>
        </w:tc>
        <w:tc>
          <w:tcPr>
            <w:tcW w:type="dxa" w:w="4680"/>
            <w:shd w:val="clear" w:color="auto" w:fill="F2F5FA"/>
          </w:tcPr>
          <w:p>
            <w:pPr>
              <w:spacing w:after="40" w:before="40"/>
            </w:pPr>
            <w:r>
              <w:rPr>
                <w:rFonts w:ascii="Calibri" w:hAnsi="Calibri"/>
                <w:b w:val="0"/>
                <w:color w:val="000000"/>
                <w:sz w:val="20"/>
              </w:rPr>
              <w:t>The reviewer's reclassification where one was made; otherwise the engine's classification. Reports use this</w:t>
            </w:r>
          </w:p>
        </w:tc>
      </w:tr>
      <w:tr>
        <w:tc>
          <w:tcPr>
            <w:tcW w:type="dxa" w:w="4680"/>
          </w:tcPr>
          <w:p>
            <w:pPr>
              <w:spacing w:after="40" w:before="40"/>
            </w:pPr>
            <w:r>
              <w:rPr>
                <w:rFonts w:ascii="Calibri" w:hAnsi="Calibri"/>
                <w:b/>
                <w:color w:val="000000"/>
                <w:sz w:val="20"/>
              </w:rPr>
              <w:t>Evidence quality</w:t>
            </w:r>
          </w:p>
        </w:tc>
        <w:tc>
          <w:tcPr>
            <w:tcW w:type="dxa" w:w="4680"/>
          </w:tcPr>
          <w:p>
            <w:pPr>
              <w:spacing w:after="40" w:before="40"/>
            </w:pPr>
            <w:r>
              <w:rPr>
                <w:rFonts w:ascii="Calibri" w:hAnsi="Calibri"/>
                <w:b w:val="0"/>
                <w:color w:val="000000"/>
                <w:sz w:val="20"/>
              </w:rPr>
              <w:t>Whether the source responses supporting a determination were retained and are complete. Checked by a QA gate</w:t>
            </w:r>
          </w:p>
        </w:tc>
      </w:tr>
      <w:tr>
        <w:tc>
          <w:tcPr>
            <w:tcW w:type="dxa" w:w="4680"/>
            <w:shd w:val="clear" w:color="auto" w:fill="F2F5FA"/>
          </w:tcPr>
          <w:p>
            <w:pPr>
              <w:spacing w:after="40" w:before="40"/>
            </w:pPr>
            <w:r>
              <w:rPr>
                <w:rFonts w:ascii="Calibri" w:hAnsi="Calibri"/>
                <w:b/>
                <w:color w:val="000000"/>
                <w:sz w:val="20"/>
              </w:rPr>
              <w:t>Exception</w:t>
            </w:r>
          </w:p>
        </w:tc>
        <w:tc>
          <w:tcPr>
            <w:tcW w:type="dxa" w:w="4680"/>
            <w:shd w:val="clear" w:color="auto" w:fill="F2F5FA"/>
          </w:tcPr>
          <w:p>
            <w:pPr>
              <w:spacing w:after="40" w:before="40"/>
            </w:pPr>
            <w:r>
              <w:rPr>
                <w:rFonts w:ascii="Calibri" w:hAnsi="Calibri"/>
                <w:b w:val="0"/>
                <w:color w:val="000000"/>
                <w:sz w:val="20"/>
              </w:rPr>
              <w:t>A record the automated rules could not resolve, requiring human judgement</w:t>
            </w:r>
          </w:p>
        </w:tc>
      </w:tr>
      <w:tr>
        <w:tc>
          <w:tcPr>
            <w:tcW w:type="dxa" w:w="4680"/>
          </w:tcPr>
          <w:p>
            <w:pPr>
              <w:spacing w:after="40" w:before="40"/>
            </w:pPr>
            <w:r>
              <w:rPr>
                <w:rFonts w:ascii="Calibri" w:hAnsi="Calibri"/>
                <w:b/>
                <w:color w:val="000000"/>
                <w:sz w:val="20"/>
              </w:rPr>
              <w:t>Finite population correction</w:t>
            </w:r>
          </w:p>
        </w:tc>
        <w:tc>
          <w:tcPr>
            <w:tcW w:type="dxa" w:w="4680"/>
          </w:tcPr>
          <w:p>
            <w:pPr>
              <w:spacing w:after="40" w:before="40"/>
            </w:pPr>
            <w:r>
              <w:rPr>
                <w:rFonts w:ascii="Calibri" w:hAnsi="Calibri"/>
                <w:b w:val="0"/>
                <w:color w:val="000000"/>
                <w:sz w:val="20"/>
              </w:rPr>
              <w:t>An adjustment to a sample size for a population small enough that sampling without replacement matters. Prevents a 900-entity frame demanding the same sample as a 96,000-entity one</w:t>
            </w:r>
          </w:p>
        </w:tc>
      </w:tr>
      <w:tr>
        <w:tc>
          <w:tcPr>
            <w:tcW w:type="dxa" w:w="4680"/>
            <w:shd w:val="clear" w:color="auto" w:fill="F2F5FA"/>
          </w:tcPr>
          <w:p>
            <w:pPr>
              <w:spacing w:after="40" w:before="40"/>
            </w:pPr>
            <w:r>
              <w:rPr>
                <w:rFonts w:ascii="Calibri" w:hAnsi="Calibri"/>
                <w:b/>
                <w:color w:val="000000"/>
                <w:sz w:val="20"/>
              </w:rPr>
              <w:t>Finding code</w:t>
            </w:r>
          </w:p>
        </w:tc>
        <w:tc>
          <w:tcPr>
            <w:tcW w:type="dxa" w:w="4680"/>
            <w:shd w:val="clear" w:color="auto" w:fill="F2F5FA"/>
          </w:tcPr>
          <w:p>
            <w:pPr>
              <w:spacing w:after="40" w:before="40"/>
            </w:pPr>
            <w:r>
              <w:rPr>
                <w:rFonts w:ascii="Calibri" w:hAnsi="Calibri"/>
                <w:b w:val="0"/>
                <w:color w:val="000000"/>
                <w:sz w:val="20"/>
              </w:rPr>
              <w:t xml:space="preserve">A specific named defect, such as </w:t>
            </w:r>
            <w:r>
              <w:rPr>
                <w:rFonts w:ascii="Consolas" w:hAnsi="Consolas"/>
                <w:color w:val="000000"/>
                <w:sz w:val="20"/>
              </w:rPr>
              <w:t>NAME_ABBREVIATION_DIFF</w:t>
            </w:r>
            <w:r>
              <w:rPr>
                <w:rFonts w:ascii="Calibri" w:hAnsi="Calibri"/>
                <w:b w:val="0"/>
                <w:color w:val="000000"/>
                <w:sz w:val="20"/>
              </w:rPr>
              <w:t xml:space="preserve"> or </w:t>
            </w:r>
            <w:r>
              <w:rPr>
                <w:rFonts w:ascii="Consolas" w:hAnsi="Consolas"/>
                <w:color w:val="000000"/>
                <w:sz w:val="20"/>
              </w:rPr>
              <w:t>LEIE_ACTIVE_EXCLUSION</w:t>
            </w:r>
          </w:p>
        </w:tc>
      </w:tr>
      <w:tr>
        <w:tc>
          <w:tcPr>
            <w:tcW w:type="dxa" w:w="4680"/>
          </w:tcPr>
          <w:p>
            <w:pPr>
              <w:spacing w:after="40" w:before="40"/>
            </w:pPr>
            <w:r>
              <w:rPr>
                <w:rFonts w:ascii="Calibri" w:hAnsi="Calibri"/>
                <w:b/>
                <w:color w:val="000000"/>
                <w:sz w:val="20"/>
              </w:rPr>
              <w:t>HCID</w:t>
            </w:r>
          </w:p>
        </w:tc>
        <w:tc>
          <w:tcPr>
            <w:tcW w:type="dxa" w:w="4680"/>
          </w:tcPr>
          <w:p>
            <w:pPr>
              <w:spacing w:after="40" w:before="40"/>
            </w:pPr>
            <w:r>
              <w:rPr>
                <w:rFonts w:ascii="Calibri" w:hAnsi="Calibri"/>
                <w:b w:val="0"/>
                <w:color w:val="000000"/>
                <w:sz w:val="20"/>
              </w:rPr>
              <w:t>Health Care Identifier — a mandatory TEFCA entity identifier</w:t>
            </w:r>
          </w:p>
        </w:tc>
      </w:tr>
      <w:tr>
        <w:tc>
          <w:tcPr>
            <w:tcW w:type="dxa" w:w="4680"/>
            <w:shd w:val="clear" w:color="auto" w:fill="F2F5FA"/>
          </w:tcPr>
          <w:p>
            <w:pPr>
              <w:spacing w:after="40" w:before="40"/>
            </w:pPr>
            <w:r>
              <w:rPr>
                <w:rFonts w:ascii="Calibri" w:hAnsi="Calibri"/>
                <w:b/>
                <w:color w:val="000000"/>
                <w:sz w:val="20"/>
              </w:rPr>
              <w:t>HIPAA</w:t>
            </w:r>
          </w:p>
        </w:tc>
        <w:tc>
          <w:tcPr>
            <w:tcW w:type="dxa" w:w="4680"/>
            <w:shd w:val="clear" w:color="auto" w:fill="F2F5FA"/>
          </w:tcPr>
          <w:p>
            <w:pPr>
              <w:spacing w:after="40" w:before="40"/>
            </w:pPr>
            <w:r>
              <w:rPr>
                <w:rFonts w:ascii="Calibri" w:hAnsi="Calibri"/>
                <w:b w:val="0"/>
                <w:color w:val="000000"/>
                <w:sz w:val="20"/>
              </w:rPr>
              <w:t>Health Insurance Portability and Accountability Act — the federal law governing protected health information</w:t>
            </w:r>
          </w:p>
        </w:tc>
      </w:tr>
      <w:tr>
        <w:tc>
          <w:tcPr>
            <w:tcW w:type="dxa" w:w="4680"/>
          </w:tcPr>
          <w:p>
            <w:pPr>
              <w:spacing w:after="40" w:before="40"/>
            </w:pPr>
            <w:r>
              <w:rPr>
                <w:rFonts w:ascii="Calibri" w:hAnsi="Calibri"/>
                <w:b/>
                <w:color w:val="000000"/>
                <w:sz w:val="20"/>
              </w:rPr>
              <w:t>Human review</w:t>
            </w:r>
          </w:p>
        </w:tc>
        <w:tc>
          <w:tcPr>
            <w:tcW w:type="dxa" w:w="4680"/>
          </w:tcPr>
          <w:p>
            <w:pPr>
              <w:spacing w:after="40" w:before="40"/>
            </w:pPr>
            <w:r>
              <w:rPr>
                <w:rFonts w:ascii="Calibri" w:hAnsi="Calibri"/>
                <w:b w:val="0"/>
                <w:color w:val="000000"/>
                <w:sz w:val="20"/>
              </w:rPr>
              <w:t>A determination made by a qualified person. Required for everything except a clean, high-confidence, fully covered B1</w:t>
            </w:r>
          </w:p>
        </w:tc>
      </w:tr>
      <w:tr>
        <w:tc>
          <w:tcPr>
            <w:tcW w:type="dxa" w:w="4680"/>
            <w:shd w:val="clear" w:color="auto" w:fill="F2F5FA"/>
          </w:tcPr>
          <w:p>
            <w:pPr>
              <w:spacing w:after="40" w:before="40"/>
            </w:pPr>
            <w:r>
              <w:rPr>
                <w:rFonts w:ascii="Calibri" w:hAnsi="Calibri"/>
                <w:b/>
                <w:color w:val="000000"/>
                <w:sz w:val="20"/>
              </w:rPr>
              <w:t>Indeterminate</w:t>
            </w:r>
          </w:p>
        </w:tc>
        <w:tc>
          <w:tcPr>
            <w:tcW w:type="dxa" w:w="4680"/>
            <w:shd w:val="clear" w:color="auto" w:fill="F2F5FA"/>
          </w:tcPr>
          <w:p>
            <w:pPr>
              <w:spacing w:after="40" w:before="40"/>
            </w:pPr>
            <w:r>
              <w:rPr>
                <w:rFonts w:ascii="Calibri" w:hAnsi="Calibri"/>
                <w:b w:val="0"/>
                <w:color w:val="000000"/>
                <w:sz w:val="20"/>
              </w:rPr>
              <w:t>A result that cannot be trusted because a required source did not answer. Never auto-classified, never a pass</w:t>
            </w:r>
          </w:p>
        </w:tc>
      </w:tr>
      <w:tr>
        <w:tc>
          <w:tcPr>
            <w:tcW w:type="dxa" w:w="4680"/>
          </w:tcPr>
          <w:p>
            <w:pPr>
              <w:spacing w:after="40" w:before="40"/>
            </w:pPr>
            <w:r>
              <w:rPr>
                <w:rFonts w:ascii="Calibri" w:hAnsi="Calibri"/>
                <w:b/>
                <w:color w:val="000000"/>
                <w:sz w:val="20"/>
              </w:rPr>
              <w:t>Jaro-Winkler similarity</w:t>
            </w:r>
          </w:p>
        </w:tc>
        <w:tc>
          <w:tcPr>
            <w:tcW w:type="dxa" w:w="4680"/>
          </w:tcPr>
          <w:p>
            <w:pPr>
              <w:spacing w:after="40" w:before="40"/>
            </w:pPr>
            <w:r>
              <w:rPr>
                <w:rFonts w:ascii="Calibri" w:hAnsi="Calibri"/>
                <w:b w:val="0"/>
                <w:color w:val="000000"/>
                <w:sz w:val="20"/>
              </w:rPr>
              <w:t>A string-similarity measure from 0 to 1 that counts shared characters near the same position, penalizes reordering, and rewards a shared opening prefix. Used for organization name matching in ARC</w:t>
            </w:r>
          </w:p>
        </w:tc>
      </w:tr>
      <w:tr>
        <w:tc>
          <w:tcPr>
            <w:tcW w:type="dxa" w:w="4680"/>
            <w:shd w:val="clear" w:color="auto" w:fill="F2F5FA"/>
          </w:tcPr>
          <w:p>
            <w:pPr>
              <w:spacing w:after="40" w:before="40"/>
            </w:pPr>
            <w:r>
              <w:rPr>
                <w:rFonts w:ascii="Calibri" w:hAnsi="Calibri"/>
                <w:b/>
                <w:color w:val="000000"/>
                <w:sz w:val="20"/>
              </w:rPr>
              <w:t>Levenshtein distance</w:t>
            </w:r>
          </w:p>
        </w:tc>
        <w:tc>
          <w:tcPr>
            <w:tcW w:type="dxa" w:w="4680"/>
            <w:shd w:val="clear" w:color="auto" w:fill="F2F5FA"/>
          </w:tcPr>
          <w:p>
            <w:pPr>
              <w:spacing w:after="40" w:before="40"/>
            </w:pPr>
            <w:r>
              <w:rPr>
                <w:rFonts w:ascii="Calibri" w:hAnsi="Calibri"/>
                <w:b w:val="0"/>
                <w:color w:val="000000"/>
                <w:sz w:val="20"/>
              </w:rPr>
              <w:t>The number of single-character edits needed to turn one string into another. Used for name matching in the Registry module</w:t>
            </w:r>
          </w:p>
        </w:tc>
      </w:tr>
      <w:tr>
        <w:tc>
          <w:tcPr>
            <w:tcW w:type="dxa" w:w="4680"/>
          </w:tcPr>
          <w:p>
            <w:pPr>
              <w:spacing w:after="40" w:before="40"/>
            </w:pPr>
            <w:r>
              <w:rPr>
                <w:rFonts w:ascii="Calibri" w:hAnsi="Calibri"/>
                <w:b/>
                <w:color w:val="000000"/>
                <w:sz w:val="20"/>
              </w:rPr>
              <w:t>LEIE</w:t>
            </w:r>
          </w:p>
        </w:tc>
        <w:tc>
          <w:tcPr>
            <w:tcW w:type="dxa" w:w="4680"/>
          </w:tcPr>
          <w:p>
            <w:pPr>
              <w:spacing w:after="40" w:before="40"/>
            </w:pPr>
            <w:r>
              <w:rPr>
                <w:rFonts w:ascii="Calibri" w:hAnsi="Calibri"/>
                <w:b w:val="0"/>
                <w:color w:val="000000"/>
                <w:sz w:val="20"/>
              </w:rPr>
              <w:t>List of Excluded Individuals and Entities — the HHS OIG list of parties excluded from federal health care programs</w:t>
            </w:r>
          </w:p>
        </w:tc>
      </w:tr>
      <w:tr>
        <w:tc>
          <w:tcPr>
            <w:tcW w:type="dxa" w:w="4680"/>
            <w:shd w:val="clear" w:color="auto" w:fill="F2F5FA"/>
          </w:tcPr>
          <w:p>
            <w:pPr>
              <w:spacing w:after="40" w:before="40"/>
            </w:pPr>
            <w:r>
              <w:rPr>
                <w:rFonts w:ascii="Calibri" w:hAnsi="Calibri"/>
                <w:b/>
                <w:color w:val="000000"/>
                <w:sz w:val="20"/>
              </w:rPr>
              <w:t>NPI</w:t>
            </w:r>
          </w:p>
        </w:tc>
        <w:tc>
          <w:tcPr>
            <w:tcW w:type="dxa" w:w="4680"/>
            <w:shd w:val="clear" w:color="auto" w:fill="F2F5FA"/>
          </w:tcPr>
          <w:p>
            <w:pPr>
              <w:spacing w:after="40" w:before="40"/>
            </w:pPr>
            <w:r>
              <w:rPr>
                <w:rFonts w:ascii="Calibri" w:hAnsi="Calibri"/>
                <w:b w:val="0"/>
                <w:color w:val="000000"/>
                <w:sz w:val="20"/>
              </w:rPr>
              <w:t>National Provider Identifier — a ten-digit identifier for a health care provider, validated by a CMS check-digit algorithm</w:t>
            </w:r>
          </w:p>
        </w:tc>
      </w:tr>
      <w:tr>
        <w:tc>
          <w:tcPr>
            <w:tcW w:type="dxa" w:w="4680"/>
          </w:tcPr>
          <w:p>
            <w:pPr>
              <w:spacing w:after="40" w:before="40"/>
            </w:pPr>
            <w:r>
              <w:rPr>
                <w:rFonts w:ascii="Calibri" w:hAnsi="Calibri"/>
                <w:b/>
                <w:color w:val="000000"/>
                <w:sz w:val="20"/>
              </w:rPr>
              <w:t>NPPES</w:t>
            </w:r>
          </w:p>
        </w:tc>
        <w:tc>
          <w:tcPr>
            <w:tcW w:type="dxa" w:w="4680"/>
          </w:tcPr>
          <w:p>
            <w:pPr>
              <w:spacing w:after="40" w:before="40"/>
            </w:pPr>
            <w:r>
              <w:rPr>
                <w:rFonts w:ascii="Calibri" w:hAnsi="Calibri"/>
                <w:b w:val="0"/>
                <w:color w:val="000000"/>
                <w:sz w:val="20"/>
              </w:rPr>
              <w:t>National Plan and Provider Enumeration System — the CMS registry of NPIs. The platform's primary identity source</w:t>
            </w:r>
          </w:p>
        </w:tc>
      </w:tr>
      <w:tr>
        <w:tc>
          <w:tcPr>
            <w:tcW w:type="dxa" w:w="4680"/>
            <w:shd w:val="clear" w:color="auto" w:fill="F2F5FA"/>
          </w:tcPr>
          <w:p>
            <w:pPr>
              <w:spacing w:after="40" w:before="40"/>
            </w:pPr>
            <w:r>
              <w:rPr>
                <w:rFonts w:ascii="Calibri" w:hAnsi="Calibri"/>
                <w:b/>
                <w:color w:val="000000"/>
                <w:sz w:val="20"/>
              </w:rPr>
              <w:t>OIG</w:t>
            </w:r>
          </w:p>
        </w:tc>
        <w:tc>
          <w:tcPr>
            <w:tcW w:type="dxa" w:w="4680"/>
            <w:shd w:val="clear" w:color="auto" w:fill="F2F5FA"/>
          </w:tcPr>
          <w:p>
            <w:pPr>
              <w:spacing w:after="40" w:before="40"/>
            </w:pPr>
            <w:r>
              <w:rPr>
                <w:rFonts w:ascii="Calibri" w:hAnsi="Calibri"/>
                <w:b w:val="0"/>
                <w:color w:val="000000"/>
                <w:sz w:val="20"/>
              </w:rPr>
              <w:t>Office of Inspector General, HHS. Publishes the LEIE</w:t>
            </w:r>
          </w:p>
        </w:tc>
      </w:tr>
      <w:tr>
        <w:tc>
          <w:tcPr>
            <w:tcW w:type="dxa" w:w="4680"/>
          </w:tcPr>
          <w:p>
            <w:pPr>
              <w:spacing w:after="40" w:before="40"/>
            </w:pPr>
            <w:r>
              <w:rPr>
                <w:rFonts w:ascii="Calibri" w:hAnsi="Calibri"/>
                <w:b/>
                <w:color w:val="000000"/>
                <w:sz w:val="20"/>
              </w:rPr>
              <w:t>ONC / ASTP</w:t>
            </w:r>
          </w:p>
        </w:tc>
        <w:tc>
          <w:tcPr>
            <w:tcW w:type="dxa" w:w="4680"/>
          </w:tcPr>
          <w:p>
            <w:pPr>
              <w:spacing w:after="40" w:before="40"/>
            </w:pPr>
            <w:r>
              <w:rPr>
                <w:rFonts w:ascii="Calibri" w:hAnsi="Calibri"/>
                <w:b w:val="0"/>
                <w:color w:val="000000"/>
                <w:sz w:val="20"/>
              </w:rPr>
              <w:t>Office of the National Coordinator for Health Information Technology, now the Assistant Secretary for Technology Policy. The programme sponsor</w:t>
            </w:r>
          </w:p>
        </w:tc>
      </w:tr>
      <w:tr>
        <w:tc>
          <w:tcPr>
            <w:tcW w:type="dxa" w:w="4680"/>
            <w:shd w:val="clear" w:color="auto" w:fill="F2F5FA"/>
          </w:tcPr>
          <w:p>
            <w:pPr>
              <w:spacing w:after="40" w:before="40"/>
            </w:pPr>
            <w:r>
              <w:rPr>
                <w:rFonts w:ascii="Calibri" w:hAnsi="Calibri"/>
                <w:b/>
                <w:color w:val="000000"/>
                <w:sz w:val="20"/>
              </w:rPr>
              <w:t>Participant</w:t>
            </w:r>
          </w:p>
        </w:tc>
        <w:tc>
          <w:tcPr>
            <w:tcW w:type="dxa" w:w="4680"/>
            <w:shd w:val="clear" w:color="auto" w:fill="F2F5FA"/>
          </w:tcPr>
          <w:p>
            <w:pPr>
              <w:spacing w:after="40" w:before="40"/>
            </w:pPr>
            <w:r>
              <w:rPr>
                <w:rFonts w:ascii="Calibri" w:hAnsi="Calibri"/>
                <w:b w:val="0"/>
                <w:color w:val="000000"/>
                <w:sz w:val="20"/>
              </w:rPr>
              <w:t>A TEFCA entity that exchanges data through a QHIN</w:t>
            </w:r>
          </w:p>
        </w:tc>
      </w:tr>
      <w:tr>
        <w:tc>
          <w:tcPr>
            <w:tcW w:type="dxa" w:w="4680"/>
          </w:tcPr>
          <w:p>
            <w:pPr>
              <w:spacing w:after="40" w:before="40"/>
            </w:pPr>
            <w:r>
              <w:rPr>
                <w:rFonts w:ascii="Calibri" w:hAnsi="Calibri"/>
                <w:b/>
                <w:color w:val="000000"/>
                <w:sz w:val="20"/>
              </w:rPr>
              <w:t>PECOS</w:t>
            </w:r>
          </w:p>
        </w:tc>
        <w:tc>
          <w:tcPr>
            <w:tcW w:type="dxa" w:w="4680"/>
          </w:tcPr>
          <w:p>
            <w:pPr>
              <w:spacing w:after="40" w:before="40"/>
            </w:pPr>
            <w:r>
              <w:rPr>
                <w:rFonts w:ascii="Calibri" w:hAnsi="Calibri"/>
                <w:b w:val="0"/>
                <w:color w:val="000000"/>
                <w:sz w:val="20"/>
              </w:rPr>
              <w:t xml:space="preserve">Provider Enrollment, Chain and Ownership System — the CMS enrollment system. </w:t>
            </w:r>
            <w:r>
              <w:rPr>
                <w:rFonts w:ascii="Calibri" w:hAnsi="Calibri"/>
                <w:b/>
                <w:color w:val="000000"/>
                <w:sz w:val="20"/>
              </w:rPr>
              <w:t>The platform does not have a direct PECOS integration</w:t>
            </w:r>
            <w:r>
              <w:rPr>
                <w:rFonts w:ascii="Calibri" w:hAnsi="Calibri"/>
                <w:b w:val="0"/>
                <w:color w:val="000000"/>
                <w:sz w:val="20"/>
              </w:rPr>
              <w:t>; enrollment indicators come from CMS public data via the NPPES endpoint</w:t>
            </w:r>
          </w:p>
        </w:tc>
      </w:tr>
      <w:tr>
        <w:tc>
          <w:tcPr>
            <w:tcW w:type="dxa" w:w="4680"/>
            <w:shd w:val="clear" w:color="auto" w:fill="F2F5FA"/>
          </w:tcPr>
          <w:p>
            <w:pPr>
              <w:spacing w:after="40" w:before="40"/>
            </w:pPr>
            <w:r>
              <w:rPr>
                <w:rFonts w:ascii="Calibri" w:hAnsi="Calibri"/>
                <w:b/>
                <w:color w:val="000000"/>
                <w:sz w:val="20"/>
              </w:rPr>
              <w:t>PHI</w:t>
            </w:r>
          </w:p>
        </w:tc>
        <w:tc>
          <w:tcPr>
            <w:tcW w:type="dxa" w:w="4680"/>
            <w:shd w:val="clear" w:color="auto" w:fill="F2F5FA"/>
          </w:tcPr>
          <w:p>
            <w:pPr>
              <w:spacing w:after="40" w:before="40"/>
            </w:pPr>
            <w:r>
              <w:rPr>
                <w:rFonts w:ascii="Calibri" w:hAnsi="Calibri"/>
                <w:b w:val="0"/>
                <w:color w:val="000000"/>
                <w:sz w:val="20"/>
              </w:rPr>
              <w:t>Protected Health Information — individually identifiable health information governed by HIPAA. Never sent to any external service by this platform</w:t>
            </w:r>
          </w:p>
        </w:tc>
      </w:tr>
      <w:tr>
        <w:tc>
          <w:tcPr>
            <w:tcW w:type="dxa" w:w="4680"/>
          </w:tcPr>
          <w:p>
            <w:pPr>
              <w:spacing w:after="40" w:before="40"/>
            </w:pPr>
            <w:r>
              <w:rPr>
                <w:rFonts w:ascii="Calibri" w:hAnsi="Calibri"/>
                <w:b/>
                <w:color w:val="000000"/>
                <w:sz w:val="20"/>
              </w:rPr>
              <w:t>PII</w:t>
            </w:r>
          </w:p>
        </w:tc>
        <w:tc>
          <w:tcPr>
            <w:tcW w:type="dxa" w:w="4680"/>
          </w:tcPr>
          <w:p>
            <w:pPr>
              <w:spacing w:after="40" w:before="40"/>
            </w:pPr>
            <w:r>
              <w:rPr>
                <w:rFonts w:ascii="Calibri" w:hAnsi="Calibri"/>
                <w:b w:val="0"/>
                <w:color w:val="000000"/>
                <w:sz w:val="20"/>
              </w:rPr>
              <w:t>Personally Identifiable Information. Role-gated to reviewer and above</w:t>
            </w:r>
          </w:p>
        </w:tc>
      </w:tr>
      <w:tr>
        <w:tc>
          <w:tcPr>
            <w:tcW w:type="dxa" w:w="4680"/>
            <w:shd w:val="clear" w:color="auto" w:fill="F2F5FA"/>
          </w:tcPr>
          <w:p>
            <w:pPr>
              <w:spacing w:after="40" w:before="40"/>
            </w:pPr>
            <w:r>
              <w:rPr>
                <w:rFonts w:ascii="Calibri" w:hAnsi="Calibri"/>
                <w:b/>
                <w:color w:val="000000"/>
                <w:sz w:val="20"/>
              </w:rPr>
              <w:t>PROD</w:t>
            </w:r>
          </w:p>
        </w:tc>
        <w:tc>
          <w:tcPr>
            <w:tcW w:type="dxa" w:w="4680"/>
            <w:shd w:val="clear" w:color="auto" w:fill="F2F5FA"/>
          </w:tcPr>
          <w:p>
            <w:pPr>
              <w:spacing w:after="40" w:before="40"/>
            </w:pPr>
            <w:r>
              <w:rPr>
                <w:rFonts w:ascii="Calibri" w:hAnsi="Calibri"/>
                <w:b w:val="0"/>
                <w:color w:val="000000"/>
                <w:sz w:val="20"/>
              </w:rPr>
              <w:t>The production environment</w:t>
            </w:r>
          </w:p>
        </w:tc>
      </w:tr>
      <w:tr>
        <w:tc>
          <w:tcPr>
            <w:tcW w:type="dxa" w:w="4680"/>
          </w:tcPr>
          <w:p>
            <w:pPr>
              <w:spacing w:after="40" w:before="40"/>
            </w:pPr>
            <w:r>
              <w:rPr>
                <w:rFonts w:ascii="Calibri" w:hAnsi="Calibri"/>
                <w:b/>
                <w:color w:val="000000"/>
                <w:sz w:val="20"/>
              </w:rPr>
              <w:t>QHIN</w:t>
            </w:r>
          </w:p>
        </w:tc>
        <w:tc>
          <w:tcPr>
            <w:tcW w:type="dxa" w:w="4680"/>
          </w:tcPr>
          <w:p>
            <w:pPr>
              <w:spacing w:after="40" w:before="40"/>
            </w:pPr>
            <w:r>
              <w:rPr>
                <w:rFonts w:ascii="Calibri" w:hAnsi="Calibri"/>
                <w:b w:val="0"/>
                <w:color w:val="000000"/>
                <w:sz w:val="20"/>
              </w:rPr>
              <w:t>Qualified Health Information Network — a top-level TEFCA entity that connects Participants</w:t>
            </w:r>
          </w:p>
        </w:tc>
      </w:tr>
      <w:tr>
        <w:tc>
          <w:tcPr>
            <w:tcW w:type="dxa" w:w="4680"/>
            <w:shd w:val="clear" w:color="auto" w:fill="F2F5FA"/>
          </w:tcPr>
          <w:p>
            <w:pPr>
              <w:spacing w:after="40" w:before="40"/>
            </w:pPr>
            <w:r>
              <w:rPr>
                <w:rFonts w:ascii="Calibri" w:hAnsi="Calibri"/>
                <w:b/>
                <w:color w:val="000000"/>
                <w:sz w:val="20"/>
              </w:rPr>
              <w:t>RBAC</w:t>
            </w:r>
          </w:p>
        </w:tc>
        <w:tc>
          <w:tcPr>
            <w:tcW w:type="dxa" w:w="4680"/>
            <w:shd w:val="clear" w:color="auto" w:fill="F2F5FA"/>
          </w:tcPr>
          <w:p>
            <w:pPr>
              <w:spacing w:after="40" w:before="40"/>
            </w:pPr>
            <w:r>
              <w:rPr>
                <w:rFonts w:ascii="Calibri" w:hAnsi="Calibri"/>
                <w:b w:val="0"/>
                <w:color w:val="000000"/>
                <w:sz w:val="20"/>
              </w:rPr>
              <w:t>Role-Based Access Control — permissions granted by role rather than individually</w:t>
            </w:r>
          </w:p>
        </w:tc>
      </w:tr>
      <w:tr>
        <w:tc>
          <w:tcPr>
            <w:tcW w:type="dxa" w:w="4680"/>
          </w:tcPr>
          <w:p>
            <w:pPr>
              <w:spacing w:after="40" w:before="40"/>
            </w:pPr>
            <w:r>
              <w:rPr>
                <w:rFonts w:ascii="Calibri" w:hAnsi="Calibri"/>
                <w:b/>
                <w:color w:val="000000"/>
                <w:sz w:val="20"/>
              </w:rPr>
              <w:t>RCE</w:t>
            </w:r>
          </w:p>
        </w:tc>
        <w:tc>
          <w:tcPr>
            <w:tcW w:type="dxa" w:w="4680"/>
          </w:tcPr>
          <w:p>
            <w:pPr>
              <w:spacing w:after="40" w:before="40"/>
            </w:pPr>
            <w:r>
              <w:rPr>
                <w:rFonts w:ascii="Calibri" w:hAnsi="Calibri"/>
                <w:b w:val="0"/>
                <w:color w:val="000000"/>
                <w:sz w:val="20"/>
              </w:rPr>
              <w:t>Recognized Coordinating Entity — The Sequoia Project, which administers TEFCA. Not currently integrated</w:t>
            </w:r>
          </w:p>
        </w:tc>
      </w:tr>
      <w:tr>
        <w:tc>
          <w:tcPr>
            <w:tcW w:type="dxa" w:w="4680"/>
            <w:shd w:val="clear" w:color="auto" w:fill="F2F5FA"/>
          </w:tcPr>
          <w:p>
            <w:pPr>
              <w:spacing w:after="40" w:before="40"/>
            </w:pPr>
            <w:r>
              <w:rPr>
                <w:rFonts w:ascii="Calibri" w:hAnsi="Calibri"/>
                <w:b/>
                <w:color w:val="000000"/>
                <w:sz w:val="20"/>
              </w:rPr>
              <w:t>SAM.gov</w:t>
            </w:r>
          </w:p>
        </w:tc>
        <w:tc>
          <w:tcPr>
            <w:tcW w:type="dxa" w:w="4680"/>
            <w:shd w:val="clear" w:color="auto" w:fill="F2F5FA"/>
          </w:tcPr>
          <w:p>
            <w:pPr>
              <w:spacing w:after="40" w:before="40"/>
            </w:pPr>
            <w:r>
              <w:rPr>
                <w:rFonts w:ascii="Calibri" w:hAnsi="Calibri"/>
                <w:b w:val="0"/>
                <w:color w:val="000000"/>
                <w:sz w:val="20"/>
              </w:rPr>
              <w:t>System for Award Management — the GSA registry of federal registrations, exclusions, and debarments. Currently non-functional upstream</w:t>
            </w:r>
          </w:p>
        </w:tc>
      </w:tr>
      <w:tr>
        <w:tc>
          <w:tcPr>
            <w:tcW w:type="dxa" w:w="4680"/>
          </w:tcPr>
          <w:p>
            <w:pPr>
              <w:spacing w:after="40" w:before="40"/>
            </w:pPr>
            <w:r>
              <w:rPr>
                <w:rFonts w:ascii="Calibri" w:hAnsi="Calibri"/>
                <w:b/>
                <w:color w:val="000000"/>
                <w:sz w:val="20"/>
              </w:rPr>
              <w:t>Sample</w:t>
            </w:r>
          </w:p>
        </w:tc>
        <w:tc>
          <w:tcPr>
            <w:tcW w:type="dxa" w:w="4680"/>
          </w:tcPr>
          <w:p>
            <w:pPr>
              <w:spacing w:after="40" w:before="40"/>
            </w:pPr>
            <w:r>
              <w:rPr>
                <w:rFonts w:ascii="Calibri" w:hAnsi="Calibri"/>
                <w:b w:val="0"/>
                <w:color w:val="000000"/>
                <w:sz w:val="20"/>
              </w:rPr>
              <w:t>The subset of the entity population selected for review in a cycle</w:t>
            </w:r>
          </w:p>
        </w:tc>
      </w:tr>
      <w:tr>
        <w:tc>
          <w:tcPr>
            <w:tcW w:type="dxa" w:w="4680"/>
            <w:shd w:val="clear" w:color="auto" w:fill="F2F5FA"/>
          </w:tcPr>
          <w:p>
            <w:pPr>
              <w:spacing w:after="40" w:before="40"/>
            </w:pPr>
            <w:r>
              <w:rPr>
                <w:rFonts w:ascii="Calibri" w:hAnsi="Calibri"/>
                <w:b/>
                <w:color w:val="000000"/>
                <w:sz w:val="20"/>
              </w:rPr>
              <w:t>Seed</w:t>
            </w:r>
          </w:p>
        </w:tc>
        <w:tc>
          <w:tcPr>
            <w:tcW w:type="dxa" w:w="4680"/>
            <w:shd w:val="clear" w:color="auto" w:fill="F2F5FA"/>
          </w:tcPr>
          <w:p>
            <w:pPr>
              <w:spacing w:after="40" w:before="40"/>
            </w:pPr>
            <w:r>
              <w:rPr>
                <w:rFonts w:ascii="Calibri" w:hAnsi="Calibri"/>
                <w:b w:val="0"/>
                <w:color w:val="000000"/>
                <w:sz w:val="20"/>
              </w:rPr>
              <w:t>The value that makes a random sample reproducible. Stored with every sample so a draw can be checked</w:t>
            </w:r>
          </w:p>
        </w:tc>
      </w:tr>
      <w:tr>
        <w:tc>
          <w:tcPr>
            <w:tcW w:type="dxa" w:w="4680"/>
          </w:tcPr>
          <w:p>
            <w:pPr>
              <w:spacing w:after="40" w:before="40"/>
            </w:pPr>
            <w:r>
              <w:rPr>
                <w:rFonts w:ascii="Calibri" w:hAnsi="Calibri"/>
                <w:b/>
                <w:color w:val="000000"/>
                <w:sz w:val="20"/>
              </w:rPr>
              <w:t>SLA band</w:t>
            </w:r>
          </w:p>
        </w:tc>
        <w:tc>
          <w:tcPr>
            <w:tcW w:type="dxa" w:w="4680"/>
          </w:tcPr>
          <w:p>
            <w:pPr>
              <w:spacing w:after="40" w:before="40"/>
            </w:pPr>
            <w:r>
              <w:rPr>
                <w:rFonts w:ascii="Calibri" w:hAnsi="Calibri"/>
                <w:b w:val="0"/>
                <w:color w:val="000000"/>
                <w:sz w:val="20"/>
              </w:rPr>
              <w:t>on_track, at_risk, or overdue — derived from the review due date</w:t>
            </w:r>
          </w:p>
        </w:tc>
      </w:tr>
      <w:tr>
        <w:tc>
          <w:tcPr>
            <w:tcW w:type="dxa" w:w="4680"/>
            <w:shd w:val="clear" w:color="auto" w:fill="F2F5FA"/>
          </w:tcPr>
          <w:p>
            <w:pPr>
              <w:spacing w:after="40" w:before="40"/>
            </w:pPr>
            <w:r>
              <w:rPr>
                <w:rFonts w:ascii="Calibri" w:hAnsi="Calibri"/>
                <w:b/>
                <w:color w:val="000000"/>
                <w:sz w:val="20"/>
              </w:rPr>
              <w:t>Source state</w:t>
            </w:r>
          </w:p>
        </w:tc>
        <w:tc>
          <w:tcPr>
            <w:tcW w:type="dxa" w:w="4680"/>
            <w:shd w:val="clear" w:color="auto" w:fill="F2F5FA"/>
          </w:tcPr>
          <w:p>
            <w:pPr>
              <w:spacing w:after="40" w:before="40"/>
            </w:pPr>
            <w:r>
              <w:rPr>
                <w:rFonts w:ascii="Calibri" w:hAnsi="Calibri"/>
                <w:b w:val="0"/>
                <w:color w:val="000000"/>
                <w:sz w:val="20"/>
              </w:rPr>
              <w:t>One of five: verified, not_found, not_checked, unavailable, failed</w:t>
            </w:r>
          </w:p>
        </w:tc>
      </w:tr>
      <w:tr>
        <w:tc>
          <w:tcPr>
            <w:tcW w:type="dxa" w:w="4680"/>
          </w:tcPr>
          <w:p>
            <w:pPr>
              <w:spacing w:after="40" w:before="40"/>
            </w:pPr>
            <w:r>
              <w:rPr>
                <w:rFonts w:ascii="Calibri" w:hAnsi="Calibri"/>
                <w:b/>
                <w:color w:val="000000"/>
                <w:sz w:val="20"/>
              </w:rPr>
              <w:t>SSP</w:t>
            </w:r>
          </w:p>
        </w:tc>
        <w:tc>
          <w:tcPr>
            <w:tcW w:type="dxa" w:w="4680"/>
          </w:tcPr>
          <w:p>
            <w:pPr>
              <w:spacing w:after="40" w:before="40"/>
            </w:pPr>
            <w:r>
              <w:rPr>
                <w:rFonts w:ascii="Calibri" w:hAnsi="Calibri"/>
                <w:b w:val="0"/>
                <w:color w:val="000000"/>
                <w:sz w:val="20"/>
              </w:rPr>
              <w:t>System Security Plan — the document describing a system's security controls</w:t>
            </w:r>
          </w:p>
        </w:tc>
      </w:tr>
      <w:tr>
        <w:tc>
          <w:tcPr>
            <w:tcW w:type="dxa" w:w="4680"/>
            <w:shd w:val="clear" w:color="auto" w:fill="F2F5FA"/>
          </w:tcPr>
          <w:p>
            <w:pPr>
              <w:spacing w:after="40" w:before="40"/>
            </w:pPr>
            <w:r>
              <w:rPr>
                <w:rFonts w:ascii="Calibri" w:hAnsi="Calibri"/>
                <w:b/>
                <w:color w:val="000000"/>
                <w:sz w:val="20"/>
              </w:rPr>
              <w:t>Subparticipant</w:t>
            </w:r>
          </w:p>
        </w:tc>
        <w:tc>
          <w:tcPr>
            <w:tcW w:type="dxa" w:w="4680"/>
            <w:shd w:val="clear" w:color="auto" w:fill="F2F5FA"/>
          </w:tcPr>
          <w:p>
            <w:pPr>
              <w:spacing w:after="40" w:before="40"/>
            </w:pPr>
            <w:r>
              <w:rPr>
                <w:rFonts w:ascii="Calibri" w:hAnsi="Calibri"/>
                <w:b w:val="0"/>
                <w:color w:val="000000"/>
                <w:sz w:val="20"/>
              </w:rPr>
              <w:t>A TEFCA entity that exchanges data through a Participant</w:t>
            </w:r>
          </w:p>
        </w:tc>
      </w:tr>
      <w:tr>
        <w:tc>
          <w:tcPr>
            <w:tcW w:type="dxa" w:w="4680"/>
          </w:tcPr>
          <w:p>
            <w:pPr>
              <w:spacing w:after="40" w:before="40"/>
            </w:pPr>
            <w:r>
              <w:rPr>
                <w:rFonts w:ascii="Calibri" w:hAnsi="Calibri"/>
                <w:b/>
                <w:color w:val="000000"/>
                <w:sz w:val="20"/>
              </w:rPr>
              <w:t>Taxonomy code</w:t>
            </w:r>
          </w:p>
        </w:tc>
        <w:tc>
          <w:tcPr>
            <w:tcW w:type="dxa" w:w="4680"/>
          </w:tcPr>
          <w:p>
            <w:pPr>
              <w:spacing w:after="40" w:before="40"/>
            </w:pPr>
            <w:r>
              <w:rPr>
                <w:rFonts w:ascii="Calibri" w:hAnsi="Calibri"/>
                <w:b w:val="0"/>
                <w:color w:val="000000"/>
                <w:sz w:val="20"/>
              </w:rPr>
              <w:t>The standard code describing a provider's type and specialization, held in NPPES</w:t>
            </w:r>
          </w:p>
        </w:tc>
      </w:tr>
      <w:tr>
        <w:tc>
          <w:tcPr>
            <w:tcW w:type="dxa" w:w="4680"/>
            <w:shd w:val="clear" w:color="auto" w:fill="F2F5FA"/>
          </w:tcPr>
          <w:p>
            <w:pPr>
              <w:spacing w:after="40" w:before="40"/>
            </w:pPr>
            <w:r>
              <w:rPr>
                <w:rFonts w:ascii="Calibri" w:hAnsi="Calibri"/>
                <w:b/>
                <w:color w:val="000000"/>
                <w:sz w:val="20"/>
              </w:rPr>
              <w:t>TEFCA</w:t>
            </w:r>
          </w:p>
        </w:tc>
        <w:tc>
          <w:tcPr>
            <w:tcW w:type="dxa" w:w="4680"/>
            <w:shd w:val="clear" w:color="auto" w:fill="F2F5FA"/>
          </w:tcPr>
          <w:p>
            <w:pPr>
              <w:spacing w:after="40" w:before="40"/>
            </w:pPr>
            <w:r>
              <w:rPr>
                <w:rFonts w:ascii="Calibri" w:hAnsi="Calibri"/>
                <w:b w:val="0"/>
                <w:color w:val="000000"/>
                <w:sz w:val="20"/>
              </w:rPr>
              <w:t>Trusted Exchange Framework and Common Agreement — the national framework for health information exchange</w:t>
            </w:r>
          </w:p>
        </w:tc>
      </w:tr>
      <w:tr>
        <w:tc>
          <w:tcPr>
            <w:tcW w:type="dxa" w:w="4680"/>
          </w:tcPr>
          <w:p>
            <w:pPr>
              <w:spacing w:after="40" w:before="40"/>
            </w:pPr>
            <w:r>
              <w:rPr>
                <w:rFonts w:ascii="Calibri" w:hAnsi="Calibri"/>
                <w:b/>
                <w:color w:val="000000"/>
                <w:sz w:val="20"/>
              </w:rPr>
              <w:t>TEFCAID</w:t>
            </w:r>
          </w:p>
        </w:tc>
        <w:tc>
          <w:tcPr>
            <w:tcW w:type="dxa" w:w="4680"/>
          </w:tcPr>
          <w:p>
            <w:pPr>
              <w:spacing w:after="40" w:before="40"/>
            </w:pPr>
            <w:r>
              <w:rPr>
                <w:rFonts w:ascii="Calibri" w:hAnsi="Calibri"/>
                <w:b w:val="0"/>
                <w:color w:val="000000"/>
                <w:sz w:val="20"/>
              </w:rPr>
              <w:t>The mandatory TEFCA entity identifier</w:t>
            </w:r>
          </w:p>
        </w:tc>
      </w:tr>
      <w:tr>
        <w:tc>
          <w:tcPr>
            <w:tcW w:type="dxa" w:w="4680"/>
            <w:shd w:val="clear" w:color="auto" w:fill="F2F5FA"/>
          </w:tcPr>
          <w:p>
            <w:pPr>
              <w:spacing w:after="40" w:before="40"/>
            </w:pPr>
            <w:r>
              <w:rPr>
                <w:rFonts w:ascii="Calibri" w:hAnsi="Calibri"/>
                <w:b/>
                <w:color w:val="000000"/>
                <w:sz w:val="20"/>
              </w:rPr>
              <w:t>Tier 1 / 2 / 3</w:t>
            </w:r>
          </w:p>
        </w:tc>
        <w:tc>
          <w:tcPr>
            <w:tcW w:type="dxa" w:w="4680"/>
            <w:shd w:val="clear" w:color="auto" w:fill="F2F5FA"/>
          </w:tcPr>
          <w:p>
            <w:pPr>
              <w:spacing w:after="40" w:before="40"/>
            </w:pPr>
            <w:r>
              <w:rPr>
                <w:rFonts w:ascii="Calibri" w:hAnsi="Calibri"/>
                <w:b w:val="0"/>
                <w:color w:val="000000"/>
                <w:sz w:val="20"/>
              </w:rPr>
              <w:t>Review routing: auto-complete, analyst review, escalation</w:t>
            </w:r>
          </w:p>
        </w:tc>
      </w:tr>
      <w:tr>
        <w:tc>
          <w:tcPr>
            <w:tcW w:type="dxa" w:w="4680"/>
          </w:tcPr>
          <w:p>
            <w:pPr>
              <w:spacing w:after="40" w:before="40"/>
            </w:pPr>
            <w:r>
              <w:rPr>
                <w:rFonts w:ascii="Calibri" w:hAnsi="Calibri"/>
                <w:b/>
                <w:color w:val="000000"/>
                <w:sz w:val="20"/>
              </w:rPr>
              <w:t>UEI</w:t>
            </w:r>
          </w:p>
        </w:tc>
        <w:tc>
          <w:tcPr>
            <w:tcW w:type="dxa" w:w="4680"/>
          </w:tcPr>
          <w:p>
            <w:pPr>
              <w:spacing w:after="40" w:before="40"/>
            </w:pPr>
            <w:r>
              <w:rPr>
                <w:rFonts w:ascii="Calibri" w:hAnsi="Calibri"/>
                <w:b w:val="0"/>
                <w:color w:val="000000"/>
                <w:sz w:val="20"/>
              </w:rPr>
              <w:t>Unique Entity Identifier — the federal award identifier issued through SAM.gov</w:t>
            </w:r>
          </w:p>
        </w:tc>
      </w:tr>
      <w:tr>
        <w:tc>
          <w:tcPr>
            <w:tcW w:type="dxa" w:w="4680"/>
            <w:shd w:val="clear" w:color="auto" w:fill="F2F5FA"/>
          </w:tcPr>
          <w:p>
            <w:pPr>
              <w:spacing w:after="40" w:before="40"/>
            </w:pPr>
            <w:r>
              <w:rPr>
                <w:rFonts w:ascii="Calibri" w:hAnsi="Calibri"/>
                <w:b/>
                <w:color w:val="000000"/>
                <w:sz w:val="20"/>
              </w:rPr>
              <w:t>USPS Publication 28</w:t>
            </w:r>
          </w:p>
        </w:tc>
        <w:tc>
          <w:tcPr>
            <w:tcW w:type="dxa" w:w="4680"/>
            <w:shd w:val="clear" w:color="auto" w:fill="F2F5FA"/>
          </w:tcPr>
          <w:p>
            <w:pPr>
              <w:spacing w:after="40" w:before="40"/>
            </w:pPr>
            <w:r>
              <w:rPr>
                <w:rFonts w:ascii="Calibri" w:hAnsi="Calibri"/>
                <w:b w:val="0"/>
                <w:color w:val="000000"/>
                <w:sz w:val="20"/>
              </w:rPr>
              <w:t>The USPS standard for addressing. Its abbreviation and formatting rules are implemented in the code-only address normalizer</w:t>
            </w:r>
          </w:p>
        </w:tc>
      </w:tr>
      <w:tr>
        <w:tc>
          <w:tcPr>
            <w:tcW w:type="dxa" w:w="4680"/>
          </w:tcPr>
          <w:p>
            <w:pPr>
              <w:spacing w:after="40" w:before="40"/>
            </w:pPr>
            <w:r>
              <w:rPr>
                <w:rFonts w:ascii="Calibri" w:hAnsi="Calibri"/>
                <w:b/>
                <w:color w:val="000000"/>
                <w:sz w:val="20"/>
              </w:rPr>
              <w:t>Verification</w:t>
            </w:r>
          </w:p>
        </w:tc>
        <w:tc>
          <w:tcPr>
            <w:tcW w:type="dxa" w:w="4680"/>
          </w:tcPr>
          <w:p>
            <w:pPr>
              <w:spacing w:after="40" w:before="40"/>
            </w:pPr>
            <w:r>
              <w:rPr>
                <w:rFonts w:ascii="Calibri" w:hAnsi="Calibri"/>
                <w:b w:val="0"/>
                <w:color w:val="000000"/>
                <w:sz w:val="20"/>
              </w:rPr>
              <w:t>Confirming a fact against an authoritative source. Distinct from the Registry's internal structural checks</w:t>
            </w:r>
          </w:p>
        </w:tc>
      </w:tr>
    </w:tbl>
    <w:p>
      <w:pPr>
        <w:spacing w:after="80"/>
      </w:pPr>
    </w:p>
    <w:p>
      <w:pPr>
        <w:pStyle w:val="Heading2"/>
        <w:keepNext/>
        <w:spacing w:before="200" w:after="120"/>
        <w:outlineLvl w:val="1"/>
      </w:pPr>
      <w:r>
        <w:rPr>
          <w:rFonts w:ascii="Calibri" w:hAnsi="Calibri"/>
          <w:b/>
          <w:color w:val="003087"/>
          <w:sz w:val="25"/>
        </w:rPr>
        <w:t>Document control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pPr>
              <w:spacing w:after="40" w:before="40"/>
            </w:pPr>
            <w:r>
              <w:rPr>
                <w:rFonts w:ascii="Calibri" w:hAnsi="Calibri"/>
                <w:b/>
                <w:color w:val="FFFFFF"/>
                <w:sz w:val="20"/>
              </w:rPr>
              <w:t>Title</w:t>
            </w:r>
          </w:p>
        </w:tc>
        <w:tc>
          <w:tcPr>
            <w:tcW w:type="dxa" w:w="4680"/>
            <w:shd w:val="clear" w:color="auto" w:fill="003087"/>
          </w:tcPr>
          <w:p>
            <w:pPr>
              <w:spacing w:after="40" w:before="40"/>
            </w:pPr>
            <w:r>
              <w:rPr>
                <w:rFonts w:ascii="Calibri" w:hAnsi="Calibri"/>
                <w:b/>
                <w:color w:val="FFFFFF"/>
                <w:sz w:val="20"/>
              </w:rPr>
              <w:t>DocuAction TEFCA — User &amp; Operations Guide</w:t>
            </w:r>
          </w:p>
        </w:tc>
      </w:tr>
      <w:tr>
        <w:tc>
          <w:tcPr>
            <w:tcW w:type="dxa" w:w="4680"/>
          </w:tcPr>
          <w:p>
            <w:pPr>
              <w:spacing w:after="40" w:before="40"/>
            </w:pPr>
            <w:r>
              <w:rPr>
                <w:rFonts w:ascii="Calibri" w:hAnsi="Calibri"/>
                <w:b/>
                <w:color w:val="000000"/>
                <w:sz w:val="20"/>
              </w:rPr>
              <w:t>Version</w:t>
            </w:r>
          </w:p>
        </w:tc>
        <w:tc>
          <w:tcPr>
            <w:tcW w:type="dxa" w:w="4680"/>
          </w:tcPr>
          <w:p>
            <w:pPr>
              <w:spacing w:after="40" w:before="40"/>
            </w:pPr>
            <w:r>
              <w:rPr>
                <w:rFonts w:ascii="Calibri" w:hAnsi="Calibri"/>
                <w:b w:val="0"/>
                <w:color w:val="000000"/>
                <w:sz w:val="20"/>
              </w:rPr>
              <w:t>1.0</w:t>
            </w:r>
          </w:p>
        </w:tc>
      </w:tr>
      <w:tr>
        <w:tc>
          <w:tcPr>
            <w:tcW w:type="dxa" w:w="4680"/>
            <w:shd w:val="clear" w:color="auto" w:fill="F2F5FA"/>
          </w:tcPr>
          <w:p>
            <w:pPr>
              <w:spacing w:after="40" w:before="40"/>
            </w:pPr>
            <w:r>
              <w:rPr>
                <w:rFonts w:ascii="Calibri" w:hAnsi="Calibri"/>
                <w:b/>
                <w:color w:val="000000"/>
                <w:sz w:val="20"/>
              </w:rPr>
              <w:t>Date</w:t>
            </w:r>
          </w:p>
        </w:tc>
        <w:tc>
          <w:tcPr>
            <w:tcW w:type="dxa" w:w="4680"/>
            <w:shd w:val="clear" w:color="auto" w:fill="F2F5FA"/>
          </w:tcPr>
          <w:p>
            <w:pPr>
              <w:spacing w:after="40" w:before="40"/>
            </w:pPr>
            <w:r>
              <w:rPr>
                <w:rFonts w:ascii="Calibri" w:hAnsi="Calibri"/>
                <w:b w:val="0"/>
                <w:color w:val="000000"/>
                <w:sz w:val="20"/>
              </w:rPr>
              <w:t>10 August 2026</w:t>
            </w:r>
          </w:p>
        </w:tc>
      </w:tr>
      <w:tr>
        <w:tc>
          <w:tcPr>
            <w:tcW w:type="dxa" w:w="4680"/>
          </w:tcPr>
          <w:p>
            <w:pPr>
              <w:spacing w:after="40" w:before="40"/>
            </w:pPr>
            <w:r>
              <w:rPr>
                <w:rFonts w:ascii="Calibri" w:hAnsi="Calibri"/>
                <w:b/>
                <w:color w:val="000000"/>
                <w:sz w:val="20"/>
              </w:rPr>
              <w:t>Contract</w:t>
            </w:r>
          </w:p>
        </w:tc>
        <w:tc>
          <w:tcPr>
            <w:tcW w:type="dxa" w:w="4680"/>
          </w:tcPr>
          <w:p>
            <w:pPr>
              <w:spacing w:after="40" w:before="40"/>
            </w:pPr>
            <w:r>
              <w:rPr>
                <w:rFonts w:ascii="Calibri" w:hAnsi="Calibri"/>
                <w:b w:val="0"/>
                <w:color w:val="000000"/>
                <w:sz w:val="20"/>
              </w:rPr>
              <w:t>7571MN26F80064 — TEFCA Audit, Review &amp; Compliance</w:t>
            </w:r>
          </w:p>
        </w:tc>
      </w:tr>
      <w:tr>
        <w:tc>
          <w:tcPr>
            <w:tcW w:type="dxa" w:w="4680"/>
            <w:shd w:val="clear" w:color="auto" w:fill="F2F5FA"/>
          </w:tcPr>
          <w:p>
            <w:pPr>
              <w:spacing w:after="40" w:before="40"/>
            </w:pPr>
            <w:r>
              <w:rPr>
                <w:rFonts w:ascii="Calibri" w:hAnsi="Calibri"/>
                <w:b/>
                <w:color w:val="000000"/>
                <w:sz w:val="20"/>
              </w:rPr>
              <w:t>Contractor</w:t>
            </w:r>
          </w:p>
        </w:tc>
        <w:tc>
          <w:tcPr>
            <w:tcW w:type="dxa" w:w="4680"/>
            <w:shd w:val="clear" w:color="auto" w:fill="F2F5FA"/>
          </w:tcPr>
          <w:p>
            <w:pPr>
              <w:spacing w:after="40" w:before="40"/>
            </w:pPr>
            <w:r>
              <w:rPr>
                <w:rFonts w:ascii="Calibri" w:hAnsi="Calibri"/>
                <w:b w:val="0"/>
                <w:color w:val="000000"/>
                <w:sz w:val="20"/>
              </w:rPr>
              <w:t>Alliance Global Tech, Inc.</w:t>
            </w:r>
          </w:p>
        </w:tc>
      </w:tr>
      <w:tr>
        <w:tc>
          <w:tcPr>
            <w:tcW w:type="dxa" w:w="4680"/>
          </w:tcPr>
          <w:p>
            <w:pPr>
              <w:spacing w:after="40" w:before="40"/>
            </w:pPr>
            <w:r>
              <w:rPr>
                <w:rFonts w:ascii="Calibri" w:hAnsi="Calibri"/>
                <w:b/>
                <w:color w:val="000000"/>
                <w:sz w:val="20"/>
              </w:rPr>
              <w:t>Classification</w:t>
            </w:r>
          </w:p>
        </w:tc>
        <w:tc>
          <w:tcPr>
            <w:tcW w:type="dxa" w:w="4680"/>
          </w:tcPr>
          <w:p>
            <w:pPr>
              <w:spacing w:after="40" w:before="40"/>
            </w:pPr>
            <w:r>
              <w:rPr>
                <w:rFonts w:ascii="Calibri" w:hAnsi="Calibri"/>
                <w:b w:val="0"/>
                <w:color w:val="000000"/>
                <w:sz w:val="20"/>
              </w:rPr>
              <w:t>CONFIDENTIAL — Internal &amp; Government Use</w:t>
            </w:r>
          </w:p>
        </w:tc>
      </w:tr>
      <w:tr>
        <w:tc>
          <w:tcPr>
            <w:tcW w:type="dxa" w:w="4680"/>
            <w:shd w:val="clear" w:color="auto" w:fill="F2F5FA"/>
          </w:tcPr>
          <w:p>
            <w:pPr>
              <w:spacing w:after="40" w:before="40"/>
            </w:pPr>
            <w:r>
              <w:rPr>
                <w:rFonts w:ascii="Calibri" w:hAnsi="Calibri"/>
                <w:b/>
                <w:color w:val="000000"/>
                <w:sz w:val="20"/>
              </w:rPr>
              <w:t>Basis</w:t>
            </w:r>
          </w:p>
        </w:tc>
        <w:tc>
          <w:tcPr>
            <w:tcW w:type="dxa" w:w="4680"/>
            <w:shd w:val="clear" w:color="auto" w:fill="F2F5FA"/>
          </w:tcPr>
          <w:p>
            <w:pPr>
              <w:spacing w:after="40" w:before="40"/>
            </w:pPr>
            <w:r>
              <w:rPr>
                <w:rFonts w:ascii="Calibri" w:hAnsi="Calibri"/>
                <w:b w:val="0"/>
                <w:color w:val="000000"/>
                <w:sz w:val="20"/>
              </w:rPr>
              <w:t>Written from inspection of the running application: source code, configuration, database models, API routes, connectors, live production endpoints, and Azure environment configuration, as at 10 August 2026</w:t>
            </w:r>
          </w:p>
        </w:tc>
      </w:tr>
      <w:tr>
        <w:tc>
          <w:tcPr>
            <w:tcW w:type="dxa" w:w="4680"/>
          </w:tcPr>
          <w:p>
            <w:pPr>
              <w:spacing w:after="40" w:before="40"/>
            </w:pPr>
            <w:r>
              <w:rPr>
                <w:rFonts w:ascii="Calibri" w:hAnsi="Calibri"/>
                <w:b/>
                <w:color w:val="000000"/>
                <w:sz w:val="20"/>
              </w:rPr>
              <w:t>Review trigger</w:t>
            </w:r>
          </w:p>
        </w:tc>
        <w:tc>
          <w:tcPr>
            <w:tcW w:type="dxa" w:w="4680"/>
          </w:tcPr>
          <w:p>
            <w:pPr>
              <w:spacing w:after="40" w:before="40"/>
            </w:pPr>
            <w:r>
              <w:rPr>
                <w:rFonts w:ascii="Calibri" w:hAnsi="Calibri"/>
                <w:b w:val="0"/>
                <w:color w:val="000000"/>
                <w:sz w:val="20"/>
              </w:rPr>
              <w:t>Re-issue when ONC entity population data is received, when SAM.gov is restored, when AI entity resolution is enabled, or when the dashboard status model is revised</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444"/>
        <w:sz w:val="16"/>
      </w:rPr>
      <w:t xml:space="preserve">Alliance Global Tech, Inc. | Contract 7571MN26F80064 | CONFIDENTIAL | Page </w:t>
    </w:r>
    <w:r>
      <w:fldChar w:fldCharType="begin"/>
    </w:r>
    <w:r>
      <w:instrText xml:space="preserve">PAGE</w:instrText>
    </w:r>
    <w:r>
      <w:fldChar w:fldCharType="separate"/>
    </w:r>
    <w:r>
      <w:rPr>
        <w:rFonts w:ascii="Calibri" w:hAnsi="Calibri"/>
        <w:color w:val="444444"/>
        <w:sz w:val="16"/>
      </w:rPr>
      <w:t>1</w:t>
    </w:r>
    <w:r>
      <w:fldChar w:fldCharType="end"/>
    </w:r>
    <w:r>
      <w:rPr>
        <w:rFonts w:ascii="Calibri" w:hAnsi="Calibri"/>
        <w:color w:val="444444"/>
        <w:sz w:val="16"/>
      </w:rPr>
      <w:t xml:space="preserve"> of </w:t>
    </w:r>
    <w:r>
      <w:fldChar w:fldCharType="begin"/>
    </w:r>
    <w:r>
      <w:instrText xml:space="preserve">NUMPAGES</w:instrText>
    </w:r>
    <w:r>
      <w:fldChar w:fldCharType="separate"/>
    </w:r>
    <w:r>
      <w:rPr>
        <w:rFonts w:ascii="Calibri" w:hAnsi="Calibri"/>
        <w:color w:val="444444"/>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003087"/>
        <w:sz w:val="18"/>
      </w:rPr>
      <w:t>DocuAction TEFCA — User &amp;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