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Arial" w:hAnsi="Arial"/>
          <w:b/>
          <w:color w:val="D4A843"/>
          <w:sz w:val="26"/>
        </w:rPr>
        <w:t>ALLIANCE GLOBAL TECH, INC.</w:t>
      </w:r>
    </w:p>
    <w:p>
      <w:pPr>
        <w:jc w:val="center"/>
      </w:pPr>
      <w:r>
        <w:rPr>
          <w:rFonts w:ascii="Arial" w:hAnsi="Arial"/>
          <w:b/>
          <w:color w:val="0B3C5D"/>
          <w:sz w:val="52"/>
        </w:rPr>
        <w:t>DocuAction TEFCA ARC Platform</w:t>
      </w:r>
    </w:p>
    <w:p>
      <w:pPr>
        <w:jc w:val="center"/>
      </w:pPr>
      <w:r>
        <w:rPr>
          <w:rFonts w:ascii="Arial" w:hAnsi="Arial"/>
          <w:color w:val="0078D4"/>
          <w:sz w:val="32"/>
        </w:rPr>
        <w:t>Security Assessment — Development Environment</w:t>
      </w:r>
    </w:p>
    <w:p>
      <w:pPr>
        <w:jc w:val="center"/>
      </w:pPr>
      <w:r>
        <w:rPr>
          <w:color w:val="D4A843"/>
        </w:rPr>
        <w:t>__________________________________________________________</w:t>
      </w:r>
    </w:p>
    <w:p>
      <w:pPr>
        <w:jc w:val="center"/>
      </w:pPr>
      <w:r>
        <w:rPr>
          <w:rFonts w:ascii="Arial" w:hAnsi="Arial"/>
          <w:b w:val="0"/>
          <w:color w:val="333333"/>
          <w:sz w:val="22"/>
        </w:rPr>
        <w:t>Automated Security Assessment</w:t>
      </w:r>
    </w:p>
    <w:p>
      <w:pPr>
        <w:jc w:val="center"/>
      </w:pPr>
      <w:r>
        <w:rPr>
          <w:rFonts w:ascii="Arial" w:hAnsi="Arial"/>
          <w:b/>
          <w:color w:val="0B3C5D"/>
          <w:sz w:val="22"/>
        </w:rPr>
        <w:t>Contract 7571MN26F80064</w:t>
      </w:r>
    </w:p>
    <w:p>
      <w:pPr>
        <w:jc w:val="center"/>
      </w:pPr>
      <w:r>
        <w:rPr>
          <w:rFonts w:ascii="Arial" w:hAnsi="Arial"/>
          <w:b w:val="0"/>
          <w:color w:val="333333"/>
          <w:sz w:val="20"/>
        </w:rPr>
        <w:t>CAGE 8ERE8  |  UEI MP2FLV1MAW93</w:t>
      </w:r>
    </w:p>
    <w:p>
      <w:pPr>
        <w:jc w:val="center"/>
      </w:pPr>
      <w:r>
        <w:rPr>
          <w:rFonts w:ascii="Arial" w:hAnsi="Arial"/>
          <w:b w:val="0"/>
          <w:color w:val="333333"/>
          <w:sz w:val="20"/>
        </w:rPr>
      </w:r>
    </w:p>
    <w:p>
      <w:pPr>
        <w:jc w:val="center"/>
      </w:pPr>
      <w:r>
        <w:rPr>
          <w:rFonts w:ascii="Arial" w:hAnsi="Arial"/>
          <w:b w:val="0"/>
          <w:color w:val="333333"/>
          <w:sz w:val="20"/>
        </w:rPr>
        <w:t>Document ID: AGT-SA-001</w:t>
      </w:r>
    </w:p>
    <w:p>
      <w:pPr>
        <w:jc w:val="center"/>
      </w:pPr>
      <w:r>
        <w:rPr>
          <w:rFonts w:ascii="Arial" w:hAnsi="Arial"/>
          <w:b w:val="0"/>
          <w:color w:val="333333"/>
          <w:sz w:val="20"/>
        </w:rPr>
        <w:t>Version 1.0  |  August 2026</w:t>
      </w:r>
    </w:p>
    <w:p/>
    <w:p/>
    <w:p/>
    <w:p/>
    <w:p/>
    <w:p/>
    <w:p>
      <w:pPr>
        <w:jc w:val="center"/>
      </w:pPr>
      <w:r>
        <w:rPr>
          <w:rFonts w:ascii="Arial" w:hAnsi="Arial"/>
          <w:b/>
          <w:color w:val="0B3C5D"/>
          <w:sz w:val="18"/>
        </w:rPr>
        <w:t>CONFIDENTIAL — Contains Controlled Unclassified Information (CUI)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619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Arial" w:hAnsi="Arial"/>
                <w:sz w:val="17"/>
              </w:rPr>
              <w:t>Document ID</w:t>
            </w:r>
          </w:p>
        </w:tc>
        <w:tc>
          <w:tcPr>
            <w:tcW w:type="dxa" w:w="6192"/>
          </w:tcPr>
          <w:p>
            <w:r/>
            <w:r>
              <w:rPr>
                <w:rFonts w:ascii="Arial" w:hAnsi="Arial"/>
                <w:sz w:val="17"/>
              </w:rPr>
              <w:t>AGT-SA-001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Version</w:t>
            </w:r>
          </w:p>
        </w:tc>
        <w:tc>
          <w:tcPr>
            <w:tcW w:type="dxa" w:w="6192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1.0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Arial" w:hAnsi="Arial"/>
                <w:sz w:val="17"/>
              </w:rPr>
              <w:t>Status</w:t>
            </w:r>
          </w:p>
        </w:tc>
        <w:tc>
          <w:tcPr>
            <w:tcW w:type="dxa" w:w="6192"/>
          </w:tcPr>
          <w:p>
            <w:r/>
            <w:r>
              <w:rPr>
                <w:rFonts w:ascii="Arial" w:hAnsi="Arial"/>
                <w:sz w:val="17"/>
              </w:rPr>
              <w:t>Released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Date</w:t>
            </w:r>
          </w:p>
        </w:tc>
        <w:tc>
          <w:tcPr>
            <w:tcW w:type="dxa" w:w="6192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August 2026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Arial" w:hAnsi="Arial"/>
                <w:sz w:val="17"/>
              </w:rPr>
              <w:t>Contract Number</w:t>
            </w:r>
          </w:p>
        </w:tc>
        <w:tc>
          <w:tcPr>
            <w:tcW w:type="dxa" w:w="6192"/>
          </w:tcPr>
          <w:p>
            <w:r/>
            <w:r>
              <w:rPr>
                <w:rFonts w:ascii="Arial" w:hAnsi="Arial"/>
                <w:sz w:val="17"/>
              </w:rPr>
              <w:t>7571MN26F80064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CAGE / UEI</w:t>
            </w:r>
          </w:p>
        </w:tc>
        <w:tc>
          <w:tcPr>
            <w:tcW w:type="dxa" w:w="6192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8ERE8 / MP2FLV1MAW93</w:t>
            </w:r>
          </w:p>
        </w:tc>
      </w:tr>
      <w:tr>
        <w:tc>
          <w:tcPr>
            <w:tcW w:type="dxa" w:w="3168"/>
          </w:tcPr>
          <w:p>
            <w:r/>
            <w:r>
              <w:rPr>
                <w:rFonts w:ascii="Arial" w:hAnsi="Arial"/>
                <w:sz w:val="17"/>
              </w:rPr>
              <w:t>Author</w:t>
            </w:r>
          </w:p>
        </w:tc>
        <w:tc>
          <w:tcPr>
            <w:tcW w:type="dxa" w:w="6192"/>
          </w:tcPr>
          <w:p>
            <w:r/>
            <w:r>
              <w:rPr>
                <w:rFonts w:ascii="Arial" w:hAnsi="Arial"/>
                <w:sz w:val="17"/>
              </w:rPr>
              <w:t>Imran Siddiqui, Chief Executive Officer</w:t>
            </w:r>
          </w:p>
        </w:tc>
      </w:tr>
      <w:tr>
        <w:tc>
          <w:tcPr>
            <w:tcW w:type="dxa" w:w="3168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Classification</w:t>
            </w:r>
          </w:p>
        </w:tc>
        <w:tc>
          <w:tcPr>
            <w:tcW w:type="dxa" w:w="6192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CONFIDENTIAL — Controlled Unclassified Information</w:t>
            </w:r>
          </w:p>
        </w:tc>
      </w:tr>
    </w:tbl>
    <w:p/>
    <w:p>
      <w:r>
        <w:br w:type="page"/>
      </w:r>
    </w:p>
    <w:p>
      <w:pPr>
        <w:pStyle w:val="Heading1"/>
      </w:pPr>
      <w:r>
        <w:t>Disclaimer</w:t>
      </w:r>
    </w:p>
    <w:p>
      <w:r>
        <w:rPr>
          <w:rFonts w:ascii="Arial" w:hAnsi="Arial"/>
          <w:b w:val="0"/>
          <w:i w:val="0"/>
          <w:sz w:val="20"/>
        </w:rPr>
        <w:t>This assessment does NOT constitute an independent penetration test. It records testing performed by the development team against a development environment. Engagement of an accredited third-party assessment organisation (3PAO) is recommended as a future milestone prior to an authority-to-operate decision.</w:t>
      </w:r>
    </w:p>
    <w:p>
      <w:pPr>
        <w:pStyle w:val="Heading1"/>
      </w:pPr>
      <w:r>
        <w:t>Environment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Field</w:t>
            </w:r>
          </w:p>
        </w:tc>
        <w:tc>
          <w:tcPr>
            <w:tcW w:type="dxa" w:w="468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Value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Environment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Development</w:t>
            </w:r>
          </w:p>
        </w:tc>
      </w:tr>
      <w:tr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Backend URL</w:t>
            </w:r>
          </w:p>
        </w:tc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https://docuaction-dev.azurewebsites.net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Deployment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Azure App Service (Linux)</w:t>
            </w:r>
          </w:p>
        </w:tc>
      </w:tr>
      <w:tr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Database</w:t>
            </w:r>
          </w:p>
        </w:tc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Azure Database for PostgreSQL Flexible Server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OS (test workstation)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Windows-11-10.0.26200-SP0</w:t>
            </w:r>
          </w:p>
        </w:tc>
      </w:tr>
      <w:tr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Python</w:t>
            </w:r>
          </w:p>
        </w:tc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3.13.11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Build (Git SHA)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ebfcd38e067fd2b879e095eee547e40931a8e027</w:t>
            </w:r>
          </w:p>
        </w:tc>
      </w:tr>
      <w:tr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Test Date (UTC)</w:t>
            </w:r>
          </w:p>
        </w:tc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2026-08-02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Contract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7571MN26F80064</w:t>
            </w:r>
          </w:p>
        </w:tc>
      </w:tr>
      <w:tr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CAGE</w:t>
            </w:r>
          </w:p>
        </w:tc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8ERE8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UEI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MP2FLV1MAW93</w:t>
            </w:r>
          </w:p>
        </w:tc>
      </w:tr>
    </w:tbl>
    <w:p/>
    <w:p>
      <w:pPr>
        <w:pStyle w:val="Heading1"/>
      </w:pPr>
      <w:r>
        <w:t>Tool Versions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Tool</w:t>
            </w:r>
          </w:p>
        </w:tc>
        <w:tc>
          <w:tcPr>
            <w:tcW w:type="dxa" w:w="468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7"/>
              </w:rPr>
              <w:t>Version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Python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3.13.11</w:t>
            </w:r>
          </w:p>
        </w:tc>
      </w:tr>
      <w:tr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httpx</w:t>
            </w:r>
          </w:p>
        </w:tc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0.28.1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pytest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9.1.1</w:t>
            </w:r>
          </w:p>
        </w:tc>
      </w:tr>
      <w:tr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openapi-spec-validator</w:t>
            </w:r>
          </w:p>
        </w:tc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0.9.0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python-docx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1.2.0</w:t>
            </w:r>
          </w:p>
        </w:tc>
      </w:tr>
      <w:tr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Bandit</w:t>
            </w:r>
          </w:p>
        </w:tc>
        <w:tc>
          <w:tcPr>
            <w:tcW w:type="dxa" w:w="4680"/>
            <w:shd w:val="clear" w:color="auto" w:fill="F2F4F7"/>
          </w:tcPr>
          <w:p>
            <w:r/>
            <w:r>
              <w:rPr>
                <w:rFonts w:ascii="Arial" w:hAnsi="Arial"/>
                <w:sz w:val="17"/>
              </w:rPr>
              <w:t>1.9.4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OWASP ZAP</w:t>
            </w:r>
          </w:p>
        </w:tc>
        <w:tc>
          <w:tcPr>
            <w:tcW w:type="dxa" w:w="4680"/>
          </w:tcPr>
          <w:p>
            <w:r/>
            <w:r>
              <w:rPr>
                <w:rFonts w:ascii="Arial" w:hAnsi="Arial"/>
                <w:sz w:val="17"/>
              </w:rPr>
              <w:t>NOT AVAILABLE — no JRE / no container runtime</w:t>
            </w:r>
          </w:p>
        </w:tc>
      </w:tr>
    </w:tbl>
    <w:p/>
    <w:p>
      <w:pPr>
        <w:pStyle w:val="Heading1"/>
      </w:pPr>
      <w:r>
        <w:t>Executive Summary</w:t>
      </w:r>
    </w:p>
    <w:p>
      <w:r>
        <w:rPr>
          <w:rFonts w:ascii="Arial" w:hAnsi="Arial"/>
          <w:b w:val="0"/>
          <w:i w:val="0"/>
          <w:sz w:val="20"/>
        </w:rPr>
        <w:t>Security validation executed 37 manual tests, of which 36 passed. RBAC was verified across 65 endpoint/role combinations (65 as specified) and 6 scenarios (6 as specified). Two application defects were confirmed by reproduction.</w:t>
      </w:r>
    </w:p>
    <w:p>
      <w:pPr>
        <w:pStyle w:val="Heading1"/>
      </w:pPr>
      <w:r>
        <w:t>Dynamic Application Security Testing</w:t>
      </w:r>
    </w:p>
    <w:p>
      <w:r>
        <w:rPr>
          <w:rFonts w:ascii="Arial" w:hAnsi="Arial"/>
          <w:b w:val="0"/>
          <w:i w:val="0"/>
          <w:sz w:val="20"/>
        </w:rPr>
        <w:t>Not Executed — ZAP requires an interactive JRE install. The winget installation attempted on 2026-08-02 pulled an Eclipse Temurin 17 JRE dependency whose MSI requires interactive UAC elevation and terminated with exit code 1602 (user-cancelled). No container runtime is present either. The CI workflow .github/workflows/zap-scan.yml is available for future execution on a Linux runner; it is workflow_dispatch-enabled, targets the development host only, and refuses to run against production. Compensating coverage is provided by the 37-test manual Security Validation recorded in this package.</w:t>
      </w:r>
    </w:p>
    <w:p>
      <w:pPr>
        <w:pStyle w:val="Heading2"/>
      </w:pPr>
      <w:r>
        <w:t>Suite A — Injection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Actual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A1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SQL injection in login email field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401/422, no auth, no SQL error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401, leaks=[]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A2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SQL injection in password field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401, no auth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401, leaks=[]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A3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XSS payload in search query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not executable in a browser context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200, ct=application/json, nosniff=nosniff, inert=True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A4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Command injection metacharacters in search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handled safely, no shell output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200, leaks=[]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A5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Path traversal in entity id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404/422, no file contents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404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A6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SSRF payload (cloud metadata IP)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no outbound fetch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A7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CRLF injection in parameter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no injected response header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A8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Oversized JSON body (~2MB)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rejected, no crash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422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A9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Raw null byte in parameter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handled without HTTP 500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500, leaks=[]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FAIL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A10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Unicode/RTL-override payload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handled, no crash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200, leaks=[]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</w:tbl>
    <w:p/>
    <w:p>
      <w:pPr>
        <w:pStyle w:val="Heading2"/>
      </w:pPr>
      <w:r>
        <w:t>Suite B — Authentication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Actual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B1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Tampered JWT signature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B2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'none' algorithm JWT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401 (alg confusion rejected)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401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B3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Expired token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B4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Very long bearer token (5000 chars)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401/431, no crash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401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B5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Empty Authorization header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401/403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B6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'Bearer' with no token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401/403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401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B7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Valid non-admin token authenticates (fresh)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B8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Account lockout after 5 failures (synthetic account)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401 x5 then 429 'Account temporarily locked'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codes=[401, 401, 401, 401, 401, 429], account_locked=True, ip_throttled=False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</w:tbl>
    <w:p/>
    <w:p>
      <w:pPr>
        <w:pStyle w:val="Heading2"/>
      </w:pPr>
      <w:r>
        <w:t>Suite C — Access Control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Actual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C1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viewer -&gt; POST /arc/review-rules (admin-only)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C2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viewer -&gt; POST /arc/reports/generate (admin-only)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C3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No Authorization header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C4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IDOR probe, non-existent UUID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404, no data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404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C5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JWT role claim modified viewer-&gt;admin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401, signature invalid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C6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Unknown endpoint under auth prefix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404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404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C7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Wrong HTTP method on known route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C8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viewer -&gt; POST /registry/dev/seed (admin-only)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C9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analyst -&gt; PATCH B3 resolve (reviewer-only)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C10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reviewer -&gt; POST /arc/review-rules (admin-only)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C11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viewer -&gt; GET /registry/entities (router requires reviewer)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</w:tbl>
    <w:p/>
    <w:p>
      <w:pPr>
        <w:pStyle w:val="Heading2"/>
      </w:pPr>
      <w:r>
        <w:t>Suite D — Information Disclosure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ID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Description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Expected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Actual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5"/>
              </w:rPr>
              <w:t>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D1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Malformed UUID returns no stack trace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no traceback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422, leaks=[]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D2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No filesystem paths in error body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none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found=[]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D3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No database engine details in error body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none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found=[]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D4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OpenAPI posture on dev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reachable on dev by design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D5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Server header hides stack version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no version string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server='uvicorn'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D6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Generic 404 on unknown path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404, no internals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404, leaks=[]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D7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/health leaks no secrets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clean payload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D8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Unknown-user error == wrong-password error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identical generic message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HTTP 401, msg='Invalid email or password'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5"/>
              </w:rPr>
              <w:t>PASS</w:t>
            </w:r>
          </w:p>
        </w:tc>
      </w:tr>
    </w:tbl>
    <w:p/>
    <w:p>
      <w:pPr>
        <w:pStyle w:val="Heading1"/>
      </w:pPr>
      <w:r>
        <w:t>RBAC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Role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Endpoint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Expected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Actual</w:t>
            </w:r>
          </w:p>
        </w:tc>
        <w:tc>
          <w:tcPr>
            <w:tcW w:type="dxa" w:w="1872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4"/>
              </w:rPr>
              <w:t>Result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/auth/me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/registry/stats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/registry/entities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/registry/entities/{id}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/registry/findings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/arc/review-rules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/arc/reviews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/arc/reports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/registry/entities/{id}/verify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PATCH /arc/reviews/{id}/resolve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/arc/review-rules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/arc/reports/generate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/registry/dev/seed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/auth/me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/registry/stats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/registry/entities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/registry/entities/{id}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/registry/findings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/arc/review-rules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/arc/reviews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/arc/reports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/registry/entities/{id}/verify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contributor)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PATCH /arc/reviews/{id}/resolve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/arc/review-rules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/arc/reports/generate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analyst/contributor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/registry/dev/seed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/auth/me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/registry/stats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/registry/entities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/registry/entities/{id}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/registry/findings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/arc/review-rules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/arc/reviews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/arc/reports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/registry/entities/{id}/verify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contributor)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PATCH /arc/reviews/{id}/resolve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/arc/review-rules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/arc/reports/generate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reviewer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/registry/dev/seed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403 denied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403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/auth/me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/registry/stats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/registry/entities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/registry/entities/{id}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/registry/findings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/arc/review-rules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/arc/reviews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/arc/reports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/registry/entities/{id}/verify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contributor)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PATCH /arc/reviews/{id}/resolve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/arc/review-rules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admin)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/arc/reports/generate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admin)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admin(test)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/registry/dev/seed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admin)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/auth/me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/registry/stats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/registry/entities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/registry/entities/{id}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/registry/findings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/arc/review-rules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GET /arc/reviews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GET /arc/reports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/registry/entities/{id}/verify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contributor)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PATCH /arc/reviews/{id}/resolve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reviewer)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/arc/review-rules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admin)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409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POST /arc/reports/generate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permitted (&gt;= admin)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  <w:shd w:val="clear" w:color="auto" w:fill="F2F4F7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  <w:tr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admin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POST /registry/dev/seed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permitted (&gt;= admin)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HTTP 200</w:t>
            </w:r>
          </w:p>
        </w:tc>
        <w:tc>
          <w:tcPr>
            <w:tcW w:type="dxa" w:w="1872"/>
          </w:tcPr>
          <w:p>
            <w:r/>
            <w:r>
              <w:rPr>
                <w:rFonts w:ascii="Arial" w:hAnsi="Arial"/>
                <w:sz w:val="14"/>
              </w:rPr>
              <w:t>PASS</w:t>
            </w:r>
          </w:p>
        </w:tc>
      </w:tr>
    </w:tbl>
    <w:p/>
    <w:p>
      <w:pPr>
        <w:pStyle w:val="Heading1"/>
      </w:pPr>
      <w:r>
        <w:t>Security Score</w:t>
      </w:r>
    </w:p>
    <w:p>
      <w:r>
        <w:rPr>
          <w:rFonts w:ascii="Arial" w:hAnsi="Arial"/>
          <w:b w:val="0"/>
          <w:i w:val="0"/>
          <w:sz w:val="20"/>
        </w:rPr>
        <w:t>79.9 / 100 (scan docuaction_20260802T160024). This is a FLOOR, not a measurement: gitleaks and semgrep did not run, so the finding count is incomplete and the true score can only be lower or equal.</w:t>
      </w:r>
    </w:p>
    <w:p>
      <w:pPr>
        <w:pStyle w:val="Heading1"/>
      </w:pPr>
      <w:r>
        <w:t>Findings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234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Finding</w:t>
            </w:r>
          </w:p>
        </w:tc>
        <w:tc>
          <w:tcPr>
            <w:tcW w:type="dxa" w:w="234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Severity</w:t>
            </w:r>
          </w:p>
        </w:tc>
        <w:tc>
          <w:tcPr>
            <w:tcW w:type="dxa" w:w="234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Status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rial" w:hAnsi="Arial"/>
                <w:sz w:val="16"/>
              </w:rPr>
              <w:t>F-001</w:t>
            </w:r>
          </w:p>
        </w:tc>
        <w:tc>
          <w:tcPr>
            <w:tcW w:type="dxa" w:w="2340"/>
          </w:tcPr>
          <w:p>
            <w:r/>
            <w:r>
              <w:rPr>
                <w:rFonts w:ascii="Arial" w:hAnsi="Arial"/>
                <w:sz w:val="16"/>
              </w:rPr>
              <w:t>CSV import returns raw database exceptions</w:t>
            </w:r>
          </w:p>
        </w:tc>
        <w:tc>
          <w:tcPr>
            <w:tcW w:type="dxa" w:w="2340"/>
          </w:tcPr>
          <w:p>
            <w:r/>
            <w:r>
              <w:rPr>
                <w:rFonts w:ascii="Arial" w:hAnsi="Arial"/>
                <w:sz w:val="16"/>
              </w:rPr>
              <w:t>Medium</w:t>
            </w:r>
          </w:p>
        </w:tc>
        <w:tc>
          <w:tcPr>
            <w:tcW w:type="dxa" w:w="2340"/>
          </w:tcPr>
          <w:p>
            <w:r/>
            <w:r>
              <w:rPr>
                <w:rFonts w:ascii="Arial" w:hAnsi="Arial"/>
                <w:sz w:val="16"/>
              </w:rPr>
              <w:t>CONFIRMED — reproduced 2026-08-02</w:t>
            </w:r>
          </w:p>
        </w:tc>
      </w:tr>
      <w:tr>
        <w:tc>
          <w:tcPr>
            <w:tcW w:type="dxa" w:w="234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F-002</w:t>
            </w:r>
          </w:p>
        </w:tc>
        <w:tc>
          <w:tcPr>
            <w:tcW w:type="dxa" w:w="234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Raw null byte in a query parameter returns HTTP 500</w:t>
            </w:r>
          </w:p>
        </w:tc>
        <w:tc>
          <w:tcPr>
            <w:tcW w:type="dxa" w:w="234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Low</w:t>
            </w:r>
          </w:p>
        </w:tc>
        <w:tc>
          <w:tcPr>
            <w:tcW w:type="dxa" w:w="234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CONFIRMED — reproduced 2026-08-02</w:t>
            </w:r>
          </w:p>
        </w:tc>
      </w:tr>
      <w:tr>
        <w:tc>
          <w:tcPr>
            <w:tcW w:type="dxa" w:w="2340"/>
          </w:tcPr>
          <w:p>
            <w:r/>
            <w:r>
              <w:rPr>
                <w:rFonts w:ascii="Arial" w:hAnsi="Arial"/>
                <w:sz w:val="16"/>
              </w:rPr>
              <w:t>F-003</w:t>
            </w:r>
          </w:p>
        </w:tc>
        <w:tc>
          <w:tcPr>
            <w:tcW w:type="dxa" w:w="2340"/>
          </w:tcPr>
          <w:p>
            <w:r/>
            <w:r>
              <w:rPr>
                <w:rFonts w:ascii="Arial" w:hAnsi="Arial"/>
                <w:sz w:val="16"/>
              </w:rPr>
              <w:t>SAM.gov entity endpoints unreachable</w:t>
            </w:r>
          </w:p>
        </w:tc>
        <w:tc>
          <w:tcPr>
            <w:tcW w:type="dxa" w:w="2340"/>
          </w:tcPr>
          <w:p>
            <w:r/>
            <w:r>
              <w:rPr>
                <w:rFonts w:ascii="Arial" w:hAnsi="Arial"/>
                <w:sz w:val="16"/>
              </w:rPr>
              <w:t>Medium</w:t>
            </w:r>
          </w:p>
        </w:tc>
        <w:tc>
          <w:tcPr>
            <w:tcW w:type="dxa" w:w="2340"/>
          </w:tcPr>
          <w:p>
            <w:r/>
            <w:r>
              <w:rPr>
                <w:rFonts w:ascii="Arial" w:hAnsi="Arial"/>
                <w:sz w:val="16"/>
              </w:rPr>
              <w:t>CONFIRMED — key valid, endpoint 404</w:t>
            </w:r>
          </w:p>
        </w:tc>
      </w:tr>
      <w:tr>
        <w:tc>
          <w:tcPr>
            <w:tcW w:type="dxa" w:w="234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F-004</w:t>
            </w:r>
          </w:p>
        </w:tc>
        <w:tc>
          <w:tcPr>
            <w:tcW w:type="dxa" w:w="234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Unreachable role requirement on the verify handler</w:t>
            </w:r>
          </w:p>
        </w:tc>
        <w:tc>
          <w:tcPr>
            <w:tcW w:type="dxa" w:w="234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Informational</w:t>
            </w:r>
          </w:p>
        </w:tc>
        <w:tc>
          <w:tcPr>
            <w:tcW w:type="dxa" w:w="234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CONFIRMED — by design, documented</w:t>
            </w:r>
          </w:p>
        </w:tc>
      </w:tr>
    </w:tbl>
    <w:p/>
    <w:p>
      <w:pPr>
        <w:pStyle w:val="Heading1"/>
      </w:pPr>
      <w:r>
        <w:t>Risk Acceptance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ID</w:t>
            </w:r>
          </w:p>
        </w:tc>
        <w:tc>
          <w:tcPr>
            <w:tcW w:type="dxa" w:w="312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Severity</w:t>
            </w:r>
          </w:p>
        </w:tc>
        <w:tc>
          <w:tcPr>
            <w:tcW w:type="dxa" w:w="3120"/>
            <w:shd w:val="clear" w:color="auto" w:fill="0B3C5D"/>
          </w:tcPr>
          <w:p>
            <w:r/>
            <w:r>
              <w:rPr>
                <w:rFonts w:ascii="Arial" w:hAnsi="Arial"/>
                <w:b/>
                <w:color w:val="FFFFFF"/>
                <w:sz w:val="16"/>
              </w:rPr>
              <w:t>Disposition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rial" w:hAnsi="Arial"/>
                <w:sz w:val="16"/>
              </w:rPr>
              <w:t>F-001</w:t>
            </w:r>
          </w:p>
        </w:tc>
        <w:tc>
          <w:tcPr>
            <w:tcW w:type="dxa" w:w="3120"/>
          </w:tcPr>
          <w:p>
            <w:r/>
            <w:r>
              <w:rPr>
                <w:rFonts w:ascii="Arial" w:hAnsi="Arial"/>
                <w:sz w:val="16"/>
              </w:rPr>
              <w:t>Medium</w:t>
            </w:r>
          </w:p>
        </w:tc>
        <w:tc>
          <w:tcPr>
            <w:tcW w:type="dxa" w:w="3120"/>
          </w:tcPr>
          <w:p>
            <w:r/>
            <w:r>
              <w:rPr>
                <w:rFonts w:ascii="Arial" w:hAnsi="Arial"/>
                <w:sz w:val="16"/>
              </w:rPr>
              <w:t>Risk acceptance (Medium). Map DB exceptions to caller-safe text at the import boundary; log detail server-side against the request_id.</w:t>
            </w:r>
          </w:p>
        </w:tc>
      </w:tr>
      <w:tr>
        <w:tc>
          <w:tcPr>
            <w:tcW w:type="dxa" w:w="312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F-002</w:t>
            </w:r>
          </w:p>
        </w:tc>
        <w:tc>
          <w:tcPr>
            <w:tcW w:type="dxa" w:w="312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Low</w:t>
            </w:r>
          </w:p>
        </w:tc>
        <w:tc>
          <w:tcPr>
            <w:tcW w:type="dxa" w:w="312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Risk acceptance (Low). Reject or strip NUL during request validation.</w:t>
            </w:r>
          </w:p>
        </w:tc>
      </w:tr>
      <w:tr>
        <w:tc>
          <w:tcPr>
            <w:tcW w:type="dxa" w:w="3120"/>
          </w:tcPr>
          <w:p>
            <w:r/>
            <w:r>
              <w:rPr>
                <w:rFonts w:ascii="Arial" w:hAnsi="Arial"/>
                <w:sz w:val="16"/>
              </w:rPr>
              <w:t>F-003</w:t>
            </w:r>
          </w:p>
        </w:tc>
        <w:tc>
          <w:tcPr>
            <w:tcW w:type="dxa" w:w="3120"/>
          </w:tcPr>
          <w:p>
            <w:r/>
            <w:r>
              <w:rPr>
                <w:rFonts w:ascii="Arial" w:hAnsi="Arial"/>
                <w:sz w:val="16"/>
              </w:rPr>
              <w:t>Medium</w:t>
            </w:r>
          </w:p>
        </w:tc>
        <w:tc>
          <w:tcPr>
            <w:tcW w:type="dxa" w:w="3120"/>
          </w:tcPr>
          <w:p>
            <w:r/>
            <w:r>
              <w:rPr>
                <w:rFonts w:ascii="Arial" w:hAnsi="Arial"/>
                <w:sz w:val="16"/>
              </w:rPr>
              <w:t>Excluded from confidence scoring. Endpoint/entitlement question, not a key request.</w:t>
            </w:r>
          </w:p>
        </w:tc>
      </w:tr>
      <w:tr>
        <w:tc>
          <w:tcPr>
            <w:tcW w:type="dxa" w:w="312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F-004</w:t>
            </w:r>
          </w:p>
        </w:tc>
        <w:tc>
          <w:tcPr>
            <w:tcW w:type="dxa" w:w="312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Informational</w:t>
            </w:r>
          </w:p>
        </w:tc>
        <w:tc>
          <w:tcPr>
            <w:tcW w:type="dxa" w:w="3120"/>
            <w:shd w:val="clear" w:color="auto" w:fill="F2F4F7"/>
          </w:tcPr>
          <w:p>
            <w:r/>
            <w:r>
              <w:rPr>
                <w:rFonts w:ascii="Arial" w:hAnsi="Arial"/>
                <w:sz w:val="16"/>
              </w:rPr>
              <w:t>Documented, not changed. Enforcement is correct and fails closed.</w:t>
            </w:r>
          </w:p>
        </w:tc>
      </w:tr>
    </w:tbl>
    <w:p/>
    <w:p>
      <w:pPr>
        <w:pStyle w:val="Heading1"/>
      </w:pPr>
      <w:r>
        <w:t>Limitations</w:t>
      </w:r>
    </w:p>
    <w:p>
      <w:pPr>
        <w:pStyle w:val="ListBullet"/>
      </w:pPr>
      <w:r>
        <w:rPr>
          <w:rFonts w:ascii="Arial" w:hAnsi="Arial"/>
          <w:sz w:val="20"/>
        </w:rPr>
        <w:t>DAST not executed — no JRE and no container runtime on the workstation.</w:t>
      </w:r>
    </w:p>
    <w:p>
      <w:pPr>
        <w:pStyle w:val="ListBullet"/>
      </w:pPr>
      <w:r>
        <w:rPr>
          <w:rFonts w:ascii="Arial" w:hAnsi="Arial"/>
          <w:sz w:val="20"/>
        </w:rPr>
        <w:t>Static analysis incomplete — gitleaks and semgrep did not run.</w:t>
      </w:r>
    </w:p>
    <w:p>
      <w:pPr>
        <w:pStyle w:val="ListBullet"/>
      </w:pPr>
      <w:r>
        <w:rPr>
          <w:rFonts w:ascii="Arial" w:hAnsi="Arial"/>
          <w:sz w:val="20"/>
        </w:rPr>
        <w:t>Testing performed by the development team, not an independent assessor.</w:t>
      </w:r>
    </w:p>
    <w:p>
      <w:pPr>
        <w:pStyle w:val="ListBullet"/>
      </w:pPr>
      <w:r>
        <w:rPr>
          <w:rFonts w:ascii="Arial" w:hAnsi="Arial"/>
          <w:sz w:val="20"/>
        </w:rPr>
        <w:t>Development environment only; production configuration differs.</w:t>
      </w:r>
    </w:p>
    <w:p>
      <w:pPr>
        <w:pStyle w:val="ListBullet"/>
      </w:pPr>
      <w:r>
        <w:rPr>
          <w:rFonts w:ascii="Arial" w:hAnsi="Arial"/>
          <w:sz w:val="20"/>
        </w:rPr>
        <w:t>Server-side memory was not observable from the test client.</w:t>
      </w:r>
    </w:p>
    <w:p>
      <w:pPr>
        <w:pStyle w:val="Heading1"/>
      </w:pPr>
      <w:r>
        <w:t>Attestation</w:t>
      </w:r>
    </w:p>
    <w:p>
      <w:r>
        <w:rPr>
          <w:rFonts w:ascii="Arial" w:hAnsi="Arial"/>
          <w:b w:val="0"/>
          <w:i w:val="0"/>
          <w:sz w:val="20"/>
        </w:rPr>
        <w:t>The results in this document were produced by executing the described tests against the stated environment on the stated date.</w:t>
      </w:r>
    </w:p>
    <w:p>
      <w:r>
        <w:rPr>
          <w:rFonts w:ascii="Arial" w:hAnsi="Arial"/>
          <w:b w:val="0"/>
          <w:i w:val="0"/>
          <w:sz w:val="20"/>
        </w:rPr>
        <w:t>Prepared by: ______________________   Date: ____________</w:t>
      </w:r>
    </w:p>
    <w:p>
      <w:r>
        <w:rPr>
          <w:rFonts w:ascii="Arial" w:hAnsi="Arial"/>
          <w:b w:val="0"/>
          <w:i w:val="0"/>
          <w:sz w:val="20"/>
        </w:rPr>
        <w:t>Imran Siddiqui, Chief Executive Officer, Alliance Global Tech, Inc.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440" w:bottom="1296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/>
    <w:r>
      <w:rPr>
        <w:rFonts w:ascii="Arial" w:hAnsi="Arial"/>
        <w:color w:val="0B3C5D"/>
        <w:sz w:val="16"/>
      </w:rPr>
      <w:t>Alliance Global Tech, Inc.</w:t>
      <w:tab/>
    </w:r>
    <w:r>
      <w:rPr>
        <w:rFonts w:ascii="Arial" w:hAnsi="Arial"/>
        <w:sz w:val="16"/>
      </w:rPr>
      <w:t xml:space="preserve">Page </w:t>
    </w:r>
    <w:r>
      <w:fldChar w:fldCharType="begin"/>
    </w:r>
    <w:r>
      <w:instrText xml:space="preserve">PAGE</w:instrText>
    </w:r>
    <w:r>
      <w:fldChar w:fldCharType="separate"/>
    </w:r>
    <w:r>
      <w:rPr>
        <w:rFonts w:ascii="Arial" w:hAnsi="Arial"/>
        <w:sz w:val="16"/>
      </w:rP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0B3C5D"/>
        <w:sz w:val="16"/>
      </w:rPr>
      <w:t>AGT-SA-001</w:t>
      <w:tab/>
      <w:t>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rial" w:hAnsi="Arial"/>
      <w:sz w:val="20"/>
      <w:rFonts w:ascii="Arial" w:hAnsi="Arial" w:cs="Arial" w:eastAsia="Arial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 w:ascii="Arial" w:hAnsi="Arial"/>
      <w:b/>
      <w:bCs/>
      <w:color w:val="0B3C5D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0B3C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Arial" w:hAnsi="Arial"/>
      <w:b/>
      <w:bCs/>
      <w:color w:val="0B3C5D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