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DocuAction TEFCA ARC Platform — Requirements Document</w:t>
      </w:r>
    </w:p>
    <w:p>
      <w:r>
        <w:rPr>
          <w:rFonts w:ascii="Arial" w:hAnsi="Arial"/>
          <w:b/>
        </w:rPr>
        <w:t>Version 2.0 | August 2026</w:t>
      </w:r>
    </w:p>
    <w:p>
      <w:r>
        <w:rPr>
          <w:rFonts w:ascii="Arial" w:hAnsi="Arial"/>
          <w:b/>
        </w:rPr>
        <w:t>Contract:</w:t>
      </w:r>
      <w:r>
        <w:rPr>
          <w:rFonts w:ascii="Arial" w:hAnsi="Arial"/>
        </w:rPr>
        <w:t xml:space="preserve"> 7571MN26F80064</w:t>
      </w:r>
    </w:p>
    <w:p>
      <w:r>
        <w:rPr>
          <w:rFonts w:ascii="Arial" w:hAnsi="Arial"/>
          <w:b/>
        </w:rPr>
        <w:t>Prepared by:</w:t>
      </w:r>
      <w:r>
        <w:rPr>
          <w:rFonts w:ascii="Arial" w:hAnsi="Arial"/>
        </w:rPr>
        <w:t xml:space="preserve"> Alliance Global Tech, Inc. (AGT)</w:t>
      </w:r>
    </w:p>
    <w:p>
      <w:r>
        <w:rPr>
          <w:rFonts w:ascii="Arial" w:hAnsi="Arial"/>
          <w:b/>
        </w:rPr>
        <w:t>Prepared for:</w:t>
      </w:r>
      <w:r>
        <w:rPr>
          <w:rFonts w:ascii="Arial" w:hAnsi="Arial"/>
        </w:rPr>
        <w:t xml:space="preserve"> U.S. Department of Health and Human Services — Office of the National Coordinator for Health IT / Assistant Secretary for Technology Policy (HHS/ONC (ASTP))</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SYSTEM STATUS: PRE-PRODUCTION DEMONSTRATION MODE. This document describes the system **as built** in the development/main codebase. The production environment currently runs an earlier build; Appendix F enumerates every difference. Security categorization is **assumed** FIPS 199 Moderate — a formal categorization has not been completed. NIST SP 800-53 controls are **self-assessed**, not independently assessed. **No FedRAMP authorization exists or is being pursued.**</w:t>
            </w:r>
          </w:p>
        </w:tc>
      </w:tr>
    </w:tbl>
    <w:p/>
    <w:p>
      <w:pPr>
        <w:pStyle w:val="Heading2"/>
      </w:pPr>
      <w:r>
        <w:t>Document Control</w:t>
      </w:r>
    </w:p>
    <w:p>
      <w:pPr>
        <w:pStyle w:val="Heading3"/>
      </w:pPr>
      <w:r>
        <w:t>Version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003087"/>
          </w:tcPr>
          <w:p>
            <w:r/>
            <w:r>
              <w:rPr>
                <w:rFonts w:ascii="Arial" w:hAnsi="Arial"/>
                <w:b/>
                <w:color w:val="FFFFFF"/>
                <w:sz w:val="20"/>
              </w:rPr>
              <w:t>Version</w:t>
            </w:r>
          </w:p>
        </w:tc>
        <w:tc>
          <w:tcPr>
            <w:tcW w:type="dxa" w:w="1560"/>
            <w:shd w:val="clear" w:fill="003087"/>
          </w:tcPr>
          <w:p>
            <w:r/>
            <w:r>
              <w:rPr>
                <w:rFonts w:ascii="Arial" w:hAnsi="Arial"/>
                <w:b/>
                <w:color w:val="FFFFFF"/>
                <w:sz w:val="20"/>
              </w:rPr>
              <w:t>Implemented By</w:t>
            </w:r>
          </w:p>
        </w:tc>
        <w:tc>
          <w:tcPr>
            <w:tcW w:type="dxa" w:w="1560"/>
            <w:shd w:val="clear" w:fill="003087"/>
          </w:tcPr>
          <w:p>
            <w:r/>
            <w:r>
              <w:rPr>
                <w:rFonts w:ascii="Arial" w:hAnsi="Arial"/>
                <w:b/>
                <w:color w:val="FFFFFF"/>
                <w:sz w:val="20"/>
              </w:rPr>
              <w:t>Revision Date</w:t>
            </w:r>
          </w:p>
        </w:tc>
        <w:tc>
          <w:tcPr>
            <w:tcW w:type="dxa" w:w="1560"/>
            <w:shd w:val="clear" w:fill="003087"/>
          </w:tcPr>
          <w:p>
            <w:r/>
            <w:r>
              <w:rPr>
                <w:rFonts w:ascii="Arial" w:hAnsi="Arial"/>
                <w:b/>
                <w:color w:val="FFFFFF"/>
                <w:sz w:val="20"/>
              </w:rPr>
              <w:t>Approved By</w:t>
            </w:r>
          </w:p>
        </w:tc>
        <w:tc>
          <w:tcPr>
            <w:tcW w:type="dxa" w:w="1560"/>
            <w:shd w:val="clear" w:fill="003087"/>
          </w:tcPr>
          <w:p>
            <w:r/>
            <w:r>
              <w:rPr>
                <w:rFonts w:ascii="Arial" w:hAnsi="Arial"/>
                <w:b/>
                <w:color w:val="FFFFFF"/>
                <w:sz w:val="20"/>
              </w:rPr>
              <w:t>Approval Date</w:t>
            </w:r>
          </w:p>
        </w:tc>
        <w:tc>
          <w:tcPr>
            <w:tcW w:type="dxa" w:w="1560"/>
            <w:shd w:val="clear" w:fill="003087"/>
          </w:tcPr>
          <w:p>
            <w:r/>
            <w:r>
              <w:rPr>
                <w:rFonts w:ascii="Arial" w:hAnsi="Arial"/>
                <w:b/>
                <w:color w:val="FFFFFF"/>
                <w:sz w:val="20"/>
              </w:rPr>
              <w:t>Description of Change</w:t>
            </w:r>
          </w:p>
        </w:tc>
      </w:tr>
      <w:tr>
        <w:tc>
          <w:tcPr>
            <w:tcW w:type="dxa" w:w="1560"/>
          </w:tcPr>
          <w:p>
            <w:r/>
            <w:r>
              <w:rPr>
                <w:rFonts w:ascii="Arial" w:hAnsi="Arial"/>
                <w:sz w:val="20"/>
              </w:rPr>
              <w:t>1.0</w:t>
            </w:r>
          </w:p>
        </w:tc>
        <w:tc>
          <w:tcPr>
            <w:tcW w:type="dxa" w:w="1560"/>
          </w:tcPr>
          <w:p>
            <w:r/>
            <w:r>
              <w:rPr>
                <w:rFonts w:ascii="Arial" w:hAnsi="Arial"/>
                <w:sz w:val="20"/>
              </w:rPr>
              <w:t>AGT Engineering</w:t>
            </w:r>
          </w:p>
        </w:tc>
        <w:tc>
          <w:tcPr>
            <w:tcW w:type="dxa" w:w="1560"/>
          </w:tcPr>
          <w:p>
            <w:r/>
            <w:r>
              <w:rPr>
                <w:rFonts w:ascii="Arial" w:hAnsi="Arial"/>
                <w:sz w:val="20"/>
              </w:rPr>
              <w:t>2026-08-13</w:t>
            </w:r>
          </w:p>
        </w:tc>
        <w:tc>
          <w:tcPr>
            <w:tcW w:type="dxa" w:w="1560"/>
          </w:tcPr>
          <w:p>
            <w:r/>
            <w:r>
              <w:rPr>
                <w:rFonts w:ascii="Arial" w:hAnsi="Arial"/>
                <w:sz w:val="20"/>
              </w:rPr>
              <w:t>*pending*</w:t>
            </w:r>
          </w:p>
        </w:tc>
        <w:tc>
          <w:tcPr>
            <w:tcW w:type="dxa" w:w="1560"/>
          </w:tcPr>
          <w:p>
            <w:r/>
            <w:r>
              <w:rPr>
                <w:rFonts w:ascii="Arial" w:hAnsi="Arial"/>
                <w:sz w:val="20"/>
              </w:rPr>
              <w:t>*pending*</w:t>
            </w:r>
          </w:p>
        </w:tc>
        <w:tc>
          <w:tcPr>
            <w:tcW w:type="dxa" w:w="1560"/>
          </w:tcPr>
          <w:p>
            <w:r/>
            <w:r>
              <w:rPr>
                <w:rFonts w:ascii="Arial" w:hAnsi="Arial"/>
                <w:sz w:val="20"/>
              </w:rPr>
              <w:t>Initial release. Requirements derived by direct inspection of the application source, database models, route registrations and configuration.</w:t>
            </w:r>
          </w:p>
        </w:tc>
      </w:tr>
      <w:tr>
        <w:tc>
          <w:tcPr>
            <w:tcW w:type="dxa" w:w="1560"/>
          </w:tcPr>
          <w:p>
            <w:r/>
            <w:r>
              <w:rPr>
                <w:rFonts w:ascii="Arial" w:hAnsi="Arial"/>
                <w:sz w:val="20"/>
              </w:rPr>
              <w:t>2.0</w:t>
            </w:r>
          </w:p>
        </w:tc>
        <w:tc>
          <w:tcPr>
            <w:tcW w:type="dxa" w:w="1560"/>
          </w:tcPr>
          <w:p>
            <w:r/>
            <w:r>
              <w:rPr>
                <w:rFonts w:ascii="Arial" w:hAnsi="Arial"/>
                <w:sz w:val="20"/>
              </w:rPr>
              <w:t>AGT Engineering</w:t>
            </w:r>
          </w:p>
        </w:tc>
        <w:tc>
          <w:tcPr>
            <w:tcW w:type="dxa" w:w="1560"/>
          </w:tcPr>
          <w:p>
            <w:r/>
            <w:r>
              <w:rPr>
                <w:rFonts w:ascii="Arial" w:hAnsi="Arial"/>
                <w:sz w:val="20"/>
              </w:rPr>
              <w:t>2026-08-13</w:t>
            </w:r>
          </w:p>
        </w:tc>
        <w:tc>
          <w:tcPr>
            <w:tcW w:type="dxa" w:w="1560"/>
          </w:tcPr>
          <w:p>
            <w:r/>
            <w:r>
              <w:rPr>
                <w:rFonts w:ascii="Arial" w:hAnsi="Arial"/>
                <w:sz w:val="20"/>
              </w:rPr>
              <w:t>*pending*</w:t>
            </w:r>
          </w:p>
        </w:tc>
        <w:tc>
          <w:tcPr>
            <w:tcW w:type="dxa" w:w="1560"/>
          </w:tcPr>
          <w:p>
            <w:r/>
            <w:r>
              <w:rPr>
                <w:rFonts w:ascii="Arial" w:hAnsi="Arial"/>
                <w:sz w:val="20"/>
              </w:rPr>
              <w:t>*pending*</w:t>
            </w:r>
          </w:p>
        </w:tc>
        <w:tc>
          <w:tcPr>
            <w:tcW w:type="dxa" w:w="1560"/>
          </w:tcPr>
          <w:p>
            <w:r/>
            <w:r>
              <w:rPr>
                <w:rFonts w:ascii="Arial" w:hAnsi="Arial"/>
                <w:sz w:val="20"/>
              </w:rPr>
              <w:t>HHS client-ready release. USPS integration status corrected to “configured; zero production verification calls to date.” All diagrams given figure numbers, titles and descriptive captions. See `TEFCA_Document_Remediation_Log.md`.</w:t>
            </w:r>
          </w:p>
        </w:tc>
      </w:tr>
    </w:tbl>
    <w:p/>
    <w:p>
      <w:pPr>
        <w:pStyle w:val="Heading3"/>
      </w:pPr>
      <w:r>
        <w:t>Approval</w:t>
      </w:r>
    </w:p>
    <w:p>
      <w:r>
        <w:rPr>
          <w:rFonts w:ascii="Arial" w:hAnsi="Arial"/>
        </w:rPr>
        <w:t xml:space="preserve">The undersigned acknowledge they have reviewed the </w:t>
      </w:r>
      <w:r>
        <w:rPr>
          <w:rFonts w:ascii="Arial" w:hAnsi="Arial"/>
          <w:b/>
        </w:rPr>
        <w:t>Requirements Document</w:t>
      </w:r>
      <w:r>
        <w:rPr>
          <w:rFonts w:ascii="Arial" w:hAnsi="Arial"/>
        </w:rPr>
        <w:t xml:space="preserve"> and agree with the information presented within this document.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Role</w:t>
            </w:r>
          </w:p>
        </w:tc>
        <w:tc>
          <w:tcPr>
            <w:tcW w:type="dxa" w:w="2340"/>
            <w:shd w:val="clear" w:fill="003087"/>
          </w:tcPr>
          <w:p>
            <w:r/>
            <w:r>
              <w:rPr>
                <w:rFonts w:ascii="Arial" w:hAnsi="Arial"/>
                <w:b/>
                <w:color w:val="FFFFFF"/>
                <w:sz w:val="20"/>
              </w:rPr>
              <w:t>Name</w:t>
            </w:r>
          </w:p>
        </w:tc>
        <w:tc>
          <w:tcPr>
            <w:tcW w:type="dxa" w:w="2340"/>
            <w:shd w:val="clear" w:fill="003087"/>
          </w:tcPr>
          <w:p>
            <w:r/>
            <w:r>
              <w:rPr>
                <w:rFonts w:ascii="Arial" w:hAnsi="Arial"/>
                <w:b/>
                <w:color w:val="FFFFFF"/>
                <w:sz w:val="20"/>
              </w:rPr>
              <w:t>Signature</w:t>
            </w:r>
          </w:p>
        </w:tc>
        <w:tc>
          <w:tcPr>
            <w:tcW w:type="dxa" w:w="2340"/>
            <w:shd w:val="clear" w:fill="003087"/>
          </w:tcPr>
          <w:p>
            <w:r/>
            <w:r>
              <w:rPr>
                <w:rFonts w:ascii="Arial" w:hAnsi="Arial"/>
                <w:b/>
                <w:color w:val="FFFFFF"/>
                <w:sz w:val="20"/>
              </w:rPr>
              <w:t>Date</w:t>
            </w:r>
          </w:p>
        </w:tc>
      </w:tr>
      <w:tr>
        <w:tc>
          <w:tcPr>
            <w:tcW w:type="dxa" w:w="2340"/>
          </w:tcPr>
          <w:p>
            <w:r/>
            <w:r>
              <w:rPr>
                <w:rFonts w:ascii="Arial" w:hAnsi="Arial"/>
                <w:sz w:val="20"/>
              </w:rPr>
              <w:t>AGT Project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AGT Technical Lead</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Contracting Officer's Representative (COR)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Program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bl>
    <w:p/>
    <w:p>
      <w:pPr>
        <w:pStyle w:val="Heading2"/>
      </w:pPr>
      <w:r>
        <w:t>Table of Contents</w:t>
      </w:r>
    </w:p>
    <w:p>
      <w:r>
        <w:fldChar w:fldCharType="begin"/>
        <w:instrText xml:space="preserve"> TOC \o "1-3" \h \z \u </w:instrText>
        <w:fldChar w:fldCharType="separate"/>
        <w:t>Update field (F9) to populate.</w:t>
        <w:fldChar w:fldCharType="end"/>
      </w:r>
    </w:p>
    <w:p>
      <w:r>
        <w:br w:type="page"/>
      </w:r>
    </w:p>
    <w:p>
      <w:r>
        <w:rPr>
          <w:rFonts w:ascii="Arial" w:hAnsi="Arial"/>
        </w:rPr>
        <w:t>*(Generated field — press F9 in Microsoft Word to populate page numbers.)*</w:t>
      </w:r>
    </w:p>
    <w:p>
      <w:r>
        <w:br w:type="page"/>
      </w:r>
    </w:p>
    <w:p>
      <w:pPr>
        <w:pStyle w:val="Heading1"/>
      </w:pPr>
      <w:r>
        <w:t>1. Introduction</w:t>
      </w:r>
    </w:p>
    <w:p>
      <w:pPr>
        <w:pStyle w:val="Heading2"/>
      </w:pPr>
      <w:r>
        <w:t>1.1 Purpose of the Requirements Document</w:t>
      </w:r>
    </w:p>
    <w:p>
      <w:r>
        <w:rPr>
          <w:rFonts w:ascii="Arial" w:hAnsi="Arial"/>
        </w:rPr>
        <w:t xml:space="preserve">This Requirements Document (RD) defines the functional and non-functional requirements for the </w:t>
      </w:r>
      <w:r>
        <w:rPr>
          <w:rFonts w:ascii="Arial" w:hAnsi="Arial"/>
          <w:b/>
        </w:rPr>
        <w:t>DocuAction TEFCA ARC Platform</w:t>
      </w:r>
      <w:r>
        <w:rPr>
          <w:rFonts w:ascii="Arial" w:hAnsi="Arial"/>
        </w:rPr>
        <w:t>, the system Alliance Global Tech, Inc. operates to perform Participant and Subparticipant information verification under Contract 7571MN26F80064 for HHS/ONC (ASTP).</w:t>
      </w:r>
    </w:p>
    <w:p>
      <w:r>
        <w:rPr>
          <w:rFonts w:ascii="Arial" w:hAnsi="Arial"/>
        </w:rPr>
        <w:t>The document follows the HHS Enterprise Performance Life Cycle (EPLC) Requirements Definition template structure, enriched with IEEE 830-1998 / ISO/IEC/IEEE 29148:2011 requirements-specification rigor.</w:t>
      </w:r>
    </w:p>
    <w:p>
      <w:r>
        <w:rPr>
          <w:rFonts w:ascii="Arial" w:hAnsi="Arial"/>
          <w:b/>
        </w:rPr>
        <w:t>Method.</w:t>
      </w:r>
      <w:r>
        <w:rPr>
          <w:rFonts w:ascii="Arial" w:hAnsi="Arial"/>
        </w:rPr>
        <w:t xml:space="preserve"> Every requirement in this document was derived by inspecting the implementation — route registrations, dependency graphs, database models, connector classes, validation engines and configuration — rather than from prior design documentation. Where a capability could not be verified in code, it is marked </w:t>
      </w:r>
      <w:r>
        <w:rPr>
          <w:rFonts w:ascii="Arial" w:hAnsi="Arial"/>
          <w:b/>
        </w:rPr>
        <w:t>VERIFICATION REQUIRED</w:t>
      </w:r>
      <w:r>
        <w:rPr>
          <w:rFonts w:ascii="Arial" w:hAnsi="Arial"/>
        </w:rPr>
        <w:t xml:space="preserve"> rather than asserted.</w:t>
      </w:r>
    </w:p>
    <w:p>
      <w:pPr>
        <w:pStyle w:val="Heading2"/>
      </w:pPr>
      <w:r>
        <w:t>1.2 Scope</w:t>
      </w:r>
    </w:p>
    <w:p>
      <w:r>
        <w:rPr>
          <w:rFonts w:ascii="Arial" w:hAnsi="Arial"/>
          <w:b/>
        </w:rPr>
        <w:t>In scope.</w:t>
      </w:r>
      <w:r>
        <w:rPr>
          <w:rFonts w:ascii="Arial" w:hAnsi="Arial"/>
        </w:rPr>
        <w:t xml:space="preserve"> The TEFCA ARC review subsystem, the TEFCA Registry subsystem, the shared authentication/authorization/audit services, the Bulletin Intelligence module, and the external verification connector framework, as they support SOW Tasks 1 through 6.</w:t>
      </w:r>
    </w:p>
    <w:p>
      <w:r>
        <w:rPr>
          <w:rFonts w:ascii="Arial" w:hAnsi="Arial"/>
          <w:b/>
        </w:rPr>
        <w:t>Out of scope.</w:t>
      </w:r>
      <w:r>
        <w:rPr>
          <w:rFonts w:ascii="Arial" w:hAnsi="Arial"/>
        </w:rPr>
        <w:t xml:space="preserve"> The platform hosts additional non-contract legacy modules (applicant tracking, invoicing, deal tracking, staffing, procurement). Approximately 75 of the platform's 120 database tables belong to those modules. They are neither documented nor claimed as contract deliverables.</w:t>
      </w:r>
    </w:p>
    <w:p>
      <w:pPr>
        <w:pStyle w:val="Heading2"/>
      </w:pPr>
      <w:r>
        <w:t>1.3 Definitions, Acronyms, and Abbreviations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Term</w:t>
            </w:r>
          </w:p>
        </w:tc>
        <w:tc>
          <w:tcPr>
            <w:tcW w:type="dxa" w:w="4680"/>
            <w:shd w:val="clear" w:fill="003087"/>
          </w:tcPr>
          <w:p>
            <w:r/>
            <w:r>
              <w:rPr>
                <w:rFonts w:ascii="Arial" w:hAnsi="Arial"/>
                <w:b/>
                <w:color w:val="FFFFFF"/>
                <w:sz w:val="20"/>
              </w:rPr>
              <w:t>Definition</w:t>
            </w:r>
          </w:p>
        </w:tc>
      </w:tr>
      <w:tr>
        <w:tc>
          <w:tcPr>
            <w:tcW w:type="dxa" w:w="4680"/>
          </w:tcPr>
          <w:p>
            <w:r/>
            <w:r>
              <w:rPr>
                <w:rFonts w:ascii="Arial" w:hAnsi="Arial"/>
                <w:sz w:val="20"/>
              </w:rPr>
              <w:t>ARC</w:t>
            </w:r>
          </w:p>
        </w:tc>
        <w:tc>
          <w:tcPr>
            <w:tcW w:type="dxa" w:w="4680"/>
          </w:tcPr>
          <w:p>
            <w:r/>
            <w:r>
              <w:rPr>
                <w:rFonts w:ascii="Arial" w:hAnsi="Arial"/>
                <w:sz w:val="20"/>
              </w:rPr>
              <w:t>ARC Review — the contract's Participant/Subparticipant verification programme</w:t>
            </w:r>
          </w:p>
        </w:tc>
      </w:tr>
      <w:tr>
        <w:tc>
          <w:tcPr>
            <w:tcW w:type="dxa" w:w="4680"/>
          </w:tcPr>
          <w:p>
            <w:r/>
            <w:r>
              <w:rPr>
                <w:rFonts w:ascii="Arial" w:hAnsi="Arial"/>
                <w:sz w:val="20"/>
              </w:rPr>
              <w:t>ASTP</w:t>
            </w:r>
          </w:p>
        </w:tc>
        <w:tc>
          <w:tcPr>
            <w:tcW w:type="dxa" w:w="4680"/>
          </w:tcPr>
          <w:p>
            <w:r/>
            <w:r>
              <w:rPr>
                <w:rFonts w:ascii="Arial" w:hAnsi="Arial"/>
                <w:sz w:val="20"/>
              </w:rPr>
              <w:t>Assistant Secretary for Technology Policy</w:t>
            </w:r>
          </w:p>
        </w:tc>
      </w:tr>
      <w:tr>
        <w:tc>
          <w:tcPr>
            <w:tcW w:type="dxa" w:w="4680"/>
          </w:tcPr>
          <w:p>
            <w:r/>
            <w:r>
              <w:rPr>
                <w:rFonts w:ascii="Arial" w:hAnsi="Arial"/>
                <w:sz w:val="20"/>
              </w:rPr>
              <w:t>B1–B4</w:t>
            </w:r>
          </w:p>
        </w:tc>
        <w:tc>
          <w:tcPr>
            <w:tcW w:type="dxa" w:w="4680"/>
          </w:tcPr>
          <w:p>
            <w:r/>
            <w:r>
              <w:rPr>
                <w:rFonts w:ascii="Arial" w:hAnsi="Arial"/>
                <w:sz w:val="20"/>
              </w:rPr>
              <w:t>The four-bucket discrepancy taxonomy (Bucket 1 through Bucket 4)</w:t>
            </w:r>
          </w:p>
        </w:tc>
      </w:tr>
      <w:tr>
        <w:tc>
          <w:tcPr>
            <w:tcW w:type="dxa" w:w="4680"/>
          </w:tcPr>
          <w:p>
            <w:r/>
            <w:r>
              <w:rPr>
                <w:rFonts w:ascii="Arial" w:hAnsi="Arial"/>
                <w:sz w:val="20"/>
              </w:rPr>
              <w:t>COR</w:t>
            </w:r>
          </w:p>
        </w:tc>
        <w:tc>
          <w:tcPr>
            <w:tcW w:type="dxa" w:w="4680"/>
          </w:tcPr>
          <w:p>
            <w:r/>
            <w:r>
              <w:rPr>
                <w:rFonts w:ascii="Arial" w:hAnsi="Arial"/>
                <w:sz w:val="20"/>
              </w:rPr>
              <w:t>Contracting Officer's Representative</w:t>
            </w:r>
          </w:p>
        </w:tc>
      </w:tr>
      <w:tr>
        <w:tc>
          <w:tcPr>
            <w:tcW w:type="dxa" w:w="4680"/>
          </w:tcPr>
          <w:p>
            <w:r/>
            <w:r>
              <w:rPr>
                <w:rFonts w:ascii="Arial" w:hAnsi="Arial"/>
                <w:sz w:val="20"/>
              </w:rPr>
              <w:t>EPLC</w:t>
            </w:r>
          </w:p>
        </w:tc>
        <w:tc>
          <w:tcPr>
            <w:tcW w:type="dxa" w:w="4680"/>
          </w:tcPr>
          <w:p>
            <w:r/>
            <w:r>
              <w:rPr>
                <w:rFonts w:ascii="Arial" w:hAnsi="Arial"/>
                <w:sz w:val="20"/>
              </w:rPr>
              <w:t>HHS Enterprise Performance Life Cycle</w:t>
            </w:r>
          </w:p>
        </w:tc>
      </w:tr>
      <w:tr>
        <w:tc>
          <w:tcPr>
            <w:tcW w:type="dxa" w:w="4680"/>
          </w:tcPr>
          <w:p>
            <w:r/>
            <w:r>
              <w:rPr>
                <w:rFonts w:ascii="Arial" w:hAnsi="Arial"/>
                <w:sz w:val="20"/>
              </w:rPr>
              <w:t>FIPS 199</w:t>
            </w:r>
          </w:p>
        </w:tc>
        <w:tc>
          <w:tcPr>
            <w:tcW w:type="dxa" w:w="4680"/>
          </w:tcPr>
          <w:p>
            <w:r/>
            <w:r>
              <w:rPr>
                <w:rFonts w:ascii="Arial" w:hAnsi="Arial"/>
                <w:sz w:val="20"/>
              </w:rPr>
              <w:t>Federal standard for security categorization of information systems</w:t>
            </w:r>
          </w:p>
        </w:tc>
      </w:tr>
      <w:tr>
        <w:tc>
          <w:tcPr>
            <w:tcW w:type="dxa" w:w="4680"/>
          </w:tcPr>
          <w:p>
            <w:r/>
            <w:r>
              <w:rPr>
                <w:rFonts w:ascii="Arial" w:hAnsi="Arial"/>
                <w:sz w:val="20"/>
              </w:rPr>
              <w:t>JWT</w:t>
            </w:r>
          </w:p>
        </w:tc>
        <w:tc>
          <w:tcPr>
            <w:tcW w:type="dxa" w:w="4680"/>
          </w:tcPr>
          <w:p>
            <w:r/>
            <w:r>
              <w:rPr>
                <w:rFonts w:ascii="Arial" w:hAnsi="Arial"/>
                <w:sz w:val="20"/>
              </w:rPr>
              <w:t>JSON Web Token</w:t>
            </w:r>
          </w:p>
        </w:tc>
      </w:tr>
      <w:tr>
        <w:tc>
          <w:tcPr>
            <w:tcW w:type="dxa" w:w="4680"/>
          </w:tcPr>
          <w:p>
            <w:r/>
            <w:r>
              <w:rPr>
                <w:rFonts w:ascii="Arial" w:hAnsi="Arial"/>
                <w:sz w:val="20"/>
              </w:rPr>
              <w:t>LEIE</w:t>
            </w:r>
          </w:p>
        </w:tc>
        <w:tc>
          <w:tcPr>
            <w:tcW w:type="dxa" w:w="4680"/>
          </w:tcPr>
          <w:p>
            <w:r/>
            <w:r>
              <w:rPr>
                <w:rFonts w:ascii="Arial" w:hAnsi="Arial"/>
                <w:sz w:val="20"/>
              </w:rPr>
              <w:t>OIG List of Excluded Individuals/Entities</w:t>
            </w:r>
          </w:p>
        </w:tc>
      </w:tr>
      <w:tr>
        <w:tc>
          <w:tcPr>
            <w:tcW w:type="dxa" w:w="4680"/>
          </w:tcPr>
          <w:p>
            <w:r/>
            <w:r>
              <w:rPr>
                <w:rFonts w:ascii="Arial" w:hAnsi="Arial"/>
                <w:sz w:val="20"/>
              </w:rPr>
              <w:t>NPI</w:t>
            </w:r>
          </w:p>
        </w:tc>
        <w:tc>
          <w:tcPr>
            <w:tcW w:type="dxa" w:w="4680"/>
          </w:tcPr>
          <w:p>
            <w:r/>
            <w:r>
              <w:rPr>
                <w:rFonts w:ascii="Arial" w:hAnsi="Arial"/>
                <w:sz w:val="20"/>
              </w:rPr>
              <w:t>National Provider Identifier (10 digits, Luhn check digit)</w:t>
            </w:r>
          </w:p>
        </w:tc>
      </w:tr>
      <w:tr>
        <w:tc>
          <w:tcPr>
            <w:tcW w:type="dxa" w:w="4680"/>
          </w:tcPr>
          <w:p>
            <w:r/>
            <w:r>
              <w:rPr>
                <w:rFonts w:ascii="Arial" w:hAnsi="Arial"/>
                <w:sz w:val="20"/>
              </w:rPr>
              <w:t>NPPES</w:t>
            </w:r>
          </w:p>
        </w:tc>
        <w:tc>
          <w:tcPr>
            <w:tcW w:type="dxa" w:w="4680"/>
          </w:tcPr>
          <w:p>
            <w:r/>
            <w:r>
              <w:rPr>
                <w:rFonts w:ascii="Arial" w:hAnsi="Arial"/>
                <w:sz w:val="20"/>
              </w:rPr>
              <w:t>National Plan and Provider Enumeration System</w:t>
            </w:r>
          </w:p>
        </w:tc>
      </w:tr>
      <w:tr>
        <w:tc>
          <w:tcPr>
            <w:tcW w:type="dxa" w:w="4680"/>
          </w:tcPr>
          <w:p>
            <w:r/>
            <w:r>
              <w:rPr>
                <w:rFonts w:ascii="Arial" w:hAnsi="Arial"/>
                <w:sz w:val="20"/>
              </w:rPr>
              <w:t>ODC</w:t>
            </w:r>
          </w:p>
        </w:tc>
        <w:tc>
          <w:tcPr>
            <w:tcW w:type="dxa" w:w="4680"/>
          </w:tcPr>
          <w:p>
            <w:r/>
            <w:r>
              <w:rPr>
                <w:rFonts w:ascii="Arial" w:hAnsi="Arial"/>
                <w:sz w:val="20"/>
              </w:rPr>
              <w:t>Other Direct Costs</w:t>
            </w:r>
          </w:p>
        </w:tc>
      </w:tr>
      <w:tr>
        <w:tc>
          <w:tcPr>
            <w:tcW w:type="dxa" w:w="4680"/>
          </w:tcPr>
          <w:p>
            <w:r/>
            <w:r>
              <w:rPr>
                <w:rFonts w:ascii="Arial" w:hAnsi="Arial"/>
                <w:sz w:val="20"/>
              </w:rPr>
              <w:t>PECOS</w:t>
            </w:r>
          </w:p>
        </w:tc>
        <w:tc>
          <w:tcPr>
            <w:tcW w:type="dxa" w:w="4680"/>
          </w:tcPr>
          <w:p>
            <w:r/>
            <w:r>
              <w:rPr>
                <w:rFonts w:ascii="Arial" w:hAnsi="Arial"/>
                <w:sz w:val="20"/>
              </w:rPr>
              <w:t>Provider Enrollment, Chain and Ownership System</w:t>
            </w:r>
          </w:p>
        </w:tc>
      </w:tr>
      <w:tr>
        <w:tc>
          <w:tcPr>
            <w:tcW w:type="dxa" w:w="4680"/>
          </w:tcPr>
          <w:p>
            <w:r/>
            <w:r>
              <w:rPr>
                <w:rFonts w:ascii="Arial" w:hAnsi="Arial"/>
                <w:sz w:val="20"/>
              </w:rPr>
              <w:t>PHI</w:t>
            </w:r>
          </w:p>
        </w:tc>
        <w:tc>
          <w:tcPr>
            <w:tcW w:type="dxa" w:w="4680"/>
          </w:tcPr>
          <w:p>
            <w:r/>
            <w:r>
              <w:rPr>
                <w:rFonts w:ascii="Arial" w:hAnsi="Arial"/>
                <w:sz w:val="20"/>
              </w:rPr>
              <w:t>Protected Health Information</w:t>
            </w:r>
          </w:p>
        </w:tc>
      </w:tr>
      <w:tr>
        <w:tc>
          <w:tcPr>
            <w:tcW w:type="dxa" w:w="4680"/>
          </w:tcPr>
          <w:p>
            <w:r/>
            <w:r>
              <w:rPr>
                <w:rFonts w:ascii="Arial" w:hAnsi="Arial"/>
                <w:sz w:val="20"/>
              </w:rPr>
              <w:t>QHIN</w:t>
            </w:r>
          </w:p>
        </w:tc>
        <w:tc>
          <w:tcPr>
            <w:tcW w:type="dxa" w:w="4680"/>
          </w:tcPr>
          <w:p>
            <w:r/>
            <w:r>
              <w:rPr>
                <w:rFonts w:ascii="Arial" w:hAnsi="Arial"/>
                <w:sz w:val="20"/>
              </w:rPr>
              <w:t>Qualified Health Information Network</w:t>
            </w:r>
          </w:p>
        </w:tc>
      </w:tr>
      <w:tr>
        <w:tc>
          <w:tcPr>
            <w:tcW w:type="dxa" w:w="4680"/>
          </w:tcPr>
          <w:p>
            <w:r/>
            <w:r>
              <w:rPr>
                <w:rFonts w:ascii="Arial" w:hAnsi="Arial"/>
                <w:sz w:val="20"/>
              </w:rPr>
              <w:t>QTF</w:t>
            </w:r>
          </w:p>
        </w:tc>
        <w:tc>
          <w:tcPr>
            <w:tcW w:type="dxa" w:w="4680"/>
          </w:tcPr>
          <w:p>
            <w:r/>
            <w:r>
              <w:rPr>
                <w:rFonts w:ascii="Arial" w:hAnsi="Arial"/>
                <w:sz w:val="20"/>
              </w:rPr>
              <w:t>QHIN Technical Framework</w:t>
            </w:r>
          </w:p>
        </w:tc>
      </w:tr>
      <w:tr>
        <w:tc>
          <w:tcPr>
            <w:tcW w:type="dxa" w:w="4680"/>
          </w:tcPr>
          <w:p>
            <w:r/>
            <w:r>
              <w:rPr>
                <w:rFonts w:ascii="Arial" w:hAnsi="Arial"/>
                <w:sz w:val="20"/>
              </w:rPr>
              <w:t>RBAC</w:t>
            </w:r>
          </w:p>
        </w:tc>
        <w:tc>
          <w:tcPr>
            <w:tcW w:type="dxa" w:w="4680"/>
          </w:tcPr>
          <w:p>
            <w:r/>
            <w:r>
              <w:rPr>
                <w:rFonts w:ascii="Arial" w:hAnsi="Arial"/>
                <w:sz w:val="20"/>
              </w:rPr>
              <w:t>Role-Based Access Control</w:t>
            </w:r>
          </w:p>
        </w:tc>
      </w:tr>
      <w:tr>
        <w:tc>
          <w:tcPr>
            <w:tcW w:type="dxa" w:w="4680"/>
          </w:tcPr>
          <w:p>
            <w:r/>
            <w:r>
              <w:rPr>
                <w:rFonts w:ascii="Arial" w:hAnsi="Arial"/>
                <w:sz w:val="20"/>
              </w:rPr>
              <w:t>RCE</w:t>
            </w:r>
          </w:p>
        </w:tc>
        <w:tc>
          <w:tcPr>
            <w:tcW w:type="dxa" w:w="4680"/>
          </w:tcPr>
          <w:p>
            <w:r/>
            <w:r>
              <w:rPr>
                <w:rFonts w:ascii="Arial" w:hAnsi="Arial"/>
                <w:sz w:val="20"/>
              </w:rPr>
              <w:t>Recognized Coordinating Entity (The Sequoia Project)</w:t>
            </w:r>
          </w:p>
        </w:tc>
      </w:tr>
      <w:tr>
        <w:tc>
          <w:tcPr>
            <w:tcW w:type="dxa" w:w="4680"/>
          </w:tcPr>
          <w:p>
            <w:r/>
            <w:r>
              <w:rPr>
                <w:rFonts w:ascii="Arial" w:hAnsi="Arial"/>
                <w:sz w:val="20"/>
              </w:rPr>
              <w:t>RTM</w:t>
            </w:r>
          </w:p>
        </w:tc>
        <w:tc>
          <w:tcPr>
            <w:tcW w:type="dxa" w:w="4680"/>
          </w:tcPr>
          <w:p>
            <w:r/>
            <w:r>
              <w:rPr>
                <w:rFonts w:ascii="Arial" w:hAnsi="Arial"/>
                <w:sz w:val="20"/>
              </w:rPr>
              <w:t>Requirements Traceability Matrix</w:t>
            </w:r>
          </w:p>
        </w:tc>
      </w:tr>
      <w:tr>
        <w:tc>
          <w:tcPr>
            <w:tcW w:type="dxa" w:w="4680"/>
          </w:tcPr>
          <w:p>
            <w:r/>
            <w:r>
              <w:rPr>
                <w:rFonts w:ascii="Arial" w:hAnsi="Arial"/>
                <w:sz w:val="20"/>
              </w:rPr>
              <w:t>SAM.gov</w:t>
            </w:r>
          </w:p>
        </w:tc>
        <w:tc>
          <w:tcPr>
            <w:tcW w:type="dxa" w:w="4680"/>
          </w:tcPr>
          <w:p>
            <w:r/>
            <w:r>
              <w:rPr>
                <w:rFonts w:ascii="Arial" w:hAnsi="Arial"/>
                <w:sz w:val="20"/>
              </w:rPr>
              <w:t>System for Award Management</w:t>
            </w:r>
          </w:p>
        </w:tc>
      </w:tr>
      <w:tr>
        <w:tc>
          <w:tcPr>
            <w:tcW w:type="dxa" w:w="4680"/>
          </w:tcPr>
          <w:p>
            <w:r/>
            <w:r>
              <w:rPr>
                <w:rFonts w:ascii="Arial" w:hAnsi="Arial"/>
                <w:sz w:val="20"/>
              </w:rPr>
              <w:t>SLA</w:t>
            </w:r>
          </w:p>
        </w:tc>
        <w:tc>
          <w:tcPr>
            <w:tcW w:type="dxa" w:w="4680"/>
          </w:tcPr>
          <w:p>
            <w:r/>
            <w:r>
              <w:rPr>
                <w:rFonts w:ascii="Arial" w:hAnsi="Arial"/>
                <w:sz w:val="20"/>
              </w:rPr>
              <w:t>Service Level Agreement</w:t>
            </w:r>
          </w:p>
        </w:tc>
      </w:tr>
      <w:tr>
        <w:tc>
          <w:tcPr>
            <w:tcW w:type="dxa" w:w="4680"/>
          </w:tcPr>
          <w:p>
            <w:r/>
            <w:r>
              <w:rPr>
                <w:rFonts w:ascii="Arial" w:hAnsi="Arial"/>
                <w:sz w:val="20"/>
              </w:rPr>
              <w:t>SOW</w:t>
            </w:r>
          </w:p>
        </w:tc>
        <w:tc>
          <w:tcPr>
            <w:tcW w:type="dxa" w:w="4680"/>
          </w:tcPr>
          <w:p>
            <w:r/>
            <w:r>
              <w:rPr>
                <w:rFonts w:ascii="Arial" w:hAnsi="Arial"/>
                <w:sz w:val="20"/>
              </w:rPr>
              <w:t>Statement of Work</w:t>
            </w:r>
          </w:p>
        </w:tc>
      </w:tr>
      <w:tr>
        <w:tc>
          <w:tcPr>
            <w:tcW w:type="dxa" w:w="4680"/>
          </w:tcPr>
          <w:p>
            <w:r/>
            <w:r>
              <w:rPr>
                <w:rFonts w:ascii="Arial" w:hAnsi="Arial"/>
                <w:sz w:val="20"/>
              </w:rPr>
              <w:t>T1/T2/T3</w:t>
            </w:r>
          </w:p>
        </w:tc>
        <w:tc>
          <w:tcPr>
            <w:tcW w:type="dxa" w:w="4680"/>
          </w:tcPr>
          <w:p>
            <w:r/>
            <w:r>
              <w:rPr>
                <w:rFonts w:ascii="Arial" w:hAnsi="Arial"/>
                <w:sz w:val="20"/>
              </w:rPr>
              <w:t>The three review routing tiers</w:t>
            </w:r>
          </w:p>
        </w:tc>
      </w:tr>
      <w:tr>
        <w:tc>
          <w:tcPr>
            <w:tcW w:type="dxa" w:w="4680"/>
          </w:tcPr>
          <w:p>
            <w:r/>
            <w:r>
              <w:rPr>
                <w:rFonts w:ascii="Arial" w:hAnsi="Arial"/>
                <w:sz w:val="20"/>
              </w:rPr>
              <w:t>TEFCA</w:t>
            </w:r>
          </w:p>
        </w:tc>
        <w:tc>
          <w:tcPr>
            <w:tcW w:type="dxa" w:w="4680"/>
          </w:tcPr>
          <w:p>
            <w:r/>
            <w:r>
              <w:rPr>
                <w:rFonts w:ascii="Arial" w:hAnsi="Arial"/>
                <w:sz w:val="20"/>
              </w:rPr>
              <w:t>Trusted Exchange Framework and Common Agreement</w:t>
            </w:r>
          </w:p>
        </w:tc>
      </w:tr>
      <w:tr>
        <w:tc>
          <w:tcPr>
            <w:tcW w:type="dxa" w:w="4680"/>
          </w:tcPr>
          <w:p>
            <w:r/>
            <w:r>
              <w:rPr>
                <w:rFonts w:ascii="Arial" w:hAnsi="Arial"/>
                <w:sz w:val="20"/>
              </w:rPr>
              <w:t>USPS</w:t>
            </w:r>
          </w:p>
        </w:tc>
        <w:tc>
          <w:tcPr>
            <w:tcW w:type="dxa" w:w="4680"/>
          </w:tcPr>
          <w:p>
            <w:r/>
            <w:r>
              <w:rPr>
                <w:rFonts w:ascii="Arial" w:hAnsi="Arial"/>
                <w:sz w:val="20"/>
              </w:rPr>
              <w:t>United States Postal Service</w:t>
            </w:r>
          </w:p>
        </w:tc>
      </w:tr>
    </w:tbl>
    <w:p/>
    <w:p>
      <w:pPr>
        <w:pStyle w:val="Heading2"/>
      </w:pPr>
      <w:r>
        <w:t>1.4 References</w:t>
      </w:r>
    </w:p>
    <w:p>
      <w:pPr>
        <w:pStyle w:val="ListNumber"/>
      </w:pPr>
      <w:r>
        <w:rPr>
          <w:rFonts w:ascii="Arial" w:hAnsi="Arial"/>
        </w:rPr>
        <w:t xml:space="preserve">Contract </w:t>
      </w:r>
      <w:r>
        <w:rPr>
          <w:rFonts w:ascii="Arial" w:hAnsi="Arial"/>
          <w:b/>
        </w:rPr>
        <w:t>7571MN26F80064</w:t>
      </w:r>
      <w:r>
        <w:rPr>
          <w:rFonts w:ascii="Arial" w:hAnsi="Arial"/>
        </w:rPr>
        <w:t>, Statement of Work, Section C, Tasks 1–6</w:t>
      </w:r>
    </w:p>
    <w:p>
      <w:pPr>
        <w:pStyle w:val="ListNumber"/>
      </w:pPr>
      <w:r>
        <w:rPr>
          <w:rFonts w:ascii="Arial" w:hAnsi="Arial"/>
          <w:b/>
        </w:rPr>
        <w:t>TEFCA Common Agreement</w:t>
      </w:r>
      <w:r>
        <w:rPr>
          <w:rFonts w:ascii="Arial" w:hAnsi="Arial"/>
        </w:rPr>
        <w:t xml:space="preserve"> (ONC/ASTP)</w:t>
      </w:r>
    </w:p>
    <w:p>
      <w:pPr>
        <w:pStyle w:val="ListNumber"/>
      </w:pPr>
      <w:r>
        <w:rPr>
          <w:rFonts w:ascii="Arial" w:hAnsi="Arial"/>
          <w:b/>
        </w:rPr>
        <w:t>QHIN Technical Framework (QTF) v2.1</w:t>
      </w:r>
    </w:p>
    <w:p>
      <w:pPr>
        <w:pStyle w:val="ListNumber"/>
      </w:pPr>
      <w:r>
        <w:rPr>
          <w:rFonts w:ascii="Arial" w:hAnsi="Arial"/>
          <w:b/>
        </w:rPr>
        <w:t>45 CFR Part 172</w:t>
      </w:r>
      <w:r>
        <w:rPr>
          <w:rFonts w:ascii="Arial" w:hAnsi="Arial"/>
        </w:rPr>
        <w:t xml:space="preserve"> — HTI-2 Final Rule (TEFCA codification)</w:t>
      </w:r>
    </w:p>
    <w:p>
      <w:pPr>
        <w:pStyle w:val="ListNumber"/>
      </w:pPr>
      <w:r>
        <w:rPr>
          <w:rFonts w:ascii="Arial" w:hAnsi="Arial"/>
          <w:b/>
        </w:rPr>
        <w:t>NIST SP 800-53 Rev. 5</w:t>
      </w:r>
      <w:r>
        <w:rPr>
          <w:rFonts w:ascii="Arial" w:hAnsi="Arial"/>
        </w:rPr>
        <w:t xml:space="preserve"> — Security and Privacy Controls</w:t>
      </w:r>
    </w:p>
    <w:p>
      <w:pPr>
        <w:pStyle w:val="ListNumber"/>
      </w:pPr>
      <w:r>
        <w:rPr>
          <w:rFonts w:ascii="Arial" w:hAnsi="Arial"/>
          <w:b/>
        </w:rPr>
        <w:t>NIST SP 800-160 Rev. 1</w:t>
      </w:r>
      <w:r>
        <w:rPr>
          <w:rFonts w:ascii="Arial" w:hAnsi="Arial"/>
        </w:rPr>
        <w:t xml:space="preserve"> — Engineering Trustworthy Secure Systems</w:t>
      </w:r>
    </w:p>
    <w:p>
      <w:pPr>
        <w:pStyle w:val="ListNumber"/>
      </w:pPr>
      <w:r>
        <w:rPr>
          <w:rFonts w:ascii="Arial" w:hAnsi="Arial"/>
          <w:b/>
        </w:rPr>
        <w:t>IEEE 830-1998</w:t>
      </w:r>
      <w:r>
        <w:rPr>
          <w:rFonts w:ascii="Arial" w:hAnsi="Arial"/>
        </w:rPr>
        <w:t xml:space="preserve"> / </w:t>
      </w:r>
      <w:r>
        <w:rPr>
          <w:rFonts w:ascii="Arial" w:hAnsi="Arial"/>
          <w:b/>
        </w:rPr>
        <w:t>ISO/IEC/IEEE 29148:2011</w:t>
      </w:r>
      <w:r>
        <w:rPr>
          <w:rFonts w:ascii="Arial" w:hAnsi="Arial"/>
        </w:rPr>
        <w:t xml:space="preserve"> — Requirements specification</w:t>
      </w:r>
    </w:p>
    <w:p>
      <w:pPr>
        <w:pStyle w:val="ListNumber"/>
      </w:pPr>
      <w:r>
        <w:rPr>
          <w:rFonts w:ascii="Arial" w:hAnsi="Arial"/>
          <w:b/>
        </w:rPr>
        <w:t>HHS Enterprise Performance Life Cycle (EPLC) Framework</w:t>
      </w:r>
    </w:p>
    <w:p>
      <w:pPr>
        <w:pStyle w:val="ListNumber"/>
      </w:pPr>
      <w:r>
        <w:rPr>
          <w:rFonts w:ascii="Arial" w:hAnsi="Arial"/>
          <w:b/>
        </w:rPr>
        <w:t>FIPS 199</w:t>
      </w:r>
      <w:r>
        <w:rPr>
          <w:rFonts w:ascii="Arial" w:hAnsi="Arial"/>
        </w:rPr>
        <w:t xml:space="preserve"> — Standards for Security Categorization</w:t>
      </w:r>
    </w:p>
    <w:p>
      <w:pPr>
        <w:pStyle w:val="ListNumber"/>
      </w:pPr>
      <w:r>
        <w:rPr>
          <w:rFonts w:ascii="Arial" w:hAnsi="Arial"/>
          <w:b/>
        </w:rPr>
        <w:t>Section 508</w:t>
      </w:r>
      <w:r>
        <w:rPr>
          <w:rFonts w:ascii="Arial" w:hAnsi="Arial"/>
        </w:rPr>
        <w:t xml:space="preserve"> of the Rehabilitation Act; </w:t>
      </w:r>
      <w:r>
        <w:rPr>
          <w:rFonts w:ascii="Arial" w:hAnsi="Arial"/>
          <w:b/>
        </w:rPr>
        <w:t>WCAG 2.2 Level AA</w:t>
      </w:r>
    </w:p>
    <w:p>
      <w:pPr>
        <w:pStyle w:val="ListNumber"/>
      </w:pPr>
      <w:r>
        <w:rPr>
          <w:rFonts w:ascii="Arial" w:hAnsi="Arial"/>
          <w:b/>
        </w:rPr>
        <w:t>USPS Publication 28</w:t>
      </w:r>
      <w:r>
        <w:rPr>
          <w:rFonts w:ascii="Arial" w:hAnsi="Arial"/>
        </w:rPr>
        <w:t xml:space="preserve"> — Postal Addressing Standards</w:t>
      </w:r>
    </w:p>
    <w:p>
      <w:pPr>
        <w:pStyle w:val="Heading2"/>
      </w:pPr>
      <w:r>
        <w:t>1.5 Document Overview</w:t>
      </w:r>
    </w:p>
    <w:p>
      <w:r>
        <w:rPr>
          <w:rFonts w:ascii="Arial" w:hAnsi="Arial"/>
        </w:rPr>
        <w:t>Section 2 describes the system in context. Section 3 specifies functional requirements organized by SOW Task, each with a unique identifier and traceability to its deliverable. Section 4 specifies non-functional requirements. Section 5 contains the appendices, including the Requirements Traceability Matrix (Appendix E) and the production delta (Appendix F).</w:t>
      </w:r>
    </w:p>
    <w:p>
      <w:r>
        <w:br w:type="page"/>
      </w:r>
    </w:p>
    <w:p>
      <w:pPr>
        <w:pStyle w:val="Heading1"/>
      </w:pPr>
      <w:r>
        <w:t>2. Overall Description</w:t>
      </w:r>
    </w:p>
    <w:p>
      <w:pPr>
        <w:pStyle w:val="Heading2"/>
      </w:pPr>
      <w:r>
        <w:t>2.1 Product Perspective</w:t>
      </w:r>
    </w:p>
    <w:p>
      <w:r>
        <w:rPr>
          <w:rFonts w:ascii="Arial" w:hAnsi="Arial"/>
        </w:rPr>
        <w:t xml:space="preserve">DocuAction operates as an ONC-directed verification and reporting system. It does </w:t>
      </w:r>
      <w:r>
        <w:rPr>
          <w:rFonts w:ascii="Arial" w:hAnsi="Arial"/>
          <w:b/>
        </w:rPr>
        <w:t>not</w:t>
      </w:r>
      <w:r>
        <w:rPr>
          <w:rFonts w:ascii="Arial" w:hAnsi="Arial"/>
        </w:rPr>
        <w:t xml:space="preserve"> participate in TEFCA exchange, and it does </w:t>
      </w:r>
      <w:r>
        <w:rPr>
          <w:rFonts w:ascii="Arial" w:hAnsi="Arial"/>
          <w:b/>
        </w:rPr>
        <w:t>not</w:t>
      </w:r>
      <w:r>
        <w:rPr>
          <w:rFonts w:ascii="Arial" w:hAnsi="Arial"/>
        </w:rPr>
        <w:t xml:space="preserve"> query the Recognized Coordinating Entity.</w:t>
      </w:r>
    </w:p>
    <w:p>
      <w:r>
        <w:rPr>
          <w:rFonts w:ascii="Arial" w:hAnsi="Arial"/>
          <w:b/>
        </w:rPr>
        <w:t>Figure 1. DocuAction in the TEFCA Ecosystem</w:t>
      </w:r>
    </w:p>
    <w:p>
      <w:pPr>
        <w:spacing w:line="240" w:lineRule="auto"/>
        <w:ind w:left="360"/>
      </w:pPr>
      <w:r>
        <w:rPr>
          <w:rFonts w:ascii="Consolas" w:hAnsi="Consolas"/>
          <w:sz w:val="18"/>
        </w:rPr>
        <w:t xml:space="preserve">   ┌──────────────────────────────────────────────────────────────────┐</w:t>
        <w:br/>
        <w:t xml:space="preserve">   │                        TEFCA ECOSYSTEM                            │</w:t>
        <w:br/>
        <w:t xml:space="preserve">   │                                                                   │</w:t>
        <w:br/>
        <w:t xml:space="preserve">   │   HHS / ONC (ASTP)                                                │</w:t>
        <w:br/>
        <w:t xml:space="preserve">   │        │                                                          │</w:t>
        <w:br/>
        <w:t xml:space="preserve">   │        │  designates / oversees                                   │</w:t>
        <w:br/>
        <w:t xml:space="preserve">   │        ▼                                                          │</w:t>
        <w:br/>
        <w:t xml:space="preserve">   │   RCE (The Sequoia Project)                                       │</w:t>
        <w:br/>
        <w:t xml:space="preserve">   │        │                                                          │</w:t>
        <w:br/>
        <w:t xml:space="preserve">   │        │  designates                                              │</w:t>
        <w:br/>
        <w:t xml:space="preserve">   │        ▼                                                          │</w:t>
        <w:br/>
        <w:t xml:space="preserve">   │      QHINs  ──────►  Participants  ──────►  Subparticipants       │</w:t>
        <w:br/>
        <w:t xml:space="preserve">   │                                                                   │</w:t>
        <w:br/>
        <w:t xml:space="preserve">   └───────────────────────────┬──────────────────────────────────────┘</w:t>
        <w:br/>
        <w:t xml:space="preserve">                               │</w:t>
        <w:br/>
        <w:t xml:space="preserve">             ONC provides entity population data (contract direction)</w:t>
        <w:br/>
        <w:t xml:space="preserve">                               │</w:t>
        <w:br/>
        <w:t xml:space="preserve">                               ▼</w:t>
        <w:br/>
        <w:t xml:space="preserve">   ┌──────────────────────────────────────────────────────────────────┐</w:t>
        <w:br/>
        <w:t xml:space="preserve">   │              DocuAction TEFCA ARC Platform (AGT)                  │</w:t>
        <w:br/>
        <w:t xml:space="preserve">   │                                                                   │</w:t>
        <w:br/>
        <w:t xml:space="preserve">   │   Import ──► Verify ──► Classify (B1–B4) ──► Route (T1/T2/T3)     │</w:t>
        <w:br/>
        <w:t xml:space="preserve">   │                              │                                    │</w:t>
        <w:br/>
        <w:t xml:space="preserve">   │                              ▼                                    │</w:t>
        <w:br/>
        <w:t xml:space="preserve">   │                   Reports &amp; Evidence Records ──► ONC              │</w:t>
        <w:br/>
        <w:t xml:space="preserve">   └───────────────────────────┬──────────────────────────────────────┘</w:t>
        <w:br/>
        <w:t xml:space="preserve">                               │ queries (read-only)</w:t>
        <w:br/>
        <w:t xml:space="preserve">                               ▼</w:t>
        <w:br/>
        <w:t xml:space="preserve">        NPPES  ·  OIG LEIE  ·  SAM.gov  ·  USPS Address APIs</w:t>
      </w:r>
    </w:p>
    <w:p>
      <w:r>
        <w:rPr>
          <w:rFonts w:ascii="Arial" w:hAnsi="Arial"/>
        </w:rPr>
        <w:t>*Figure 1 places the platform within the TEFCA ecosystem. ONC/ASTP oversees the Recognized Coordinating Entity, which designates QHINs; Participants and Subparticipants sit beneath them. The platform receives entity population data from ONC by contract direction — it does not query the RCE — runs a four-stage pipeline, and returns reports and evidence records to ONC.*</w:t>
      </w:r>
    </w:p>
    <w:p>
      <w:r>
        <w:rPr>
          <w:rFonts w:ascii="Arial" w:hAnsi="Arial"/>
        </w:rPr>
        <w:t>*Alt text: Layered diagram. HHS/ONC oversees the RCE, which designates QHINs; QHINs relate to Participants and then Subparticipants. ONC supplies entity population data downward to the DocuAction platform, which runs a four-stage pipeline — import, verify, classify into buckets B1 to B4, and route to tiers T1 to T3 — then returns reports and evidence records to ONC. The platform separately makes read-only queries to four external sources: NPPES, OIG LEIE, SAM.gov and USPS.*</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**AGT does not contact the RCE (The Sequoia Project) independently.** All TEFCA entity population data is provided by ONC. The class named `RCEDirectoryConnector` (`app/Tefca/connectors.py`) is a **loader for the ONC-provided dataset**, not a live directory integration — its `BASE_URL` is the URN `urn:docuaction:tefca/fhir/r4`, not a network endpoint. The name is retained because the identifier appears in stored database rows, source keys and API payloads; renaming it would be a data migration.</w:t>
            </w:r>
          </w:p>
        </w:tc>
      </w:tr>
    </w:tbl>
    <w:p/>
    <w:p>
      <w:pPr>
        <w:pStyle w:val="Heading2"/>
      </w:pPr>
      <w:r>
        <w:t>2.2 Product Functions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w:t>
            </w:r>
          </w:p>
        </w:tc>
        <w:tc>
          <w:tcPr>
            <w:tcW w:type="dxa" w:w="3120"/>
            <w:shd w:val="clear" w:fill="003087"/>
          </w:tcPr>
          <w:p>
            <w:r/>
            <w:r>
              <w:rPr>
                <w:rFonts w:ascii="Arial" w:hAnsi="Arial"/>
                <w:b/>
                <w:color w:val="FFFFFF"/>
                <w:sz w:val="20"/>
              </w:rPr>
              <w:t>Function</w:t>
            </w:r>
          </w:p>
        </w:tc>
        <w:tc>
          <w:tcPr>
            <w:tcW w:type="dxa" w:w="3120"/>
            <w:shd w:val="clear" w:fill="003087"/>
          </w:tcPr>
          <w:p>
            <w:r/>
            <w:r>
              <w:rPr>
                <w:rFonts w:ascii="Arial" w:hAnsi="Arial"/>
                <w:b/>
                <w:color w:val="FFFFFF"/>
                <w:sz w:val="20"/>
              </w:rPr>
              <w:t>SOW Task</w:t>
            </w:r>
          </w:p>
        </w:tc>
      </w:tr>
      <w:tr>
        <w:tc>
          <w:tcPr>
            <w:tcW w:type="dxa" w:w="3120"/>
          </w:tcPr>
          <w:p>
            <w:r/>
            <w:r>
              <w:rPr>
                <w:rFonts w:ascii="Arial" w:hAnsi="Arial"/>
                <w:sz w:val="20"/>
              </w:rPr>
              <w:t>1</w:t>
            </w:r>
          </w:p>
        </w:tc>
        <w:tc>
          <w:tcPr>
            <w:tcW w:type="dxa" w:w="3120"/>
          </w:tcPr>
          <w:p>
            <w:r/>
            <w:r>
              <w:rPr>
                <w:rFonts w:ascii="Arial" w:hAnsi="Arial"/>
                <w:sz w:val="20"/>
              </w:rPr>
              <w:t>Ingest ONC-provided entity population data via CSV and FHIR bundle import</w:t>
            </w:r>
          </w:p>
        </w:tc>
        <w:tc>
          <w:tcPr>
            <w:tcW w:type="dxa" w:w="3120"/>
          </w:tcPr>
          <w:p>
            <w:r/>
            <w:r>
              <w:rPr>
                <w:rFonts w:ascii="Arial" w:hAnsi="Arial"/>
                <w:sz w:val="20"/>
              </w:rPr>
              <w:t>T3, T4</w:t>
            </w:r>
          </w:p>
        </w:tc>
      </w:tr>
      <w:tr>
        <w:tc>
          <w:tcPr>
            <w:tcW w:type="dxa" w:w="3120"/>
          </w:tcPr>
          <w:p>
            <w:r/>
            <w:r>
              <w:rPr>
                <w:rFonts w:ascii="Arial" w:hAnsi="Arial"/>
                <w:sz w:val="20"/>
              </w:rPr>
              <w:t>2</w:t>
            </w:r>
          </w:p>
        </w:tc>
        <w:tc>
          <w:tcPr>
            <w:tcW w:type="dxa" w:w="3120"/>
          </w:tcPr>
          <w:p>
            <w:r/>
            <w:r>
              <w:rPr>
                <w:rFonts w:ascii="Arial" w:hAnsi="Arial"/>
                <w:sz w:val="20"/>
              </w:rPr>
              <w:t>Verify entity attributes against authoritative external sources</w:t>
            </w:r>
          </w:p>
        </w:tc>
        <w:tc>
          <w:tcPr>
            <w:tcW w:type="dxa" w:w="3120"/>
          </w:tcPr>
          <w:p>
            <w:r/>
            <w:r>
              <w:rPr>
                <w:rFonts w:ascii="Arial" w:hAnsi="Arial"/>
                <w:sz w:val="20"/>
              </w:rPr>
              <w:t>T3, T4, T5</w:t>
            </w:r>
          </w:p>
        </w:tc>
      </w:tr>
      <w:tr>
        <w:tc>
          <w:tcPr>
            <w:tcW w:type="dxa" w:w="3120"/>
          </w:tcPr>
          <w:p>
            <w:r/>
            <w:r>
              <w:rPr>
                <w:rFonts w:ascii="Arial" w:hAnsi="Arial"/>
                <w:sz w:val="20"/>
              </w:rPr>
              <w:t>3</w:t>
            </w:r>
          </w:p>
        </w:tc>
        <w:tc>
          <w:tcPr>
            <w:tcW w:type="dxa" w:w="3120"/>
          </w:tcPr>
          <w:p>
            <w:r/>
            <w:r>
              <w:rPr>
                <w:rFonts w:ascii="Arial" w:hAnsi="Arial"/>
                <w:sz w:val="20"/>
              </w:rPr>
              <w:t>Classify discrepancies into the B1–B4 taxonomy</w:t>
            </w:r>
          </w:p>
        </w:tc>
        <w:tc>
          <w:tcPr>
            <w:tcW w:type="dxa" w:w="3120"/>
          </w:tcPr>
          <w:p>
            <w:r/>
            <w:r>
              <w:rPr>
                <w:rFonts w:ascii="Arial" w:hAnsi="Arial"/>
                <w:sz w:val="20"/>
              </w:rPr>
              <w:t>T2, T3</w:t>
            </w:r>
          </w:p>
        </w:tc>
      </w:tr>
      <w:tr>
        <w:tc>
          <w:tcPr>
            <w:tcW w:type="dxa" w:w="3120"/>
          </w:tcPr>
          <w:p>
            <w:r/>
            <w:r>
              <w:rPr>
                <w:rFonts w:ascii="Arial" w:hAnsi="Arial"/>
                <w:sz w:val="20"/>
              </w:rPr>
              <w:t>4</w:t>
            </w:r>
          </w:p>
        </w:tc>
        <w:tc>
          <w:tcPr>
            <w:tcW w:type="dxa" w:w="3120"/>
          </w:tcPr>
          <w:p>
            <w:r/>
            <w:r>
              <w:rPr>
                <w:rFonts w:ascii="Arial" w:hAnsi="Arial"/>
                <w:sz w:val="20"/>
              </w:rPr>
              <w:t>Route findings through the T1/T2/T3 review tiers</w:t>
            </w:r>
          </w:p>
        </w:tc>
        <w:tc>
          <w:tcPr>
            <w:tcW w:type="dxa" w:w="3120"/>
          </w:tcPr>
          <w:p>
            <w:r/>
            <w:r>
              <w:rPr>
                <w:rFonts w:ascii="Arial" w:hAnsi="Arial"/>
                <w:sz w:val="20"/>
              </w:rPr>
              <w:t>T2, T3, T4</w:t>
            </w:r>
          </w:p>
        </w:tc>
      </w:tr>
      <w:tr>
        <w:tc>
          <w:tcPr>
            <w:tcW w:type="dxa" w:w="3120"/>
          </w:tcPr>
          <w:p>
            <w:r/>
            <w:r>
              <w:rPr>
                <w:rFonts w:ascii="Arial" w:hAnsi="Arial"/>
                <w:sz w:val="20"/>
              </w:rPr>
              <w:t>5</w:t>
            </w:r>
          </w:p>
        </w:tc>
        <w:tc>
          <w:tcPr>
            <w:tcW w:type="dxa" w:w="3120"/>
          </w:tcPr>
          <w:p>
            <w:r/>
            <w:r>
              <w:rPr>
                <w:rFonts w:ascii="Arial" w:hAnsi="Arial"/>
                <w:sz w:val="20"/>
              </w:rPr>
              <w:t>Draw reproducible statistical samples at a stated confidence level</w:t>
            </w:r>
          </w:p>
        </w:tc>
        <w:tc>
          <w:tcPr>
            <w:tcW w:type="dxa" w:w="3120"/>
          </w:tcPr>
          <w:p>
            <w:r/>
            <w:r>
              <w:rPr>
                <w:rFonts w:ascii="Arial" w:hAnsi="Arial"/>
                <w:sz w:val="20"/>
              </w:rPr>
              <w:t>T2, T3</w:t>
            </w:r>
          </w:p>
        </w:tc>
      </w:tr>
      <w:tr>
        <w:tc>
          <w:tcPr>
            <w:tcW w:type="dxa" w:w="3120"/>
          </w:tcPr>
          <w:p>
            <w:r/>
            <w:r>
              <w:rPr>
                <w:rFonts w:ascii="Arial" w:hAnsi="Arial"/>
                <w:sz w:val="20"/>
              </w:rPr>
              <w:t>6</w:t>
            </w:r>
          </w:p>
        </w:tc>
        <w:tc>
          <w:tcPr>
            <w:tcW w:type="dxa" w:w="3120"/>
          </w:tcPr>
          <w:p>
            <w:r/>
            <w:r>
              <w:rPr>
                <w:rFonts w:ascii="Arial" w:hAnsi="Arial"/>
                <w:sz w:val="20"/>
              </w:rPr>
              <w:t>Manage review cycles keyed to contract task type</w:t>
            </w:r>
          </w:p>
        </w:tc>
        <w:tc>
          <w:tcPr>
            <w:tcW w:type="dxa" w:w="3120"/>
          </w:tcPr>
          <w:p>
            <w:r/>
            <w:r>
              <w:rPr>
                <w:rFonts w:ascii="Arial" w:hAnsi="Arial"/>
                <w:sz w:val="20"/>
              </w:rPr>
              <w:t>T3, T4, T5</w:t>
            </w:r>
          </w:p>
        </w:tc>
      </w:tr>
      <w:tr>
        <w:tc>
          <w:tcPr>
            <w:tcW w:type="dxa" w:w="3120"/>
          </w:tcPr>
          <w:p>
            <w:r/>
            <w:r>
              <w:rPr>
                <w:rFonts w:ascii="Arial" w:hAnsi="Arial"/>
                <w:sz w:val="20"/>
              </w:rPr>
              <w:t>7</w:t>
            </w:r>
          </w:p>
        </w:tc>
        <w:tc>
          <w:tcPr>
            <w:tcW w:type="dxa" w:w="3120"/>
          </w:tcPr>
          <w:p>
            <w:r/>
            <w:r>
              <w:rPr>
                <w:rFonts w:ascii="Arial" w:hAnsi="Arial"/>
                <w:sz w:val="20"/>
              </w:rPr>
              <w:t>Track SLA due dates, at-risk and overdue states</w:t>
            </w:r>
          </w:p>
        </w:tc>
        <w:tc>
          <w:tcPr>
            <w:tcW w:type="dxa" w:w="3120"/>
          </w:tcPr>
          <w:p>
            <w:r/>
            <w:r>
              <w:rPr>
                <w:rFonts w:ascii="Arial" w:hAnsi="Arial"/>
                <w:sz w:val="20"/>
              </w:rPr>
              <w:t>T5</w:t>
            </w:r>
          </w:p>
        </w:tc>
      </w:tr>
      <w:tr>
        <w:tc>
          <w:tcPr>
            <w:tcW w:type="dxa" w:w="3120"/>
          </w:tcPr>
          <w:p>
            <w:r/>
            <w:r>
              <w:rPr>
                <w:rFonts w:ascii="Arial" w:hAnsi="Arial"/>
                <w:sz w:val="20"/>
              </w:rPr>
              <w:t>8</w:t>
            </w:r>
          </w:p>
        </w:tc>
        <w:tc>
          <w:tcPr>
            <w:tcW w:type="dxa" w:w="3120"/>
          </w:tcPr>
          <w:p>
            <w:r/>
            <w:r>
              <w:rPr>
                <w:rFonts w:ascii="Arial" w:hAnsi="Arial"/>
                <w:sz w:val="20"/>
              </w:rPr>
              <w:t>Generate weekly, bi-weekly, quarterly and final reports</w:t>
            </w:r>
          </w:p>
        </w:tc>
        <w:tc>
          <w:tcPr>
            <w:tcW w:type="dxa" w:w="3120"/>
          </w:tcPr>
          <w:p>
            <w:r/>
            <w:r>
              <w:rPr>
                <w:rFonts w:ascii="Arial" w:hAnsi="Arial"/>
                <w:sz w:val="20"/>
              </w:rPr>
              <w:t>T3, T4, T5, T6</w:t>
            </w:r>
          </w:p>
        </w:tc>
      </w:tr>
      <w:tr>
        <w:tc>
          <w:tcPr>
            <w:tcW w:type="dxa" w:w="3120"/>
          </w:tcPr>
          <w:p>
            <w:r/>
            <w:r>
              <w:rPr>
                <w:rFonts w:ascii="Arial" w:hAnsi="Arial"/>
                <w:sz w:val="20"/>
              </w:rPr>
              <w:t>9</w:t>
            </w:r>
          </w:p>
        </w:tc>
        <w:tc>
          <w:tcPr>
            <w:tcW w:type="dxa" w:w="3120"/>
          </w:tcPr>
          <w:p>
            <w:r/>
            <w:r>
              <w:rPr>
                <w:rFonts w:ascii="Arial" w:hAnsi="Arial"/>
                <w:sz w:val="20"/>
              </w:rPr>
              <w:t>Maintain an append-only audit trail of every state transition</w:t>
            </w:r>
          </w:p>
        </w:tc>
        <w:tc>
          <w:tcPr>
            <w:tcW w:type="dxa" w:w="3120"/>
          </w:tcPr>
          <w:p>
            <w:r/>
            <w:r>
              <w:rPr>
                <w:rFonts w:ascii="Arial" w:hAnsi="Arial"/>
                <w:sz w:val="20"/>
              </w:rPr>
              <w:t>T2–T6</w:t>
            </w:r>
          </w:p>
        </w:tc>
      </w:tr>
      <w:tr>
        <w:tc>
          <w:tcPr>
            <w:tcW w:type="dxa" w:w="3120"/>
          </w:tcPr>
          <w:p>
            <w:r/>
            <w:r>
              <w:rPr>
                <w:rFonts w:ascii="Arial" w:hAnsi="Arial"/>
                <w:sz w:val="20"/>
              </w:rPr>
              <w:t>10</w:t>
            </w:r>
          </w:p>
        </w:tc>
        <w:tc>
          <w:tcPr>
            <w:tcW w:type="dxa" w:w="3120"/>
          </w:tcPr>
          <w:p>
            <w:r/>
            <w:r>
              <w:rPr>
                <w:rFonts w:ascii="Arial" w:hAnsi="Arial"/>
                <w:sz w:val="20"/>
              </w:rPr>
              <w:t>Enforce eight-level role-based access control</w:t>
            </w:r>
          </w:p>
        </w:tc>
        <w:tc>
          <w:tcPr>
            <w:tcW w:type="dxa" w:w="3120"/>
          </w:tcPr>
          <w:p>
            <w:r/>
            <w:r>
              <w:rPr>
                <w:rFonts w:ascii="Arial" w:hAnsi="Arial"/>
                <w:sz w:val="20"/>
              </w:rPr>
              <w:t>Cross-cutting</w:t>
            </w:r>
          </w:p>
        </w:tc>
      </w:tr>
      <w:tr>
        <w:tc>
          <w:tcPr>
            <w:tcW w:type="dxa" w:w="3120"/>
          </w:tcPr>
          <w:p>
            <w:r/>
            <w:r>
              <w:rPr>
                <w:rFonts w:ascii="Arial" w:hAnsi="Arial"/>
                <w:sz w:val="20"/>
              </w:rPr>
              <w:t>11</w:t>
            </w:r>
          </w:p>
        </w:tc>
        <w:tc>
          <w:tcPr>
            <w:tcW w:type="dxa" w:w="3120"/>
          </w:tcPr>
          <w:p>
            <w:r/>
            <w:r>
              <w:rPr>
                <w:rFonts w:ascii="Arial" w:hAnsi="Arial"/>
                <w:sz w:val="20"/>
              </w:rPr>
              <w:t>Provide role-appropriate dashboards and operational views</w:t>
            </w:r>
          </w:p>
        </w:tc>
        <w:tc>
          <w:tcPr>
            <w:tcW w:type="dxa" w:w="3120"/>
          </w:tcPr>
          <w:p>
            <w:r/>
            <w:r>
              <w:rPr>
                <w:rFonts w:ascii="Arial" w:hAnsi="Arial"/>
                <w:sz w:val="20"/>
              </w:rPr>
              <w:t>Cross-cutting</w:t>
            </w:r>
          </w:p>
        </w:tc>
      </w:tr>
      <w:tr>
        <w:tc>
          <w:tcPr>
            <w:tcW w:type="dxa" w:w="3120"/>
          </w:tcPr>
          <w:p>
            <w:r/>
            <w:r>
              <w:rPr>
                <w:rFonts w:ascii="Arial" w:hAnsi="Arial"/>
                <w:sz w:val="20"/>
              </w:rPr>
              <w:t>12</w:t>
            </w:r>
          </w:p>
        </w:tc>
        <w:tc>
          <w:tcPr>
            <w:tcW w:type="dxa" w:w="3120"/>
          </w:tcPr>
          <w:p>
            <w:r/>
            <w:r>
              <w:rPr>
                <w:rFonts w:ascii="Arial" w:hAnsi="Arial"/>
                <w:sz w:val="20"/>
              </w:rPr>
              <w:t>Produce regulatory intelligence briefings (Bulletin Intelligence)</w:t>
            </w:r>
          </w:p>
        </w:tc>
        <w:tc>
          <w:tcPr>
            <w:tcW w:type="dxa" w:w="3120"/>
          </w:tcPr>
          <w:p>
            <w:r/>
            <w:r>
              <w:rPr>
                <w:rFonts w:ascii="Arial" w:hAnsi="Arial"/>
                <w:sz w:val="20"/>
              </w:rPr>
              <w:t>Cross-cutting</w:t>
            </w:r>
          </w:p>
        </w:tc>
      </w:tr>
    </w:tbl>
    <w:p/>
    <w:p>
      <w:pPr>
        <w:pStyle w:val="Heading2"/>
      </w:pPr>
      <w:r>
        <w:t>2.3 User Classes and Characteristics</w:t>
      </w:r>
    </w:p>
    <w:p>
      <w:r>
        <w:rPr>
          <w:rFonts w:ascii="Arial" w:hAnsi="Arial"/>
        </w:rPr>
        <w:t xml:space="preserve">Eight roles are defined in </w:t>
      </w:r>
      <w:r>
        <w:rPr>
          <w:rFonts w:ascii="Consolas" w:hAnsi="Consolas"/>
          <w:sz w:val="21"/>
        </w:rPr>
        <w:t>app/core/security.py</w:t>
      </w:r>
      <w:r>
        <w:rPr>
          <w:rFonts w:ascii="Arial" w:hAnsi="Arial"/>
        </w:rPr>
        <w:t xml:space="preserve"> (</w:t>
      </w:r>
      <w:r>
        <w:rPr>
          <w:rFonts w:ascii="Consolas" w:hAnsi="Consolas"/>
          <w:sz w:val="21"/>
        </w:rPr>
        <w:t>ROLE_HIERARCHY</w:t>
      </w:r>
      <w:r>
        <w:rPr>
          <w:rFonts w:ascii="Arial" w:hAnsi="Arial"/>
        </w:rPr>
        <w:t xml:space="preserve">). Authorization is </w:t>
      </w:r>
      <w:r>
        <w:rPr>
          <w:rFonts w:ascii="Arial" w:hAnsi="Arial"/>
          <w:b/>
        </w:rPr>
        <w:t>level-based</w:t>
      </w:r>
      <w:r>
        <w:rPr>
          <w:rFonts w:ascii="Arial" w:hAnsi="Arial"/>
        </w:rPr>
        <w:t>: a guard admits any role at or above the declared floor.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Level</w:t>
            </w:r>
          </w:p>
        </w:tc>
        <w:tc>
          <w:tcPr>
            <w:tcW w:type="dxa" w:w="3120"/>
            <w:shd w:val="clear" w:fill="003087"/>
          </w:tcPr>
          <w:p>
            <w:r/>
            <w:r>
              <w:rPr>
                <w:rFonts w:ascii="Arial" w:hAnsi="Arial"/>
                <w:b/>
                <w:color w:val="FFFFFF"/>
                <w:sz w:val="20"/>
              </w:rPr>
              <w:t>Role</w:t>
            </w:r>
          </w:p>
        </w:tc>
        <w:tc>
          <w:tcPr>
            <w:tcW w:type="dxa" w:w="3120"/>
            <w:shd w:val="clear" w:fill="003087"/>
          </w:tcPr>
          <w:p>
            <w:r/>
            <w:r>
              <w:rPr>
                <w:rFonts w:ascii="Arial" w:hAnsi="Arial"/>
                <w:b/>
                <w:color w:val="FFFFFF"/>
                <w:sz w:val="20"/>
              </w:rPr>
              <w:t>Characteristics and needs</w:t>
            </w:r>
          </w:p>
        </w:tc>
      </w:tr>
      <w:tr>
        <w:tc>
          <w:tcPr>
            <w:tcW w:type="dxa" w:w="3120"/>
          </w:tcPr>
          <w:p>
            <w:r/>
            <w:r>
              <w:rPr>
                <w:rFonts w:ascii="Arial" w:hAnsi="Arial"/>
                <w:sz w:val="20"/>
              </w:rPr>
              <w:t>1</w:t>
            </w:r>
          </w:p>
        </w:tc>
        <w:tc>
          <w:tcPr>
            <w:tcW w:type="dxa" w:w="3120"/>
          </w:tcPr>
          <w:p>
            <w:r/>
            <w:r>
              <w:rPr>
                <w:rFonts w:ascii="Arial" w:hAnsi="Arial"/>
                <w:sz w:val="20"/>
              </w:rPr>
              <w:t>`viewer`</w:t>
            </w:r>
          </w:p>
        </w:tc>
        <w:tc>
          <w:tcPr>
            <w:tcW w:type="dxa" w:w="3120"/>
          </w:tcPr>
          <w:p>
            <w:r/>
            <w:r>
              <w:rPr>
                <w:rFonts w:ascii="Arial" w:hAnsi="Arial"/>
                <w:sz w:val="20"/>
              </w:rPr>
              <w:t>Read-only stakeholder. Needs dashboards, reports, entity lists and review history. Cannot import, verify, review, approve or modify.</w:t>
            </w:r>
          </w:p>
        </w:tc>
      </w:tr>
      <w:tr>
        <w:tc>
          <w:tcPr>
            <w:tcW w:type="dxa" w:w="3120"/>
          </w:tcPr>
          <w:p>
            <w:r/>
            <w:r>
              <w:rPr>
                <w:rFonts w:ascii="Arial" w:hAnsi="Arial"/>
                <w:sz w:val="20"/>
              </w:rPr>
              <w:t>2</w:t>
            </w:r>
          </w:p>
        </w:tc>
        <w:tc>
          <w:tcPr>
            <w:tcW w:type="dxa" w:w="3120"/>
          </w:tcPr>
          <w:p>
            <w:r/>
            <w:r>
              <w:rPr>
                <w:rFonts w:ascii="Arial" w:hAnsi="Arial"/>
                <w:sz w:val="20"/>
              </w:rPr>
              <w:t>`contributor`</w:t>
            </w:r>
          </w:p>
        </w:tc>
        <w:tc>
          <w:tcPr>
            <w:tcW w:type="dxa" w:w="3120"/>
          </w:tcPr>
          <w:p>
            <w:r/>
            <w:r>
              <w:rPr>
                <w:rFonts w:ascii="Arial" w:hAnsi="Arial"/>
                <w:sz w:val="20"/>
              </w:rPr>
              <w:t>Data-entry analyst. Everything a viewer can do, plus drawing samples and importing entity rosters. Cannot adjudicate.</w:t>
            </w:r>
          </w:p>
        </w:tc>
      </w:tr>
      <w:tr>
        <w:tc>
          <w:tcPr>
            <w:tcW w:type="dxa" w:w="3120"/>
          </w:tcPr>
          <w:p>
            <w:r/>
            <w:r>
              <w:rPr>
                <w:rFonts w:ascii="Arial" w:hAnsi="Arial"/>
                <w:sz w:val="20"/>
              </w:rPr>
              <w:t>3</w:t>
            </w:r>
          </w:p>
        </w:tc>
        <w:tc>
          <w:tcPr>
            <w:tcW w:type="dxa" w:w="3120"/>
          </w:tcPr>
          <w:p>
            <w:r/>
            <w:r>
              <w:rPr>
                <w:rFonts w:ascii="Arial" w:hAnsi="Arial"/>
                <w:sz w:val="20"/>
              </w:rPr>
              <w:t>`manager`</w:t>
            </w:r>
          </w:p>
        </w:tc>
        <w:tc>
          <w:tcPr>
            <w:tcW w:type="dxa" w:w="3120"/>
          </w:tcPr>
          <w:p>
            <w:r/>
            <w:r>
              <w:rPr>
                <w:rFonts w:ascii="Arial" w:hAnsi="Arial"/>
                <w:sz w:val="20"/>
              </w:rPr>
              <w:t>Generic supervisory role inherited from the base product. No TEFCA-specific privileges beyond contributor.</w:t>
            </w:r>
          </w:p>
        </w:tc>
      </w:tr>
      <w:tr>
        <w:tc>
          <w:tcPr>
            <w:tcW w:type="dxa" w:w="3120"/>
          </w:tcPr>
          <w:p>
            <w:r/>
            <w:r>
              <w:rPr>
                <w:rFonts w:ascii="Arial" w:hAnsi="Arial"/>
                <w:sz w:val="20"/>
              </w:rPr>
              <w:t>4</w:t>
            </w:r>
          </w:p>
        </w:tc>
        <w:tc>
          <w:tcPr>
            <w:tcW w:type="dxa" w:w="3120"/>
          </w:tcPr>
          <w:p>
            <w:r/>
            <w:r>
              <w:rPr>
                <w:rFonts w:ascii="Arial" w:hAnsi="Arial"/>
                <w:sz w:val="20"/>
              </w:rPr>
              <w:t>`reviewer`</w:t>
            </w:r>
          </w:p>
        </w:tc>
        <w:tc>
          <w:tcPr>
            <w:tcW w:type="dxa" w:w="3120"/>
          </w:tcPr>
          <w:p>
            <w:r/>
            <w:r>
              <w:rPr>
                <w:rFonts w:ascii="Arial" w:hAnsi="Arial"/>
                <w:sz w:val="20"/>
              </w:rPr>
              <w:t>Front-line Task 3/4/5 reviewer. Verifies entities, adds notes, submits reviews, resolves findings, executes priority cases. Cannot approve deliverables or manage users.</w:t>
            </w:r>
          </w:p>
        </w:tc>
      </w:tr>
      <w:tr>
        <w:tc>
          <w:tcPr>
            <w:tcW w:type="dxa" w:w="3120"/>
          </w:tcPr>
          <w:p>
            <w:r/>
            <w:r>
              <w:rPr>
                <w:rFonts w:ascii="Arial" w:hAnsi="Arial"/>
                <w:sz w:val="20"/>
              </w:rPr>
              <w:t>5</w:t>
            </w:r>
          </w:p>
        </w:tc>
        <w:tc>
          <w:tcPr>
            <w:tcW w:type="dxa" w:w="3120"/>
          </w:tcPr>
          <w:p>
            <w:r/>
            <w:r>
              <w:rPr>
                <w:rFonts w:ascii="Arial" w:hAnsi="Arial"/>
                <w:sz w:val="20"/>
              </w:rPr>
              <w:t>`senior_analyst`</w:t>
            </w:r>
          </w:p>
        </w:tc>
        <w:tc>
          <w:tcPr>
            <w:tcW w:type="dxa" w:w="3120"/>
          </w:tcPr>
          <w:p>
            <w:r/>
            <w:r>
              <w:rPr>
                <w:rFonts w:ascii="Arial" w:hAnsi="Arial"/>
                <w:sz w:val="20"/>
              </w:rPr>
              <w:t>Adds bucket overrides, the Bucket-3 escalation queue, record classification and calibration.</w:t>
            </w:r>
          </w:p>
        </w:tc>
      </w:tr>
      <w:tr>
        <w:tc>
          <w:tcPr>
            <w:tcW w:type="dxa" w:w="3120"/>
          </w:tcPr>
          <w:p>
            <w:r/>
            <w:r>
              <w:rPr>
                <w:rFonts w:ascii="Arial" w:hAnsi="Arial"/>
                <w:sz w:val="20"/>
              </w:rPr>
              <w:t>6</w:t>
            </w:r>
          </w:p>
        </w:tc>
        <w:tc>
          <w:tcPr>
            <w:tcW w:type="dxa" w:w="3120"/>
          </w:tcPr>
          <w:p>
            <w:r/>
            <w:r>
              <w:rPr>
                <w:rFonts w:ascii="Arial" w:hAnsi="Arial"/>
                <w:sz w:val="20"/>
              </w:rPr>
              <w:t>`qalead`</w:t>
            </w:r>
          </w:p>
        </w:tc>
        <w:tc>
          <w:tcPr>
            <w:tcW w:type="dxa" w:w="3120"/>
          </w:tcPr>
          <w:p>
            <w:r/>
            <w:r>
              <w:rPr>
                <w:rFonts w:ascii="Arial" w:hAnsi="Arial"/>
                <w:sz w:val="20"/>
              </w:rPr>
              <w:t>Adds QA approval, methodology sign-off, weekly/bi-weekly report generation and alert testing. Cannot manage users.</w:t>
            </w:r>
          </w:p>
        </w:tc>
      </w:tr>
      <w:tr>
        <w:tc>
          <w:tcPr>
            <w:tcW w:type="dxa" w:w="3120"/>
          </w:tcPr>
          <w:p>
            <w:r/>
            <w:r>
              <w:rPr>
                <w:rFonts w:ascii="Arial" w:hAnsi="Arial"/>
                <w:sz w:val="20"/>
              </w:rPr>
              <w:t>7</w:t>
            </w:r>
          </w:p>
        </w:tc>
        <w:tc>
          <w:tcPr>
            <w:tcW w:type="dxa" w:w="3120"/>
          </w:tcPr>
          <w:p>
            <w:r/>
            <w:r>
              <w:rPr>
                <w:rFonts w:ascii="Arial" w:hAnsi="Arial"/>
                <w:sz w:val="20"/>
              </w:rPr>
              <w:t>`program_manager`</w:t>
            </w:r>
          </w:p>
        </w:tc>
        <w:tc>
          <w:tcPr>
            <w:tcW w:type="dxa" w:w="3120"/>
          </w:tcPr>
          <w:p>
            <w:r/>
            <w:r>
              <w:rPr>
                <w:rFonts w:ascii="Arial" w:hAnsi="Arial"/>
                <w:sz w:val="20"/>
              </w:rPr>
              <w:t>Adds contract deliverable submission (final and quarterly reports), cycle creation and priority case creation.</w:t>
            </w:r>
          </w:p>
        </w:tc>
      </w:tr>
      <w:tr>
        <w:tc>
          <w:tcPr>
            <w:tcW w:type="dxa" w:w="3120"/>
          </w:tcPr>
          <w:p>
            <w:r/>
            <w:r>
              <w:rPr>
                <w:rFonts w:ascii="Arial" w:hAnsi="Arial"/>
                <w:sz w:val="20"/>
              </w:rPr>
              <w:t>8</w:t>
            </w:r>
          </w:p>
        </w:tc>
        <w:tc>
          <w:tcPr>
            <w:tcW w:type="dxa" w:w="3120"/>
          </w:tcPr>
          <w:p>
            <w:r/>
            <w:r>
              <w:rPr>
                <w:rFonts w:ascii="Arial" w:hAnsi="Arial"/>
                <w:sz w:val="20"/>
              </w:rPr>
              <w:t>`admin`</w:t>
            </w:r>
          </w:p>
        </w:tc>
        <w:tc>
          <w:tcPr>
            <w:tcW w:type="dxa" w:w="3120"/>
          </w:tcPr>
          <w:p>
            <w:r/>
            <w:r>
              <w:rPr>
                <w:rFonts w:ascii="Arial" w:hAnsi="Arial"/>
                <w:sz w:val="20"/>
              </w:rPr>
              <w:t>Full access including user and role management. A subset of admins are *super admins* (email in `ADMIN_EMAILS`) and alone may grant or modify the admin role.</w:t>
            </w:r>
          </w:p>
        </w:tc>
      </w:tr>
    </w:tbl>
    <w:p/>
    <w:p>
      <w:pPr>
        <w:pStyle w:val="Heading2"/>
      </w:pPr>
      <w:r>
        <w:t>2.4 Operating Environment</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Layer</w:t>
            </w:r>
          </w:p>
        </w:tc>
        <w:tc>
          <w:tcPr>
            <w:tcW w:type="dxa" w:w="4680"/>
            <w:shd w:val="clear" w:fill="003087"/>
          </w:tcPr>
          <w:p>
            <w:r/>
            <w:r>
              <w:rPr>
                <w:rFonts w:ascii="Arial" w:hAnsi="Arial"/>
                <w:b/>
                <w:color w:val="FFFFFF"/>
                <w:sz w:val="20"/>
              </w:rPr>
              <w:t>Technology</w:t>
            </w:r>
          </w:p>
        </w:tc>
      </w:tr>
      <w:tr>
        <w:tc>
          <w:tcPr>
            <w:tcW w:type="dxa" w:w="4680"/>
          </w:tcPr>
          <w:p>
            <w:r/>
            <w:r>
              <w:rPr>
                <w:rFonts w:ascii="Arial" w:hAnsi="Arial"/>
                <w:sz w:val="20"/>
              </w:rPr>
              <w:t>Backend runtime</w:t>
            </w:r>
          </w:p>
        </w:tc>
        <w:tc>
          <w:tcPr>
            <w:tcW w:type="dxa" w:w="4680"/>
          </w:tcPr>
          <w:p>
            <w:r/>
            <w:r>
              <w:rPr>
                <w:rFonts w:ascii="Arial" w:hAnsi="Arial"/>
                <w:sz w:val="20"/>
              </w:rPr>
              <w:t>Python 3.12 (Azure), FastAPI, Gunicorn + Uvicorn workers</w:t>
            </w:r>
          </w:p>
        </w:tc>
      </w:tr>
      <w:tr>
        <w:tc>
          <w:tcPr>
            <w:tcW w:type="dxa" w:w="4680"/>
          </w:tcPr>
          <w:p>
            <w:r/>
            <w:r>
              <w:rPr>
                <w:rFonts w:ascii="Arial" w:hAnsi="Arial"/>
                <w:sz w:val="20"/>
              </w:rPr>
              <w:t>Frontend</w:t>
            </w:r>
          </w:p>
        </w:tc>
        <w:tc>
          <w:tcPr>
            <w:tcW w:type="dxa" w:w="4680"/>
          </w:tcPr>
          <w:p>
            <w:r/>
            <w:r>
              <w:rPr>
                <w:rFonts w:ascii="Arial" w:hAnsi="Arial"/>
                <w:sz w:val="20"/>
              </w:rPr>
              <w:t>Next.js (App Router), React, static export</w:t>
            </w:r>
          </w:p>
        </w:tc>
      </w:tr>
      <w:tr>
        <w:tc>
          <w:tcPr>
            <w:tcW w:type="dxa" w:w="4680"/>
          </w:tcPr>
          <w:p>
            <w:r/>
            <w:r>
              <w:rPr>
                <w:rFonts w:ascii="Arial" w:hAnsi="Arial"/>
                <w:sz w:val="20"/>
              </w:rPr>
              <w:t>Database</w:t>
            </w:r>
          </w:p>
        </w:tc>
        <w:tc>
          <w:tcPr>
            <w:tcW w:type="dxa" w:w="4680"/>
          </w:tcPr>
          <w:p>
            <w:r/>
            <w:r>
              <w:rPr>
                <w:rFonts w:ascii="Arial" w:hAnsi="Arial"/>
                <w:sz w:val="20"/>
              </w:rPr>
              <w:t>Azure Database for PostgreSQL Flexible Server</w:t>
            </w:r>
          </w:p>
        </w:tc>
      </w:tr>
      <w:tr>
        <w:tc>
          <w:tcPr>
            <w:tcW w:type="dxa" w:w="4680"/>
          </w:tcPr>
          <w:p>
            <w:r/>
            <w:r>
              <w:rPr>
                <w:rFonts w:ascii="Arial" w:hAnsi="Arial"/>
                <w:sz w:val="20"/>
              </w:rPr>
              <w:t>Backend hosting</w:t>
            </w:r>
          </w:p>
        </w:tc>
        <w:tc>
          <w:tcPr>
            <w:tcW w:type="dxa" w:w="4680"/>
          </w:tcPr>
          <w:p>
            <w:r/>
            <w:r>
              <w:rPr>
                <w:rFonts w:ascii="Arial" w:hAnsi="Arial"/>
                <w:sz w:val="20"/>
              </w:rPr>
              <w:t>Azure App Service (Linux)</w:t>
            </w:r>
          </w:p>
        </w:tc>
      </w:tr>
      <w:tr>
        <w:tc>
          <w:tcPr>
            <w:tcW w:type="dxa" w:w="4680"/>
          </w:tcPr>
          <w:p>
            <w:r/>
            <w:r>
              <w:rPr>
                <w:rFonts w:ascii="Arial" w:hAnsi="Arial"/>
                <w:sz w:val="20"/>
              </w:rPr>
              <w:t>Frontend hosting</w:t>
            </w:r>
          </w:p>
        </w:tc>
        <w:tc>
          <w:tcPr>
            <w:tcW w:type="dxa" w:w="4680"/>
          </w:tcPr>
          <w:p>
            <w:r/>
            <w:r>
              <w:rPr>
                <w:rFonts w:ascii="Arial" w:hAnsi="Arial"/>
                <w:sz w:val="20"/>
              </w:rPr>
              <w:t>Azure Static Web Apps</w:t>
            </w:r>
          </w:p>
        </w:tc>
      </w:tr>
      <w:tr>
        <w:tc>
          <w:tcPr>
            <w:tcW w:type="dxa" w:w="4680"/>
          </w:tcPr>
          <w:p>
            <w:r/>
            <w:r>
              <w:rPr>
                <w:rFonts w:ascii="Arial" w:hAnsi="Arial"/>
                <w:sz w:val="20"/>
              </w:rPr>
              <w:t>Bulletin datastore</w:t>
            </w:r>
          </w:p>
        </w:tc>
        <w:tc>
          <w:tcPr>
            <w:tcW w:type="dxa" w:w="4680"/>
          </w:tcPr>
          <w:p>
            <w:r/>
            <w:r>
              <w:rPr>
                <w:rFonts w:ascii="Arial" w:hAnsi="Arial"/>
                <w:sz w:val="20"/>
              </w:rPr>
              <w:t>Separate SQLite datastore (`BULLETIN_DB_PATH`), independent of the PostgreSQL ORM layer</w:t>
            </w:r>
          </w:p>
        </w:tc>
      </w:tr>
    </w:tbl>
    <w:p/>
    <w:p>
      <w:r>
        <w:rPr>
          <w:rFonts w:ascii="Arial" w:hAnsi="Arial"/>
        </w:rPr>
        <w:t>Two fully isolated environments are maintained — development and production — with separate App Service applications, separate PostgreSQL servers, separate Microsoft Entra ID registrations, separate secrets, and separate allowed hosts/origins. No secret is shared between environments.</w:t>
      </w:r>
    </w:p>
    <w:p>
      <w:pPr>
        <w:pStyle w:val="Heading2"/>
      </w:pPr>
      <w:r>
        <w:t>2.5 Assumptions and Dependencies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ID</w:t>
            </w:r>
          </w:p>
        </w:tc>
        <w:tc>
          <w:tcPr>
            <w:tcW w:type="dxa" w:w="3120"/>
            <w:shd w:val="clear" w:fill="003087"/>
          </w:tcPr>
          <w:p>
            <w:r/>
            <w:r>
              <w:rPr>
                <w:rFonts w:ascii="Arial" w:hAnsi="Arial"/>
                <w:b/>
                <w:color w:val="FFFFFF"/>
                <w:sz w:val="20"/>
              </w:rPr>
              <w:t>Assumption / Dependency</w:t>
            </w:r>
          </w:p>
        </w:tc>
        <w:tc>
          <w:tcPr>
            <w:tcW w:type="dxa" w:w="3120"/>
            <w:shd w:val="clear" w:fill="003087"/>
          </w:tcPr>
          <w:p>
            <w:r/>
            <w:r>
              <w:rPr>
                <w:rFonts w:ascii="Arial" w:hAnsi="Arial"/>
                <w:b/>
                <w:color w:val="FFFFFF"/>
                <w:sz w:val="20"/>
              </w:rPr>
              <w:t>Evidence</w:t>
            </w:r>
          </w:p>
        </w:tc>
      </w:tr>
      <w:tr>
        <w:tc>
          <w:tcPr>
            <w:tcW w:type="dxa" w:w="3120"/>
          </w:tcPr>
          <w:p>
            <w:r/>
            <w:r>
              <w:rPr>
                <w:rFonts w:ascii="Arial" w:hAnsi="Arial"/>
                <w:sz w:val="20"/>
              </w:rPr>
              <w:t>A-01</w:t>
            </w:r>
          </w:p>
        </w:tc>
        <w:tc>
          <w:tcPr>
            <w:tcW w:type="dxa" w:w="3120"/>
          </w:tcPr>
          <w:p>
            <w:r/>
            <w:r>
              <w:rPr>
                <w:rFonts w:ascii="Arial" w:hAnsi="Arial"/>
                <w:sz w:val="20"/>
              </w:rPr>
              <w:t>ONC provides all TEFCA entity population data. AGT does not source it independently.</w:t>
            </w:r>
          </w:p>
        </w:tc>
        <w:tc>
          <w:tcPr>
            <w:tcW w:type="dxa" w:w="3120"/>
          </w:tcPr>
          <w:p>
            <w:r/>
            <w:r>
              <w:rPr>
                <w:rFonts w:ascii="Arial" w:hAnsi="Arial"/>
                <w:sz w:val="20"/>
              </w:rPr>
              <w:t>`RCEDirectoryConnector` docstring; `app/Tefca/connectors.py`</w:t>
            </w:r>
          </w:p>
        </w:tc>
      </w:tr>
      <w:tr>
        <w:tc>
          <w:tcPr>
            <w:tcW w:type="dxa" w:w="3120"/>
          </w:tcPr>
          <w:p>
            <w:r/>
            <w:r>
              <w:rPr>
                <w:rFonts w:ascii="Arial" w:hAnsi="Arial"/>
                <w:sz w:val="20"/>
              </w:rPr>
              <w:t>A-02</w:t>
            </w:r>
          </w:p>
        </w:tc>
        <w:tc>
          <w:tcPr>
            <w:tcW w:type="dxa" w:w="3120"/>
          </w:tcPr>
          <w:p>
            <w:r/>
            <w:r>
              <w:rPr>
                <w:rFonts w:ascii="Arial" w:hAnsi="Arial"/>
                <w:sz w:val="20"/>
              </w:rPr>
              <w:t>`TEFCA_ENTITY_DATA_KEY` signals that the ONC-provided dataset is in place. Absent it, `is_running_mock()` returns `True` and bundled development data is served flagged `data_source="MOCK"`.</w:t>
            </w:r>
          </w:p>
        </w:tc>
        <w:tc>
          <w:tcPr>
            <w:tcW w:type="dxa" w:w="3120"/>
          </w:tcPr>
          <w:p>
            <w:r/>
            <w:r>
              <w:rPr>
                <w:rFonts w:ascii="Arial" w:hAnsi="Arial"/>
                <w:sz w:val="20"/>
              </w:rPr>
              <w:t>`connectors.py:68`</w:t>
            </w:r>
          </w:p>
        </w:tc>
      </w:tr>
      <w:tr>
        <w:tc>
          <w:tcPr>
            <w:tcW w:type="dxa" w:w="3120"/>
          </w:tcPr>
          <w:p>
            <w:r/>
            <w:r>
              <w:rPr>
                <w:rFonts w:ascii="Arial" w:hAnsi="Arial"/>
                <w:sz w:val="20"/>
              </w:rPr>
              <w:t>A-03</w:t>
            </w:r>
          </w:p>
        </w:tc>
        <w:tc>
          <w:tcPr>
            <w:tcW w:type="dxa" w:w="3120"/>
          </w:tcPr>
          <w:p>
            <w:r/>
            <w:r>
              <w:rPr>
                <w:rFonts w:ascii="Arial" w:hAnsi="Arial"/>
                <w:sz w:val="20"/>
              </w:rPr>
              <w:t>Security categorization is **assumed** FIPS 199 Moderate. Formal categorization is not complete.</w:t>
            </w:r>
          </w:p>
        </w:tc>
        <w:tc>
          <w:tcPr>
            <w:tcW w:type="dxa" w:w="3120"/>
          </w:tcPr>
          <w:p>
            <w:r/>
            <w:r>
              <w:rPr>
                <w:rFonts w:ascii="Arial" w:hAnsi="Arial"/>
                <w:sz w:val="20"/>
              </w:rPr>
              <w:t>Contract posture</w:t>
            </w:r>
          </w:p>
        </w:tc>
      </w:tr>
      <w:tr>
        <w:tc>
          <w:tcPr>
            <w:tcW w:type="dxa" w:w="3120"/>
          </w:tcPr>
          <w:p>
            <w:r/>
            <w:r>
              <w:rPr>
                <w:rFonts w:ascii="Arial" w:hAnsi="Arial"/>
                <w:sz w:val="20"/>
              </w:rPr>
              <w:t>A-04</w:t>
            </w:r>
          </w:p>
        </w:tc>
        <w:tc>
          <w:tcPr>
            <w:tcW w:type="dxa" w:w="3120"/>
          </w:tcPr>
          <w:p>
            <w:r/>
            <w:r>
              <w:rPr>
                <w:rFonts w:ascii="Arial" w:hAnsi="Arial"/>
                <w:sz w:val="20"/>
              </w:rPr>
              <w:t>SAM.gov upstream availability is outside AGT control; the v3 entity endpoints have returned upstream 404s.</w:t>
            </w:r>
          </w:p>
        </w:tc>
        <w:tc>
          <w:tcPr>
            <w:tcW w:type="dxa" w:w="3120"/>
          </w:tcPr>
          <w:p>
            <w:r/>
            <w:r>
              <w:rPr>
                <w:rFonts w:ascii="Arial" w:hAnsi="Arial"/>
                <w:sz w:val="20"/>
              </w:rPr>
              <w:t>`SAMGovConnector`</w:t>
            </w:r>
          </w:p>
        </w:tc>
      </w:tr>
      <w:tr>
        <w:tc>
          <w:tcPr>
            <w:tcW w:type="dxa" w:w="3120"/>
          </w:tcPr>
          <w:p>
            <w:r/>
            <w:r>
              <w:rPr>
                <w:rFonts w:ascii="Arial" w:hAnsi="Arial"/>
                <w:sz w:val="20"/>
              </w:rPr>
              <w:t>A-05</w:t>
            </w:r>
          </w:p>
        </w:tc>
        <w:tc>
          <w:tcPr>
            <w:tcW w:type="dxa" w:w="3120"/>
          </w:tcPr>
          <w:p>
            <w:r/>
            <w:r>
              <w:rPr>
                <w:rFonts w:ascii="Arial" w:hAnsi="Arial"/>
                <w:sz w:val="20"/>
              </w:rPr>
              <w:t>AI entity resolution is **disabled by default** and advisory only when enabled.</w:t>
            </w:r>
          </w:p>
        </w:tc>
        <w:tc>
          <w:tcPr>
            <w:tcW w:type="dxa" w:w="3120"/>
          </w:tcPr>
          <w:p>
            <w:r/>
            <w:r>
              <w:rPr>
                <w:rFonts w:ascii="Arial" w:hAnsi="Arial"/>
                <w:sz w:val="20"/>
              </w:rPr>
              <w:t>`AI_ENTITY_RESOLUTION`; `app/tefca_registry/entity_resolver.py`</w:t>
            </w:r>
          </w:p>
        </w:tc>
      </w:tr>
      <w:tr>
        <w:tc>
          <w:tcPr>
            <w:tcW w:type="dxa" w:w="3120"/>
          </w:tcPr>
          <w:p>
            <w:r/>
            <w:r>
              <w:rPr>
                <w:rFonts w:ascii="Arial" w:hAnsi="Arial"/>
                <w:sz w:val="20"/>
              </w:rPr>
              <w:t>A-06</w:t>
            </w:r>
          </w:p>
        </w:tc>
        <w:tc>
          <w:tcPr>
            <w:tcW w:type="dxa" w:w="3120"/>
          </w:tcPr>
          <w:p>
            <w:r/>
            <w:r>
              <w:rPr>
                <w:rFonts w:ascii="Arial" w:hAnsi="Arial"/>
                <w:sz w:val="20"/>
              </w:rPr>
              <w:t>MOCK-sourced entities are never auto-classified as Bucket 1, so demonstration data cannot masquerade as a finalized clean finding.</w:t>
            </w:r>
          </w:p>
        </w:tc>
        <w:tc>
          <w:tcPr>
            <w:tcW w:type="dxa" w:w="3120"/>
          </w:tcPr>
          <w:p>
            <w:r/>
            <w:r>
              <w:rPr>
                <w:rFonts w:ascii="Arial" w:hAnsi="Arial"/>
                <w:sz w:val="20"/>
              </w:rPr>
              <w:t>`RCEDirectoryConnector` docstring; validation engine</w:t>
            </w:r>
          </w:p>
        </w:tc>
      </w:tr>
      <w:tr>
        <w:tc>
          <w:tcPr>
            <w:tcW w:type="dxa" w:w="3120"/>
          </w:tcPr>
          <w:p>
            <w:r/>
            <w:r>
              <w:rPr>
                <w:rFonts w:ascii="Arial" w:hAnsi="Arial"/>
                <w:sz w:val="20"/>
              </w:rPr>
              <w:t>A-07</w:t>
            </w:r>
          </w:p>
        </w:tc>
        <w:tc>
          <w:tcPr>
            <w:tcW w:type="dxa" w:w="3120"/>
          </w:tcPr>
          <w:p>
            <w:r/>
            <w:r>
              <w:rPr>
                <w:rFonts w:ascii="Arial" w:hAnsi="Arial"/>
                <w:sz w:val="20"/>
              </w:rPr>
              <w:t>PECOS enrollment data is derived from the free, key-less NPPES NPI Registry. The PECOS payment-suspension feed requires COR provisioning and is reported as `None`.</w:t>
            </w:r>
          </w:p>
        </w:tc>
        <w:tc>
          <w:tcPr>
            <w:tcW w:type="dxa" w:w="3120"/>
          </w:tcPr>
          <w:p>
            <w:r/>
            <w:r>
              <w:rPr>
                <w:rFonts w:ascii="Arial" w:hAnsi="Arial"/>
                <w:sz w:val="20"/>
              </w:rPr>
              <w:t>`PECOSConnector`, `connectors.py:785`</w:t>
            </w:r>
          </w:p>
        </w:tc>
      </w:tr>
    </w:tbl>
    <w:p/>
    <w:p>
      <w:pPr>
        <w:pStyle w:val="Heading2"/>
      </w:pPr>
      <w:r>
        <w:t>2.6 Constraints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ID</w:t>
            </w:r>
          </w:p>
        </w:tc>
        <w:tc>
          <w:tcPr>
            <w:tcW w:type="dxa" w:w="4680"/>
            <w:shd w:val="clear" w:fill="003087"/>
          </w:tcPr>
          <w:p>
            <w:r/>
            <w:r>
              <w:rPr>
                <w:rFonts w:ascii="Arial" w:hAnsi="Arial"/>
                <w:b/>
                <w:color w:val="FFFFFF"/>
                <w:sz w:val="20"/>
              </w:rPr>
              <w:t>Constraint</w:t>
            </w:r>
          </w:p>
        </w:tc>
      </w:tr>
      <w:tr>
        <w:tc>
          <w:tcPr>
            <w:tcW w:type="dxa" w:w="4680"/>
          </w:tcPr>
          <w:p>
            <w:r/>
            <w:r>
              <w:rPr>
                <w:rFonts w:ascii="Arial" w:hAnsi="Arial"/>
                <w:sz w:val="20"/>
              </w:rPr>
              <w:t>C-01</w:t>
            </w:r>
          </w:p>
        </w:tc>
        <w:tc>
          <w:tcPr>
            <w:tcW w:type="dxa" w:w="4680"/>
          </w:tcPr>
          <w:p>
            <w:r/>
            <w:r>
              <w:rPr>
                <w:rFonts w:ascii="Arial" w:hAnsi="Arial"/>
                <w:sz w:val="20"/>
              </w:rPr>
              <w:t>Federal compliance obligations: FISMA, HIPAA, Section 508</w:t>
            </w:r>
          </w:p>
        </w:tc>
      </w:tr>
      <w:tr>
        <w:tc>
          <w:tcPr>
            <w:tcW w:type="dxa" w:w="4680"/>
          </w:tcPr>
          <w:p>
            <w:r/>
            <w:r>
              <w:rPr>
                <w:rFonts w:ascii="Arial" w:hAnsi="Arial"/>
                <w:sz w:val="20"/>
              </w:rPr>
              <w:t>C-02</w:t>
            </w:r>
          </w:p>
        </w:tc>
        <w:tc>
          <w:tcPr>
            <w:tcW w:type="dxa" w:w="4680"/>
          </w:tcPr>
          <w:p>
            <w:r/>
            <w:r>
              <w:rPr>
                <w:rFonts w:ascii="Arial" w:hAnsi="Arial"/>
                <w:sz w:val="20"/>
              </w:rPr>
              <w:t>No PHI may be transmitted to AI providers; egress is restricted to a field allowlist</w:t>
            </w:r>
          </w:p>
        </w:tc>
      </w:tr>
      <w:tr>
        <w:tc>
          <w:tcPr>
            <w:tcW w:type="dxa" w:w="4680"/>
          </w:tcPr>
          <w:p>
            <w:r/>
            <w:r>
              <w:rPr>
                <w:rFonts w:ascii="Arial" w:hAnsi="Arial"/>
                <w:sz w:val="20"/>
              </w:rPr>
              <w:t>C-03</w:t>
            </w:r>
          </w:p>
        </w:tc>
        <w:tc>
          <w:tcPr>
            <w:tcW w:type="dxa" w:w="4680"/>
          </w:tcPr>
          <w:p>
            <w:r/>
            <w:r>
              <w:rPr>
                <w:rFonts w:ascii="Arial" w:hAnsi="Arial"/>
                <w:sz w:val="20"/>
              </w:rPr>
              <w:t>Architectural changes in production require ONC approval</w:t>
            </w:r>
          </w:p>
        </w:tc>
      </w:tr>
      <w:tr>
        <w:tc>
          <w:tcPr>
            <w:tcW w:type="dxa" w:w="4680"/>
          </w:tcPr>
          <w:p>
            <w:r/>
            <w:r>
              <w:rPr>
                <w:rFonts w:ascii="Arial" w:hAnsi="Arial"/>
                <w:sz w:val="20"/>
              </w:rPr>
              <w:t>C-04</w:t>
            </w:r>
          </w:p>
        </w:tc>
        <w:tc>
          <w:tcPr>
            <w:tcW w:type="dxa" w:w="4680"/>
          </w:tcPr>
          <w:p>
            <w:r/>
            <w:r>
              <w:rPr>
                <w:rFonts w:ascii="Arial" w:hAnsi="Arial"/>
                <w:sz w:val="20"/>
              </w:rPr>
              <w:t>Entity population data may originate only from ONC</w:t>
            </w:r>
          </w:p>
        </w:tc>
      </w:tr>
      <w:tr>
        <w:tc>
          <w:tcPr>
            <w:tcW w:type="dxa" w:w="4680"/>
          </w:tcPr>
          <w:p>
            <w:r/>
            <w:r>
              <w:rPr>
                <w:rFonts w:ascii="Arial" w:hAnsi="Arial"/>
                <w:sz w:val="20"/>
              </w:rPr>
              <w:t>C-05</w:t>
            </w:r>
          </w:p>
        </w:tc>
        <w:tc>
          <w:tcPr>
            <w:tcW w:type="dxa" w:w="4680"/>
          </w:tcPr>
          <w:p>
            <w:r/>
            <w:r>
              <w:rPr>
                <w:rFonts w:ascii="Arial" w:hAnsi="Arial"/>
                <w:sz w:val="20"/>
              </w:rPr>
              <w:t>The system operates in pre-production demonstration mode; it holds no ATO</w:t>
            </w:r>
          </w:p>
        </w:tc>
      </w:tr>
      <w:tr>
        <w:tc>
          <w:tcPr>
            <w:tcW w:type="dxa" w:w="4680"/>
          </w:tcPr>
          <w:p>
            <w:r/>
            <w:r>
              <w:rPr>
                <w:rFonts w:ascii="Arial" w:hAnsi="Arial"/>
                <w:sz w:val="20"/>
              </w:rPr>
              <w:t>C-06</w:t>
            </w:r>
          </w:p>
        </w:tc>
        <w:tc>
          <w:tcPr>
            <w:tcW w:type="dxa" w:w="4680"/>
          </w:tcPr>
          <w:p>
            <w:r/>
            <w:r>
              <w:rPr>
                <w:rFonts w:ascii="Arial" w:hAnsi="Arial"/>
                <w:sz w:val="20"/>
              </w:rPr>
              <w:t>Audit records are **append-only at the application layer** — they are not cryptographically immutable and not write-once at the storage layer</w:t>
            </w:r>
          </w:p>
        </w:tc>
      </w:tr>
    </w:tbl>
    <w:p/>
    <w:p>
      <w:r>
        <w:br w:type="page"/>
      </w:r>
    </w:p>
    <w:p>
      <w:pPr>
        <w:pStyle w:val="Heading1"/>
      </w:pPr>
      <w:r>
        <w:t>3. Functional Requirements</w:t>
      </w:r>
    </w:p>
    <w:p>
      <w:r>
        <w:rPr>
          <w:rFonts w:ascii="Arial" w:hAnsi="Arial"/>
        </w:rPr>
        <w:t xml:space="preserve">Requirement identifiers follow the format </w:t>
      </w:r>
      <w:r>
        <w:rPr>
          <w:rFonts w:ascii="Arial" w:hAnsi="Arial"/>
          <w:b/>
        </w:rPr>
        <w:t>FR-T*[task]*-*[sequence]</w:t>
      </w:r>
      <w:r>
        <w:rPr>
          <w:rFonts w:ascii="Arial" w:hAnsi="Arial"/>
        </w:rPr>
        <w:t xml:space="preserve">* for task-scoped requirements and </w:t>
      </w:r>
      <w:r>
        <w:rPr>
          <w:rFonts w:ascii="Arial" w:hAnsi="Arial"/>
          <w:b/>
        </w:rPr>
        <w:t>FR-CC-*[sequence]</w:t>
      </w:r>
      <w:r>
        <w:rPr>
          <w:rFonts w:ascii="Arial" w:hAnsi="Arial"/>
        </w:rPr>
        <w:t>* for cross-cutting requirements. Every requirement states its SOW Task, its contract Deliverable, and its verification method.</w:t>
      </w:r>
    </w:p>
    <w:p>
      <w:r>
        <w:rPr>
          <w:rFonts w:ascii="Arial" w:hAnsi="Arial"/>
          <w:b/>
        </w:rPr>
        <w:t>Verification methods:</w:t>
      </w:r>
      <w:r>
        <w:rPr>
          <w:rFonts w:ascii="Arial" w:hAnsi="Arial"/>
        </w:rPr>
        <w:t xml:space="preserve"> D = Demonstration, T = Test (automated), I = Inspection (code/configuration), A = Analysis.</w:t>
      </w:r>
    </w:p>
    <w:p>
      <w:pPr>
        <w:pStyle w:val="Heading2"/>
      </w:pPr>
      <w:r>
        <w:t>3.1 Task 1 — Administrative / Kickoff</w:t>
      </w:r>
    </w:p>
    <w:p>
      <w:r>
        <w:rPr>
          <w:rFonts w:ascii="Arial" w:hAnsi="Arial"/>
        </w:rPr>
        <w:t>*Deliverable 1: Meeting schedule (within 3 business days); kickoff within 5 business days of award.*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FR-T1-001</w:t>
            </w:r>
          </w:p>
        </w:tc>
        <w:tc>
          <w:tcPr>
            <w:tcW w:type="dxa" w:w="1872"/>
          </w:tcPr>
          <w:p>
            <w:r/>
            <w:r>
              <w:rPr>
                <w:rFonts w:ascii="Arial" w:hAnsi="Arial"/>
                <w:sz w:val="20"/>
              </w:rPr>
              <w:t>The system shall support a live demonstration of operational verification against real National Provider Identifiers.</w:t>
            </w:r>
          </w:p>
        </w:tc>
        <w:tc>
          <w:tcPr>
            <w:tcW w:type="dxa" w:w="1872"/>
          </w:tcPr>
          <w:p>
            <w:r/>
            <w:r>
              <w:rPr>
                <w:rFonts w:ascii="Arial" w:hAnsi="Arial"/>
                <w:sz w:val="20"/>
              </w:rPr>
              <w:t>D1</w:t>
            </w:r>
          </w:p>
        </w:tc>
        <w:tc>
          <w:tcPr>
            <w:tcW w:type="dxa" w:w="1872"/>
          </w:tcPr>
          <w:p>
            <w:r/>
            <w:r>
              <w:rPr>
                <w:rFonts w:ascii="Arial" w:hAnsi="Arial"/>
                <w:sz w:val="20"/>
              </w:rPr>
              <w:t>D</w:t>
            </w:r>
          </w:p>
        </w:tc>
        <w:tc>
          <w:tcPr>
            <w:tcW w:type="dxa" w:w="1872"/>
          </w:tcPr>
          <w:p>
            <w:r/>
            <w:r>
              <w:rPr>
                <w:rFonts w:ascii="Arial" w:hAnsi="Arial"/>
                <w:sz w:val="20"/>
              </w:rPr>
              <w:t>CURRENT</w:t>
            </w:r>
          </w:p>
        </w:tc>
      </w:tr>
      <w:tr>
        <w:tc>
          <w:tcPr>
            <w:tcW w:type="dxa" w:w="1872"/>
          </w:tcPr>
          <w:p>
            <w:r/>
            <w:r>
              <w:rPr>
                <w:rFonts w:ascii="Arial" w:hAnsi="Arial"/>
                <w:sz w:val="20"/>
              </w:rPr>
              <w:t>FR-T1-002</w:t>
            </w:r>
          </w:p>
        </w:tc>
        <w:tc>
          <w:tcPr>
            <w:tcW w:type="dxa" w:w="1872"/>
          </w:tcPr>
          <w:p>
            <w:r/>
            <w:r>
              <w:rPr>
                <w:rFonts w:ascii="Arial" w:hAnsi="Arial"/>
                <w:sz w:val="20"/>
              </w:rPr>
              <w:t>The system shall provide a bundled development dataset for demonstration when the ONC dataset is not yet in place, flagged `data_source="MOCK"`.</w:t>
            </w:r>
          </w:p>
        </w:tc>
        <w:tc>
          <w:tcPr>
            <w:tcW w:type="dxa" w:w="1872"/>
          </w:tcPr>
          <w:p>
            <w:r/>
            <w:r>
              <w:rPr>
                <w:rFonts w:ascii="Arial" w:hAnsi="Arial"/>
                <w:sz w:val="20"/>
              </w:rPr>
              <w:t>D1</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FR-T1-003</w:t>
            </w:r>
          </w:p>
        </w:tc>
        <w:tc>
          <w:tcPr>
            <w:tcW w:type="dxa" w:w="1872"/>
          </w:tcPr>
          <w:p>
            <w:r/>
            <w:r>
              <w:rPr>
                <w:rFonts w:ascii="Arial" w:hAnsi="Arial"/>
                <w:sz w:val="20"/>
              </w:rPr>
              <w:t>The system shall expose a demonstration cycle execution endpoint gated to administrators.</w:t>
            </w:r>
          </w:p>
        </w:tc>
        <w:tc>
          <w:tcPr>
            <w:tcW w:type="dxa" w:w="1872"/>
          </w:tcPr>
          <w:p>
            <w:r/>
            <w:r>
              <w:rPr>
                <w:rFonts w:ascii="Arial" w:hAnsi="Arial"/>
                <w:sz w:val="20"/>
              </w:rPr>
              <w:t>D1</w:t>
            </w:r>
          </w:p>
        </w:tc>
        <w:tc>
          <w:tcPr>
            <w:tcW w:type="dxa" w:w="1872"/>
          </w:tcPr>
          <w:p>
            <w:r/>
            <w:r>
              <w:rPr>
                <w:rFonts w:ascii="Arial" w:hAnsi="Arial"/>
                <w:sz w:val="20"/>
              </w:rPr>
              <w:t>I</w:t>
            </w:r>
          </w:p>
        </w:tc>
        <w:tc>
          <w:tcPr>
            <w:tcW w:type="dxa" w:w="1872"/>
          </w:tcPr>
          <w:p>
            <w:r/>
            <w:r>
              <w:rPr>
                <w:rFonts w:ascii="Arial" w:hAnsi="Arial"/>
                <w:sz w:val="20"/>
              </w:rPr>
              <w:t>CURRENT (dev)</w:t>
            </w:r>
          </w:p>
        </w:tc>
      </w:tr>
      <w:tr>
        <w:tc>
          <w:tcPr>
            <w:tcW w:type="dxa" w:w="1872"/>
          </w:tcPr>
          <w:p>
            <w:r/>
            <w:r>
              <w:rPr>
                <w:rFonts w:ascii="Arial" w:hAnsi="Arial"/>
                <w:sz w:val="20"/>
              </w:rPr>
              <w:t>FR-T1-004</w:t>
            </w:r>
          </w:p>
        </w:tc>
        <w:tc>
          <w:tcPr>
            <w:tcW w:type="dxa" w:w="1872"/>
          </w:tcPr>
          <w:p>
            <w:r/>
            <w:r>
              <w:rPr>
                <w:rFonts w:ascii="Arial" w:hAnsi="Arial"/>
                <w:sz w:val="20"/>
              </w:rPr>
              <w:t>The system shall expose platform health and connector status for readiness confirmation.</w:t>
            </w:r>
          </w:p>
        </w:tc>
        <w:tc>
          <w:tcPr>
            <w:tcW w:type="dxa" w:w="1872"/>
          </w:tcPr>
          <w:p>
            <w:r/>
            <w:r>
              <w:rPr>
                <w:rFonts w:ascii="Arial" w:hAnsi="Arial"/>
                <w:sz w:val="20"/>
              </w:rPr>
              <w:t>D1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FR-T1-005</w:t>
            </w:r>
          </w:p>
        </w:tc>
        <w:tc>
          <w:tcPr>
            <w:tcW w:type="dxa" w:w="1872"/>
          </w:tcPr>
          <w:p>
            <w:r/>
            <w:r>
              <w:rPr>
                <w:rFonts w:ascii="Arial" w:hAnsi="Arial"/>
                <w:sz w:val="20"/>
              </w:rPr>
              <w:t>The system shall render role-appropriate dashboards suitable for stakeholder walkthrough.</w:t>
            </w:r>
          </w:p>
        </w:tc>
        <w:tc>
          <w:tcPr>
            <w:tcW w:type="dxa" w:w="1872"/>
          </w:tcPr>
          <w:p>
            <w:r/>
            <w:r>
              <w:rPr>
                <w:rFonts w:ascii="Arial" w:hAnsi="Arial"/>
                <w:sz w:val="20"/>
              </w:rPr>
              <w:t>D1</w:t>
            </w:r>
          </w:p>
        </w:tc>
        <w:tc>
          <w:tcPr>
            <w:tcW w:type="dxa" w:w="1872"/>
          </w:tcPr>
          <w:p>
            <w:r/>
            <w:r>
              <w:rPr>
                <w:rFonts w:ascii="Arial" w:hAnsi="Arial"/>
                <w:sz w:val="20"/>
              </w:rPr>
              <w:t>D</w:t>
            </w:r>
          </w:p>
        </w:tc>
        <w:tc>
          <w:tcPr>
            <w:tcW w:type="dxa" w:w="1872"/>
          </w:tcPr>
          <w:p>
            <w:r/>
            <w:r>
              <w:rPr>
                <w:rFonts w:ascii="Arial" w:hAnsi="Arial"/>
                <w:sz w:val="20"/>
              </w:rPr>
              <w:t>CURRENT</w:t>
            </w:r>
          </w:p>
        </w:tc>
      </w:tr>
      <w:tr>
        <w:tc>
          <w:tcPr>
            <w:tcW w:type="dxa" w:w="1872"/>
          </w:tcPr>
          <w:p>
            <w:r/>
            <w:r>
              <w:rPr>
                <w:rFonts w:ascii="Arial" w:hAnsi="Arial"/>
                <w:sz w:val="20"/>
              </w:rPr>
              <w:t>FR-T1-006</w:t>
            </w:r>
          </w:p>
        </w:tc>
        <w:tc>
          <w:tcPr>
            <w:tcW w:type="dxa" w:w="1872"/>
          </w:tcPr>
          <w:p>
            <w:r/>
            <w:r>
              <w:rPr>
                <w:rFonts w:ascii="Arial" w:hAnsi="Arial"/>
                <w:sz w:val="20"/>
              </w:rPr>
              <w:t>The system shall record demonstration activity in the audit trail with actor attribution.</w:t>
            </w:r>
          </w:p>
        </w:tc>
        <w:tc>
          <w:tcPr>
            <w:tcW w:type="dxa" w:w="1872"/>
          </w:tcPr>
          <w:p>
            <w:r/>
            <w:r>
              <w:rPr>
                <w:rFonts w:ascii="Arial" w:hAnsi="Arial"/>
                <w:sz w:val="20"/>
              </w:rPr>
              <w:t>D1</w:t>
            </w:r>
          </w:p>
        </w:tc>
        <w:tc>
          <w:tcPr>
            <w:tcW w:type="dxa" w:w="1872"/>
          </w:tcPr>
          <w:p>
            <w:r/>
            <w:r>
              <w:rPr>
                <w:rFonts w:ascii="Arial" w:hAnsi="Arial"/>
                <w:sz w:val="20"/>
              </w:rPr>
              <w:t>T</w:t>
            </w:r>
          </w:p>
        </w:tc>
        <w:tc>
          <w:tcPr>
            <w:tcW w:type="dxa" w:w="1872"/>
          </w:tcPr>
          <w:p>
            <w:r/>
            <w:r>
              <w:rPr>
                <w:rFonts w:ascii="Arial" w:hAnsi="Arial"/>
                <w:sz w:val="20"/>
              </w:rPr>
              <w:t>CURRENT</w:t>
            </w:r>
          </w:p>
        </w:tc>
      </w:tr>
    </w:tbl>
    <w:p/>
    <w:p>
      <w:pPr>
        <w:pStyle w:val="Heading2"/>
      </w:pPr>
      <w:r>
        <w:t>3.2 Task 2 — Review Methodology and Control Framework</w:t>
      </w:r>
    </w:p>
    <w:p>
      <w:r>
        <w:rPr>
          <w:rFonts w:ascii="Arial" w:hAnsi="Arial"/>
        </w:rPr>
        <w:t>*Deliverable 2: COR-reviewed methodology document (within 2 weeks of award).*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FR-T2-001</w:t>
            </w:r>
          </w:p>
        </w:tc>
        <w:tc>
          <w:tcPr>
            <w:tcW w:type="dxa" w:w="1872"/>
          </w:tcPr>
          <w:p>
            <w:r/>
            <w:r>
              <w:rPr>
                <w:rFonts w:ascii="Arial" w:hAnsi="Arial"/>
                <w:sz w:val="20"/>
              </w:rPr>
              <w:t>The system shall implement a four-bucket discrepancy taxonomy (B1–B4) as an enumerated classification.</w:t>
            </w:r>
          </w:p>
        </w:tc>
        <w:tc>
          <w:tcPr>
            <w:tcW w:type="dxa" w:w="1872"/>
          </w:tcPr>
          <w:p>
            <w:r/>
            <w:r>
              <w:rPr>
                <w:rFonts w:ascii="Arial" w:hAnsi="Arial"/>
                <w:sz w:val="20"/>
              </w:rPr>
              <w:t>D2</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FR-T2-002</w:t>
            </w:r>
          </w:p>
        </w:tc>
        <w:tc>
          <w:tcPr>
            <w:tcW w:type="dxa" w:w="1872"/>
          </w:tcPr>
          <w:p>
            <w:r/>
            <w:r>
              <w:rPr>
                <w:rFonts w:ascii="Arial" w:hAnsi="Arial"/>
                <w:sz w:val="20"/>
              </w:rPr>
              <w:t>The system shall expose the review methodology and control framework as a machine-readable reference endpoint.</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FR-T2-003</w:t>
            </w:r>
          </w:p>
        </w:tc>
        <w:tc>
          <w:tcPr>
            <w:tcW w:type="dxa" w:w="1872"/>
          </w:tcPr>
          <w:p>
            <w:r/>
            <w:r>
              <w:rPr>
                <w:rFonts w:ascii="Arial" w:hAnsi="Arial"/>
                <w:sz w:val="20"/>
              </w:rPr>
              <w:t>The system shall expose the discrepancy taxonomy, including finding codes, as a reference endpoint.</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FR-T2-004</w:t>
            </w:r>
          </w:p>
        </w:tc>
        <w:tc>
          <w:tcPr>
            <w:tcW w:type="dxa" w:w="1872"/>
          </w:tcPr>
          <w:p>
            <w:r/>
            <w:r>
              <w:rPr>
                <w:rFonts w:ascii="Arial" w:hAnsi="Arial"/>
                <w:sz w:val="20"/>
              </w:rPr>
              <w:t>The system shall implement Cochran sample-size calculation.</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FR-T2-005</w:t>
            </w:r>
          </w:p>
        </w:tc>
        <w:tc>
          <w:tcPr>
            <w:tcW w:type="dxa" w:w="1872"/>
          </w:tcPr>
          <w:p>
            <w:r/>
            <w:r>
              <w:rPr>
                <w:rFonts w:ascii="Arial" w:hAnsi="Arial"/>
                <w:sz w:val="20"/>
              </w:rPr>
              <w:t>The system shall support configurable confidence levels with documented z-values.</w:t>
            </w:r>
          </w:p>
        </w:tc>
        <w:tc>
          <w:tcPr>
            <w:tcW w:type="dxa" w:w="1872"/>
          </w:tcPr>
          <w:p>
            <w:r/>
            <w:r>
              <w:rPr>
                <w:rFonts w:ascii="Arial" w:hAnsi="Arial"/>
                <w:sz w:val="20"/>
              </w:rPr>
              <w:t>D2</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FR-T2-006</w:t>
            </w:r>
          </w:p>
        </w:tc>
        <w:tc>
          <w:tcPr>
            <w:tcW w:type="dxa" w:w="1872"/>
          </w:tcPr>
          <w:p>
            <w:r/>
            <w:r>
              <w:rPr>
                <w:rFonts w:ascii="Arial" w:hAnsi="Arial"/>
                <w:sz w:val="20"/>
              </w:rPr>
              <w:t>The system shall support a configurable margin of error per sampling run.</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FR-T2-007</w:t>
            </w:r>
          </w:p>
        </w:tc>
        <w:tc>
          <w:tcPr>
            <w:tcW w:type="dxa" w:w="1872"/>
          </w:tcPr>
          <w:p>
            <w:r/>
            <w:r>
              <w:rPr>
                <w:rFonts w:ascii="Arial" w:hAnsi="Arial"/>
                <w:sz w:val="20"/>
              </w:rPr>
              <w:t>The system shall record the confidence level, margin of error and population size used for every sample drawn.</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FR-T2-008</w:t>
            </w:r>
          </w:p>
        </w:tc>
        <w:tc>
          <w:tcPr>
            <w:tcW w:type="dxa" w:w="1872"/>
          </w:tcPr>
          <w:p>
            <w:r/>
            <w:r>
              <w:rPr>
                <w:rFonts w:ascii="Arial" w:hAnsi="Arial"/>
                <w:sz w:val="20"/>
              </w:rPr>
              <w:t>The system shall implement three-tier routing (T1/T2/T3) with confidence thresholds.</w:t>
            </w:r>
          </w:p>
        </w:tc>
        <w:tc>
          <w:tcPr>
            <w:tcW w:type="dxa" w:w="1872"/>
          </w:tcPr>
          <w:p>
            <w:r/>
            <w:r>
              <w:rPr>
                <w:rFonts w:ascii="Arial" w:hAnsi="Arial"/>
                <w:sz w:val="20"/>
              </w:rPr>
              <w:t>D2</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FR-T2-009</w:t>
            </w:r>
          </w:p>
        </w:tc>
        <w:tc>
          <w:tcPr>
            <w:tcW w:type="dxa" w:w="1872"/>
          </w:tcPr>
          <w:p>
            <w:r/>
            <w:r>
              <w:rPr>
                <w:rFonts w:ascii="Arial" w:hAnsi="Arial"/>
                <w:sz w:val="20"/>
              </w:rPr>
              <w:t>The system shall implement escalation triggers that move records between tiers.</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FR-T2-010</w:t>
            </w:r>
          </w:p>
        </w:tc>
        <w:tc>
          <w:tcPr>
            <w:tcW w:type="dxa" w:w="1872"/>
          </w:tcPr>
          <w:p>
            <w:r/>
            <w:r>
              <w:rPr>
                <w:rFonts w:ascii="Arial" w:hAnsi="Arial"/>
                <w:sz w:val="20"/>
              </w:rPr>
              <w:t>The system shall implement a source validation hierarchy across authoritative sources.</w:t>
            </w:r>
          </w:p>
        </w:tc>
        <w:tc>
          <w:tcPr>
            <w:tcW w:type="dxa" w:w="1872"/>
          </w:tcPr>
          <w:p>
            <w:r/>
            <w:r>
              <w:rPr>
                <w:rFonts w:ascii="Arial" w:hAnsi="Arial"/>
                <w:sz w:val="20"/>
              </w:rPr>
              <w:t>D2</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FR-T2-011</w:t>
            </w:r>
          </w:p>
        </w:tc>
        <w:tc>
          <w:tcPr>
            <w:tcW w:type="dxa" w:w="1872"/>
          </w:tcPr>
          <w:p>
            <w:r/>
            <w:r>
              <w:rPr>
                <w:rFonts w:ascii="Arial" w:hAnsi="Arial"/>
                <w:sz w:val="20"/>
              </w:rPr>
              <w:t>The system shall implement conflict resolution when sources disagree.</w:t>
            </w:r>
          </w:p>
        </w:tc>
        <w:tc>
          <w:tcPr>
            <w:tcW w:type="dxa" w:w="1872"/>
          </w:tcPr>
          <w:p>
            <w:r/>
            <w:r>
              <w:rPr>
                <w:rFonts w:ascii="Arial" w:hAnsi="Arial"/>
                <w:sz w:val="20"/>
              </w:rPr>
              <w:t>D2</w:t>
            </w:r>
          </w:p>
        </w:tc>
        <w:tc>
          <w:tcPr>
            <w:tcW w:type="dxa" w:w="1872"/>
          </w:tcPr>
          <w:p>
            <w:r/>
            <w:r>
              <w:rPr>
                <w:rFonts w:ascii="Arial" w:hAnsi="Arial"/>
                <w:sz w:val="20"/>
              </w:rPr>
              <w:t>I, A</w:t>
            </w:r>
          </w:p>
        </w:tc>
        <w:tc>
          <w:tcPr>
            <w:tcW w:type="dxa" w:w="1872"/>
          </w:tcPr>
          <w:p>
            <w:r/>
            <w:r>
              <w:rPr>
                <w:rFonts w:ascii="Arial" w:hAnsi="Arial"/>
                <w:sz w:val="20"/>
              </w:rPr>
              <w:t>CURRENT</w:t>
            </w:r>
          </w:p>
        </w:tc>
      </w:tr>
      <w:tr>
        <w:tc>
          <w:tcPr>
            <w:tcW w:type="dxa" w:w="1872"/>
          </w:tcPr>
          <w:p>
            <w:r/>
            <w:r>
              <w:rPr>
                <w:rFonts w:ascii="Arial" w:hAnsi="Arial"/>
                <w:sz w:val="20"/>
              </w:rPr>
              <w:t>FR-T2-012</w:t>
            </w:r>
          </w:p>
        </w:tc>
        <w:tc>
          <w:tcPr>
            <w:tcW w:type="dxa" w:w="1872"/>
          </w:tcPr>
          <w:p>
            <w:r/>
            <w:r>
              <w:rPr>
                <w:rFonts w:ascii="Arial" w:hAnsi="Arial"/>
                <w:sz w:val="20"/>
              </w:rPr>
              <w:t>The system shall persist a five-element evidence record for each verification.</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FR-T2-013</w:t>
            </w:r>
          </w:p>
        </w:tc>
        <w:tc>
          <w:tcPr>
            <w:tcW w:type="dxa" w:w="1872"/>
          </w:tcPr>
          <w:p>
            <w:r/>
            <w:r>
              <w:rPr>
                <w:rFonts w:ascii="Arial" w:hAnsi="Arial"/>
                <w:sz w:val="20"/>
              </w:rPr>
              <w:t>The system shall support versioned, auditable review rules with change history.</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FR-T2-014</w:t>
            </w:r>
          </w:p>
        </w:tc>
        <w:tc>
          <w:tcPr>
            <w:tcW w:type="dxa" w:w="1872"/>
          </w:tcPr>
          <w:p>
            <w:r/>
            <w:r>
              <w:rPr>
                <w:rFonts w:ascii="Arial" w:hAnsi="Arial"/>
                <w:sz w:val="20"/>
              </w:rPr>
              <w:t>The system shall restrict review-rule authoring to administrators.</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bl>
    <w:p/>
    <w:p>
      <w:pPr>
        <w:pStyle w:val="Heading2"/>
      </w:pPr>
      <w:r>
        <w:t>3.3 Task 3 — Retrospective Review (First 90 Days)</w:t>
      </w:r>
    </w:p>
    <w:p>
      <w:r>
        <w:rPr>
          <w:rFonts w:ascii="Arial" w:hAnsi="Arial"/>
        </w:rPr>
        <w:t>*Deliverables 3.1 (weekly stratified progress reports) and 3.2 (final retrospective report).*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FR-T3-001</w:t>
            </w:r>
          </w:p>
        </w:tc>
        <w:tc>
          <w:tcPr>
            <w:tcW w:type="dxa" w:w="1872"/>
          </w:tcPr>
          <w:p>
            <w:r/>
            <w:r>
              <w:rPr>
                <w:rFonts w:ascii="Arial" w:hAnsi="Arial"/>
                <w:sz w:val="20"/>
              </w:rPr>
              <w:t>The system shall import entity data from CSV files.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FR-T3-002</w:t>
            </w:r>
          </w:p>
        </w:tc>
        <w:tc>
          <w:tcPr>
            <w:tcW w:type="dxa" w:w="1872"/>
          </w:tcPr>
          <w:p>
            <w:r/>
            <w:r>
              <w:rPr>
                <w:rFonts w:ascii="Arial" w:hAnsi="Arial"/>
                <w:sz w:val="20"/>
              </w:rPr>
              <w:t>The system shall import entity data from FHIR R4 bundles.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FR-T3-003</w:t>
            </w:r>
          </w:p>
        </w:tc>
        <w:tc>
          <w:tcPr>
            <w:tcW w:type="dxa" w:w="1872"/>
          </w:tcPr>
          <w:p>
            <w:r/>
            <w:r>
              <w:rPr>
                <w:rFonts w:ascii="Arial" w:hAnsi="Arial"/>
                <w:sz w:val="20"/>
              </w:rPr>
              <w:t>The system shall validate NPI format and Luhn check digit.</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FR-T3-004</w:t>
            </w:r>
          </w:p>
        </w:tc>
        <w:tc>
          <w:tcPr>
            <w:tcW w:type="dxa" w:w="1872"/>
          </w:tcPr>
          <w:p>
            <w:r/>
            <w:r>
              <w:rPr>
                <w:rFonts w:ascii="Arial" w:hAnsi="Arial"/>
                <w:sz w:val="20"/>
              </w:rPr>
              <w:t>The system shall reject invalid import rows individually, reporting row number, field and reason, without failing the whole file.</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FR-T3-005</w:t>
            </w:r>
          </w:p>
        </w:tc>
        <w:tc>
          <w:tcPr>
            <w:tcW w:type="dxa" w:w="1872"/>
          </w:tcPr>
          <w:p>
            <w:r/>
            <w:r>
              <w:rPr>
                <w:rFonts w:ascii="Arial" w:hAnsi="Arial"/>
                <w:sz w:val="20"/>
              </w:rPr>
              <w:t>The system shall scan uploaded files for script injection before processing.</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FR-T3-006</w:t>
            </w:r>
          </w:p>
        </w:tc>
        <w:tc>
          <w:tcPr>
            <w:tcW w:type="dxa" w:w="1872"/>
          </w:tcPr>
          <w:p>
            <w:r/>
            <w:r>
              <w:rPr>
                <w:rFonts w:ascii="Arial" w:hAnsi="Arial"/>
                <w:sz w:val="20"/>
              </w:rPr>
              <w:t>The system shall record a SHA-256 checksum for every imported file.</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FR-T3-007</w:t>
            </w:r>
          </w:p>
        </w:tc>
        <w:tc>
          <w:tcPr>
            <w:tcW w:type="dxa" w:w="1872"/>
          </w:tcPr>
          <w:p>
            <w:r/>
            <w:r>
              <w:rPr>
                <w:rFonts w:ascii="Arial" w:hAnsi="Arial"/>
                <w:sz w:val="20"/>
              </w:rPr>
              <w:t>The system shall write an import history record even when no rows are imported.</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FR-T3-008</w:t>
            </w:r>
          </w:p>
        </w:tc>
        <w:tc>
          <w:tcPr>
            <w:tcW w:type="dxa" w:w="1872"/>
          </w:tcPr>
          <w:p>
            <w:r/>
            <w:r>
              <w:rPr>
                <w:rFonts w:ascii="Arial" w:hAnsi="Arial"/>
                <w:sz w:val="20"/>
              </w:rPr>
              <w:t>The system shall query NPPES for provider identity and taxonomy data.</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FR-T3-009</w:t>
            </w:r>
          </w:p>
        </w:tc>
        <w:tc>
          <w:tcPr>
            <w:tcW w:type="dxa" w:w="1872"/>
          </w:tcPr>
          <w:p>
            <w:r/>
            <w:r>
              <w:rPr>
                <w:rFonts w:ascii="Arial" w:hAnsi="Arial"/>
                <w:sz w:val="20"/>
              </w:rPr>
              <w:t>The system shall derive provider enrollment status from NPPES (reported under the PECOS source key).</w:t>
            </w:r>
          </w:p>
        </w:tc>
        <w:tc>
          <w:tcPr>
            <w:tcW w:type="dxa" w:w="1872"/>
          </w:tcPr>
          <w:p>
            <w:r/>
            <w:r>
              <w:rPr>
                <w:rFonts w:ascii="Arial" w:hAnsi="Arial"/>
                <w:sz w:val="20"/>
              </w:rPr>
              <w:t>3.1</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FR-T3-010</w:t>
            </w:r>
          </w:p>
        </w:tc>
        <w:tc>
          <w:tcPr>
            <w:tcW w:type="dxa" w:w="1872"/>
          </w:tcPr>
          <w:p>
            <w:r/>
            <w:r>
              <w:rPr>
                <w:rFonts w:ascii="Arial" w:hAnsi="Arial"/>
                <w:sz w:val="20"/>
              </w:rPr>
              <w:t>The system shall report PECOS payment suspension as `None` where the source does not provide it, never as a fabricated clean value.</w:t>
            </w:r>
          </w:p>
        </w:tc>
        <w:tc>
          <w:tcPr>
            <w:tcW w:type="dxa" w:w="1872"/>
          </w:tcPr>
          <w:p>
            <w:r/>
            <w:r>
              <w:rPr>
                <w:rFonts w:ascii="Arial" w:hAnsi="Arial"/>
                <w:sz w:val="20"/>
              </w:rPr>
              <w:t>3.1</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FR-T3-011</w:t>
            </w:r>
          </w:p>
        </w:tc>
        <w:tc>
          <w:tcPr>
            <w:tcW w:type="dxa" w:w="1872"/>
          </w:tcPr>
          <w:p>
            <w:r/>
            <w:r>
              <w:rPr>
                <w:rFonts w:ascii="Arial" w:hAnsi="Arial"/>
                <w:sz w:val="20"/>
              </w:rPr>
              <w:t>The system shall query the OIG LEIE for exclusion status.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FR-T3-012</w:t>
            </w:r>
          </w:p>
        </w:tc>
        <w:tc>
          <w:tcPr>
            <w:tcW w:type="dxa" w:w="1872"/>
          </w:tcPr>
          <w:p>
            <w:r/>
            <w:r>
              <w:rPr>
                <w:rFonts w:ascii="Arial" w:hAnsi="Arial"/>
                <w:sz w:val="20"/>
              </w:rPr>
              <w:t>The system shall query SAM.gov for federal registration status.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FR-T3-013</w:t>
            </w:r>
          </w:p>
        </w:tc>
        <w:tc>
          <w:tcPr>
            <w:tcW w:type="dxa" w:w="1872"/>
          </w:tcPr>
          <w:p>
            <w:r/>
            <w:r>
              <w:rPr>
                <w:rFonts w:ascii="Arial" w:hAnsi="Arial"/>
                <w:sz w:val="20"/>
              </w:rPr>
              <w:t>The system shall normalize addresses in accordance with USPS Publication 28.</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FR-T3-014</w:t>
            </w:r>
          </w:p>
        </w:tc>
        <w:tc>
          <w:tcPr>
            <w:tcW w:type="dxa" w:w="1872"/>
          </w:tcPr>
          <w:p>
            <w:r/>
            <w:r>
              <w:rPr>
                <w:rFonts w:ascii="Arial" w:hAnsi="Arial"/>
                <w:sz w:val="20"/>
              </w:rPr>
              <w:t>The system shall verify addresses via the USPS Address APIs v3 using OAuth 2.0.</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CONFIGURED — zero production calls to date</w:t>
            </w:r>
          </w:p>
        </w:tc>
      </w:tr>
      <w:tr>
        <w:tc>
          <w:tcPr>
            <w:tcW w:type="dxa" w:w="1872"/>
          </w:tcPr>
          <w:p>
            <w:r/>
            <w:r>
              <w:rPr>
                <w:rFonts w:ascii="Arial" w:hAnsi="Arial"/>
                <w:sz w:val="20"/>
              </w:rPr>
              <w:t>FR-T3-015</w:t>
            </w:r>
          </w:p>
        </w:tc>
        <w:tc>
          <w:tcPr>
            <w:tcW w:type="dxa" w:w="1872"/>
          </w:tcPr>
          <w:p>
            <w:r/>
            <w:r>
              <w:rPr>
                <w:rFonts w:ascii="Arial" w:hAnsi="Arial"/>
                <w:sz w:val="20"/>
              </w:rPr>
              <w:t>The system shall perform Jaro-Winkler name similarity matching.</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FR-T3-016</w:t>
            </w:r>
          </w:p>
        </w:tc>
        <w:tc>
          <w:tcPr>
            <w:tcW w:type="dxa" w:w="1872"/>
          </w:tcPr>
          <w:p>
            <w:r/>
            <w:r>
              <w:rPr>
                <w:rFonts w:ascii="Arial" w:hAnsi="Arial"/>
                <w:sz w:val="20"/>
              </w:rPr>
              <w:t>The system shall classify each entity into a B1–B4 bucket.</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FR-T3-017</w:t>
            </w:r>
          </w:p>
        </w:tc>
        <w:tc>
          <w:tcPr>
            <w:tcW w:type="dxa" w:w="1872"/>
          </w:tcPr>
          <w:p>
            <w:r/>
            <w:r>
              <w:rPr>
                <w:rFonts w:ascii="Arial" w:hAnsi="Arial"/>
                <w:sz w:val="20"/>
              </w:rPr>
              <w:t>The system shall refuse to auto-classify MOCK-sourced entities as Bucket 1.</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FR-T3-018</w:t>
            </w:r>
          </w:p>
        </w:tc>
        <w:tc>
          <w:tcPr>
            <w:tcW w:type="dxa" w:w="1872"/>
          </w:tcPr>
          <w:p>
            <w:r/>
            <w:r>
              <w:rPr>
                <w:rFonts w:ascii="Arial" w:hAnsi="Arial"/>
                <w:sz w:val="20"/>
              </w:rPr>
              <w:t>The system shall assign a review tier (T1/T2/T3) to each record.</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FR-T3-019</w:t>
            </w:r>
          </w:p>
        </w:tc>
        <w:tc>
          <w:tcPr>
            <w:tcW w:type="dxa" w:w="1872"/>
          </w:tcPr>
          <w:p>
            <w:r/>
            <w:r>
              <w:rPr>
                <w:rFonts w:ascii="Arial" w:hAnsi="Arial"/>
                <w:sz w:val="20"/>
              </w:rPr>
              <w:t>The system shall maintain a Tier-2 analyst queue.</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FR-T3-020</w:t>
            </w:r>
          </w:p>
        </w:tc>
        <w:tc>
          <w:tcPr>
            <w:tcW w:type="dxa" w:w="1872"/>
          </w:tcPr>
          <w:p>
            <w:r/>
            <w:r>
              <w:rPr>
                <w:rFonts w:ascii="Arial" w:hAnsi="Arial"/>
                <w:sz w:val="20"/>
              </w:rPr>
              <w:t>The system shall maintain a Tier-3 escalation queue restricted to senior analysts and above.</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FR-T3-021</w:t>
            </w:r>
          </w:p>
        </w:tc>
        <w:tc>
          <w:tcPr>
            <w:tcW w:type="dxa" w:w="1872"/>
          </w:tcPr>
          <w:p>
            <w:r/>
            <w:r>
              <w:rPr>
                <w:rFonts w:ascii="Arial" w:hAnsi="Arial"/>
                <w:sz w:val="20"/>
              </w:rPr>
              <w:t>The system shall support manual bucket reclassification by senior analysts.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FR-T3-022</w:t>
            </w:r>
          </w:p>
        </w:tc>
        <w:tc>
          <w:tcPr>
            <w:tcW w:type="dxa" w:w="1872"/>
          </w:tcPr>
          <w:p>
            <w:r/>
            <w:r>
              <w:rPr>
                <w:rFonts w:ascii="Arial" w:hAnsi="Arial"/>
                <w:sz w:val="20"/>
              </w:rPr>
              <w:t>The system shall support escalation of a queued record to a higher tier.</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FR-T3-023</w:t>
            </w:r>
          </w:p>
        </w:tc>
        <w:tc>
          <w:tcPr>
            <w:tcW w:type="dxa" w:w="1872"/>
          </w:tcPr>
          <w:p>
            <w:r/>
            <w:r>
              <w:rPr>
                <w:rFonts w:ascii="Arial" w:hAnsi="Arial"/>
                <w:sz w:val="20"/>
              </w:rPr>
              <w:t>The system shall draw reproducible statistical samples from a defined population.</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FR-T3-024</w:t>
            </w:r>
          </w:p>
        </w:tc>
        <w:tc>
          <w:tcPr>
            <w:tcW w:type="dxa" w:w="1872"/>
          </w:tcPr>
          <w:p>
            <w:r/>
            <w:r>
              <w:rPr>
                <w:rFonts w:ascii="Arial" w:hAnsi="Arial"/>
                <w:sz w:val="20"/>
              </w:rPr>
              <w:t>The system shall persist sample membership so a drawn sample can be re-examined.</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FR-T3-025</w:t>
            </w:r>
          </w:p>
        </w:tc>
        <w:tc>
          <w:tcPr>
            <w:tcW w:type="dxa" w:w="1872"/>
          </w:tcPr>
          <w:p>
            <w:r/>
            <w:r>
              <w:rPr>
                <w:rFonts w:ascii="Arial" w:hAnsi="Arial"/>
                <w:sz w:val="20"/>
              </w:rPr>
              <w:t>The system shall report per-sample completion statistics.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FR-T3-026</w:t>
            </w:r>
          </w:p>
        </w:tc>
        <w:tc>
          <w:tcPr>
            <w:tcW w:type="dxa" w:w="1872"/>
          </w:tcPr>
          <w:p>
            <w:r/>
            <w:r>
              <w:rPr>
                <w:rFonts w:ascii="Arial" w:hAnsi="Arial"/>
                <w:sz w:val="20"/>
              </w:rPr>
              <w:t>The system shall prioritize QHIN processing by entity volume.</w:t>
            </w:r>
          </w:p>
        </w:tc>
        <w:tc>
          <w:tcPr>
            <w:tcW w:type="dxa" w:w="1872"/>
          </w:tcPr>
          <w:p>
            <w:r/>
            <w:r>
              <w:rPr>
                <w:rFonts w:ascii="Arial" w:hAnsi="Arial"/>
                <w:sz w:val="20"/>
              </w:rPr>
              <w:t>3.1</w:t>
            </w:r>
          </w:p>
        </w:tc>
        <w:tc>
          <w:tcPr>
            <w:tcW w:type="dxa" w:w="1872"/>
          </w:tcPr>
          <w:p>
            <w:r/>
            <w:r>
              <w:rPr>
                <w:rFonts w:ascii="Arial" w:hAnsi="Arial"/>
                <w:sz w:val="20"/>
              </w:rPr>
              <w:t>A, I</w:t>
            </w:r>
          </w:p>
        </w:tc>
        <w:tc>
          <w:tcPr>
            <w:tcW w:type="dxa" w:w="1872"/>
          </w:tcPr>
          <w:p>
            <w:r/>
            <w:r>
              <w:rPr>
                <w:rFonts w:ascii="Arial" w:hAnsi="Arial"/>
                <w:sz w:val="20"/>
              </w:rPr>
              <w:t>VERIFICATION REQUIRED</w:t>
            </w:r>
          </w:p>
        </w:tc>
      </w:tr>
      <w:tr>
        <w:tc>
          <w:tcPr>
            <w:tcW w:type="dxa" w:w="1872"/>
          </w:tcPr>
          <w:p>
            <w:r/>
            <w:r>
              <w:rPr>
                <w:rFonts w:ascii="Arial" w:hAnsi="Arial"/>
                <w:sz w:val="20"/>
              </w:rPr>
              <w:t>FR-T3-027</w:t>
            </w:r>
          </w:p>
        </w:tc>
        <w:tc>
          <w:tcPr>
            <w:tcW w:type="dxa" w:w="1872"/>
          </w:tcPr>
          <w:p>
            <w:r/>
            <w:r>
              <w:rPr>
                <w:rFonts w:ascii="Arial" w:hAnsi="Arial"/>
                <w:sz w:val="20"/>
              </w:rPr>
              <w:t>The system shall generate weekly stratified progress reports.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FR-T3-028</w:t>
            </w:r>
          </w:p>
        </w:tc>
        <w:tc>
          <w:tcPr>
            <w:tcW w:type="dxa" w:w="1872"/>
          </w:tcPr>
          <w:p>
            <w:r/>
            <w:r>
              <w:rPr>
                <w:rFonts w:ascii="Arial" w:hAnsi="Arial"/>
                <w:sz w:val="20"/>
              </w:rPr>
              <w:t>The system shall export reports in PDF, DOCX, CSV and Excel formats.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FR-T3-029</w:t>
            </w:r>
          </w:p>
        </w:tc>
        <w:tc>
          <w:tcPr>
            <w:tcW w:type="dxa" w:w="1872"/>
          </w:tcPr>
          <w:p>
            <w:r/>
            <w:r>
              <w:rPr>
                <w:rFonts w:ascii="Arial" w:hAnsi="Arial"/>
                <w:sz w:val="20"/>
              </w:rPr>
              <w:t>The system shall render reports as HTML for in-browser review.</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FR-T3-030</w:t>
            </w:r>
          </w:p>
        </w:tc>
        <w:tc>
          <w:tcPr>
            <w:tcW w:type="dxa" w:w="1872"/>
          </w:tcPr>
          <w:p>
            <w:r/>
            <w:r>
              <w:rPr>
                <w:rFonts w:ascii="Arial" w:hAnsi="Arial"/>
                <w:sz w:val="20"/>
              </w:rPr>
              <w:t>The system shall maintain a verification audit trail for every entity check.</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FR-T3-031</w:t>
            </w:r>
          </w:p>
        </w:tc>
        <w:tc>
          <w:tcPr>
            <w:tcW w:type="dxa" w:w="1872"/>
          </w:tcPr>
          <w:p>
            <w:r/>
            <w:r>
              <w:rPr>
                <w:rFonts w:ascii="Arial" w:hAnsi="Arial"/>
                <w:sz w:val="20"/>
              </w:rPr>
              <w:t>The system shall log every connector invocation with outcome and timing.</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FR-T3-032</w:t>
            </w:r>
          </w:p>
        </w:tc>
        <w:tc>
          <w:tcPr>
            <w:tcW w:type="dxa" w:w="1872"/>
          </w:tcPr>
          <w:p>
            <w:r/>
            <w:r>
              <w:rPr>
                <w:rFonts w:ascii="Arial" w:hAnsi="Arial"/>
                <w:sz w:val="20"/>
              </w:rPr>
              <w:t>The system shall cache source responses to limit redundant upstream calls.</w:t>
            </w:r>
          </w:p>
        </w:tc>
        <w:tc>
          <w:tcPr>
            <w:tcW w:type="dxa" w:w="1872"/>
          </w:tcPr>
          <w:p>
            <w:r/>
            <w:r>
              <w:rPr>
                <w:rFonts w:ascii="Arial" w:hAnsi="Arial"/>
                <w:sz w:val="20"/>
              </w:rPr>
              <w:t>3.1</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FR-T3-033</w:t>
            </w:r>
          </w:p>
        </w:tc>
        <w:tc>
          <w:tcPr>
            <w:tcW w:type="dxa" w:w="1872"/>
          </w:tcPr>
          <w:p>
            <w:r/>
            <w:r>
              <w:rPr>
                <w:rFonts w:ascii="Arial" w:hAnsi="Arial"/>
                <w:sz w:val="20"/>
              </w:rPr>
              <w:t>The system shall record findings against entities with a reason code.</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FR-T3-034</w:t>
            </w:r>
          </w:p>
        </w:tc>
        <w:tc>
          <w:tcPr>
            <w:tcW w:type="dxa" w:w="1872"/>
          </w:tcPr>
          <w:p>
            <w:r/>
            <w:r>
              <w:rPr>
                <w:rFonts w:ascii="Arial" w:hAnsi="Arial"/>
                <w:sz w:val="20"/>
              </w:rPr>
              <w:t>The system shall generate a final retrospective report.</w:t>
            </w:r>
          </w:p>
        </w:tc>
        <w:tc>
          <w:tcPr>
            <w:tcW w:type="dxa" w:w="1872"/>
          </w:tcPr>
          <w:p>
            <w:r/>
            <w:r>
              <w:rPr>
                <w:rFonts w:ascii="Arial" w:hAnsi="Arial"/>
                <w:sz w:val="20"/>
              </w:rPr>
              <w:t>3.2</w:t>
            </w:r>
          </w:p>
        </w:tc>
        <w:tc>
          <w:tcPr>
            <w:tcW w:type="dxa" w:w="1872"/>
          </w:tcPr>
          <w:p>
            <w:r/>
            <w:r>
              <w:rPr>
                <w:rFonts w:ascii="Arial" w:hAnsi="Arial"/>
                <w:sz w:val="20"/>
              </w:rPr>
              <w:t>T</w:t>
            </w:r>
          </w:p>
        </w:tc>
        <w:tc>
          <w:tcPr>
            <w:tcW w:type="dxa" w:w="1872"/>
          </w:tcPr>
          <w:p>
            <w:r/>
            <w:r>
              <w:rPr>
                <w:rFonts w:ascii="Arial" w:hAnsi="Arial"/>
                <w:sz w:val="20"/>
              </w:rPr>
              <w:t>CURRENT</w:t>
            </w:r>
          </w:p>
        </w:tc>
      </w:tr>
    </w:tbl>
    <w:p/>
    <w:p>
      <w:pPr>
        <w:pStyle w:val="Heading2"/>
      </w:pPr>
      <w:r>
        <w:t>3.4 Task 4 — Ongoing Bi-Weekly Review</w:t>
      </w:r>
    </w:p>
    <w:p>
      <w:r>
        <w:rPr>
          <w:rFonts w:ascii="Arial" w:hAnsi="Arial"/>
        </w:rPr>
        <w:t>*Deliverable 4.1: Bi-weekly review reports.*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FR-T4-001</w:t>
            </w:r>
          </w:p>
        </w:tc>
        <w:tc>
          <w:tcPr>
            <w:tcW w:type="dxa" w:w="1872"/>
          </w:tcPr>
          <w:p>
            <w:r/>
            <w:r>
              <w:rPr>
                <w:rFonts w:ascii="Arial" w:hAnsi="Arial"/>
                <w:sz w:val="20"/>
              </w:rPr>
              <w:t>The system shall support continuous ingestion of new QHIN submissions.</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FR-T4-002</w:t>
            </w:r>
          </w:p>
        </w:tc>
        <w:tc>
          <w:tcPr>
            <w:tcW w:type="dxa" w:w="1872"/>
          </w:tcPr>
          <w:p>
            <w:r/>
            <w:r>
              <w:rPr>
                <w:rFonts w:ascii="Arial" w:hAnsi="Arial"/>
                <w:sz w:val="20"/>
              </w:rPr>
              <w:t>The system shall validate newly ingested entities through the same verification pipeline used in Task 3.</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FR-T4-003</w:t>
            </w:r>
          </w:p>
        </w:tc>
        <w:tc>
          <w:tcPr>
            <w:tcW w:type="dxa" w:w="1872"/>
          </w:tcPr>
          <w:p>
            <w:r/>
            <w:r>
              <w:rPr>
                <w:rFonts w:ascii="Arial" w:hAnsi="Arial"/>
                <w:sz w:val="20"/>
              </w:rPr>
              <w:t>The system shall route new entities through the same three-tier workflow.</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FR-T4-004</w:t>
            </w:r>
          </w:p>
        </w:tc>
        <w:tc>
          <w:tcPr>
            <w:tcW w:type="dxa" w:w="1872"/>
          </w:tcPr>
          <w:p>
            <w:r/>
            <w:r>
              <w:rPr>
                <w:rFonts w:ascii="Arial" w:hAnsi="Arial"/>
                <w:sz w:val="20"/>
              </w:rPr>
              <w:t>The system shall support a review cycle of type `TASK4_ONGOING`.</w:t>
            </w:r>
          </w:p>
        </w:tc>
        <w:tc>
          <w:tcPr>
            <w:tcW w:type="dxa" w:w="1872"/>
          </w:tcPr>
          <w:p>
            <w:r/>
            <w:r>
              <w:rPr>
                <w:rFonts w:ascii="Arial" w:hAnsi="Arial"/>
                <w:sz w:val="20"/>
              </w:rPr>
              <w:t>4.1</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FR-T4-005</w:t>
            </w:r>
          </w:p>
        </w:tc>
        <w:tc>
          <w:tcPr>
            <w:tcW w:type="dxa" w:w="1872"/>
          </w:tcPr>
          <w:p>
            <w:r/>
            <w:r>
              <w:rPr>
                <w:rFonts w:ascii="Arial" w:hAnsi="Arial"/>
                <w:sz w:val="20"/>
              </w:rPr>
              <w:t>The system shall generate bi-weekly review reports.</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FR-T4-006</w:t>
            </w:r>
          </w:p>
        </w:tc>
        <w:tc>
          <w:tcPr>
            <w:tcW w:type="dxa" w:w="1872"/>
          </w:tcPr>
          <w:p>
            <w:r/>
            <w:r>
              <w:rPr>
                <w:rFonts w:ascii="Arial" w:hAnsi="Arial"/>
                <w:sz w:val="20"/>
              </w:rPr>
              <w:t>The system shall restrict bi-weekly report generation to QA leads and above.</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FR-T4-007</w:t>
            </w:r>
          </w:p>
        </w:tc>
        <w:tc>
          <w:tcPr>
            <w:tcW w:type="dxa" w:w="1872"/>
          </w:tcPr>
          <w:p>
            <w:r/>
            <w:r>
              <w:rPr>
                <w:rFonts w:ascii="Arial" w:hAnsi="Arial"/>
                <w:sz w:val="20"/>
              </w:rPr>
              <w:t>The system shall distinguish new from returning entities.</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VERIFICATION REQUIRED</w:t>
            </w:r>
          </w:p>
        </w:tc>
      </w:tr>
      <w:tr>
        <w:tc>
          <w:tcPr>
            <w:tcW w:type="dxa" w:w="1872"/>
          </w:tcPr>
          <w:p>
            <w:r/>
            <w:r>
              <w:rPr>
                <w:rFonts w:ascii="Arial" w:hAnsi="Arial"/>
                <w:sz w:val="20"/>
              </w:rPr>
              <w:t>FR-T4-008</w:t>
            </w:r>
          </w:p>
        </w:tc>
        <w:tc>
          <w:tcPr>
            <w:tcW w:type="dxa" w:w="1872"/>
          </w:tcPr>
          <w:p>
            <w:r/>
            <w:r>
              <w:rPr>
                <w:rFonts w:ascii="Arial" w:hAnsi="Arial"/>
                <w:sz w:val="20"/>
              </w:rPr>
              <w:t>The system shall track review cycle metrics including completion and bucket distribution.</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FR-T4-009</w:t>
            </w:r>
          </w:p>
        </w:tc>
        <w:tc>
          <w:tcPr>
            <w:tcW w:type="dxa" w:w="1872"/>
          </w:tcPr>
          <w:p>
            <w:r/>
            <w:r>
              <w:rPr>
                <w:rFonts w:ascii="Arial" w:hAnsi="Arial"/>
                <w:sz w:val="20"/>
              </w:rPr>
              <w:t>The system shall list review cycles with status.</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FR-T4-010</w:t>
            </w:r>
          </w:p>
        </w:tc>
        <w:tc>
          <w:tcPr>
            <w:tcW w:type="dxa" w:w="1872"/>
          </w:tcPr>
          <w:p>
            <w:r/>
            <w:r>
              <w:rPr>
                <w:rFonts w:ascii="Arial" w:hAnsi="Arial"/>
                <w:sz w:val="20"/>
              </w:rPr>
              <w:t>The system shall report per-cycle statistics.</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FR-T4-011</w:t>
            </w:r>
          </w:p>
        </w:tc>
        <w:tc>
          <w:tcPr>
            <w:tcW w:type="dxa" w:w="1872"/>
          </w:tcPr>
          <w:p>
            <w:r/>
            <w:r>
              <w:rPr>
                <w:rFonts w:ascii="Arial" w:hAnsi="Arial"/>
                <w:sz w:val="20"/>
              </w:rPr>
              <w:t>The system shall surface newly submitted entity reviews awaiting action.</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FR-T4-012</w:t>
            </w:r>
          </w:p>
        </w:tc>
        <w:tc>
          <w:tcPr>
            <w:tcW w:type="dxa" w:w="1872"/>
          </w:tcPr>
          <w:p>
            <w:r/>
            <w:r>
              <w:rPr>
                <w:rFonts w:ascii="Arial" w:hAnsi="Arial"/>
                <w:sz w:val="20"/>
              </w:rPr>
              <w:t>The system shall maintain entity version history across re-ingestion.</w:t>
            </w:r>
          </w:p>
        </w:tc>
        <w:tc>
          <w:tcPr>
            <w:tcW w:type="dxa" w:w="1872"/>
          </w:tcPr>
          <w:p>
            <w:r/>
            <w:r>
              <w:rPr>
                <w:rFonts w:ascii="Arial" w:hAnsi="Arial"/>
                <w:sz w:val="20"/>
              </w:rPr>
              <w:t>4.1</w:t>
            </w:r>
          </w:p>
        </w:tc>
        <w:tc>
          <w:tcPr>
            <w:tcW w:type="dxa" w:w="1872"/>
          </w:tcPr>
          <w:p>
            <w:r/>
            <w:r>
              <w:rPr>
                <w:rFonts w:ascii="Arial" w:hAnsi="Arial"/>
                <w:sz w:val="20"/>
              </w:rPr>
              <w:t>I</w:t>
            </w:r>
          </w:p>
        </w:tc>
        <w:tc>
          <w:tcPr>
            <w:tcW w:type="dxa" w:w="1872"/>
          </w:tcPr>
          <w:p>
            <w:r/>
            <w:r>
              <w:rPr>
                <w:rFonts w:ascii="Arial" w:hAnsi="Arial"/>
                <w:sz w:val="20"/>
              </w:rPr>
              <w:t>CURRENT</w:t>
            </w:r>
          </w:p>
        </w:tc>
      </w:tr>
    </w:tbl>
    <w:p/>
    <w:p>
      <w:pPr>
        <w:pStyle w:val="Heading2"/>
      </w:pPr>
      <w:r>
        <w:t>3.5 Task 5 — Priority Reviews</w:t>
      </w:r>
    </w:p>
    <w:p>
      <w:r>
        <w:rPr>
          <w:rFonts w:ascii="Arial" w:hAnsi="Arial"/>
        </w:rPr>
        <w:t>*Deliverable 5.1: Priority review reports (ad-hoc).*</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FR-T5-001</w:t>
            </w:r>
          </w:p>
        </w:tc>
        <w:tc>
          <w:tcPr>
            <w:tcW w:type="dxa" w:w="1872"/>
          </w:tcPr>
          <w:p>
            <w:r/>
            <w:r>
              <w:rPr>
                <w:rFonts w:ascii="Arial" w:hAnsi="Arial"/>
                <w:sz w:val="20"/>
              </w:rPr>
              <w:t>The system shall support ad-hoc priority verification when ONC flags an entity.</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FR-T5-002</w:t>
            </w:r>
          </w:p>
        </w:tc>
        <w:tc>
          <w:tcPr>
            <w:tcW w:type="dxa" w:w="1872"/>
          </w:tcPr>
          <w:p>
            <w:r/>
            <w:r>
              <w:rPr>
                <w:rFonts w:ascii="Arial" w:hAnsi="Arial"/>
                <w:sz w:val="20"/>
              </w:rPr>
              <w:t>The system shall support a review cycle of type `TASK5_PRIORITY`.</w:t>
            </w:r>
          </w:p>
        </w:tc>
        <w:tc>
          <w:tcPr>
            <w:tcW w:type="dxa" w:w="1872"/>
          </w:tcPr>
          <w:p>
            <w:r/>
            <w:r>
              <w:rPr>
                <w:rFonts w:ascii="Arial" w:hAnsi="Arial"/>
                <w:sz w:val="20"/>
              </w:rPr>
              <w:t>5.1</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FR-T5-003</w:t>
            </w:r>
          </w:p>
        </w:tc>
        <w:tc>
          <w:tcPr>
            <w:tcW w:type="dxa" w:w="1872"/>
          </w:tcPr>
          <w:p>
            <w:r/>
            <w:r>
              <w:rPr>
                <w:rFonts w:ascii="Arial" w:hAnsi="Arial"/>
                <w:sz w:val="20"/>
              </w:rPr>
              <w:t>The system shall create priority cases with a severity assessment.</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FR-T5-004</w:t>
            </w:r>
          </w:p>
        </w:tc>
        <w:tc>
          <w:tcPr>
            <w:tcW w:type="dxa" w:w="1872"/>
          </w:tcPr>
          <w:p>
            <w:r/>
            <w:r>
              <w:rPr>
                <w:rFonts w:ascii="Arial" w:hAnsi="Arial"/>
                <w:sz w:val="20"/>
              </w:rPr>
              <w:t>The system shall execute a priority case through the full verification pipeline.</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FR-T5-005</w:t>
            </w:r>
          </w:p>
        </w:tc>
        <w:tc>
          <w:tcPr>
            <w:tcW w:type="dxa" w:w="1872"/>
          </w:tcPr>
          <w:p>
            <w:r/>
            <w:r>
              <w:rPr>
                <w:rFonts w:ascii="Arial" w:hAnsi="Arial"/>
                <w:sz w:val="20"/>
              </w:rPr>
              <w:t>The system shall assign a due date to each review.</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FR-T5-006</w:t>
            </w:r>
          </w:p>
        </w:tc>
        <w:tc>
          <w:tcPr>
            <w:tcW w:type="dxa" w:w="1872"/>
          </w:tcPr>
          <w:p>
            <w:r/>
            <w:r>
              <w:rPr>
                <w:rFonts w:ascii="Arial" w:hAnsi="Arial"/>
                <w:sz w:val="20"/>
              </w:rPr>
              <w:t>The system shall classify reviews as `overdue` when the due moment has passed.</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FR-T5-007</w:t>
            </w:r>
          </w:p>
        </w:tc>
        <w:tc>
          <w:tcPr>
            <w:tcW w:type="dxa" w:w="1872"/>
          </w:tcPr>
          <w:p>
            <w:r/>
            <w:r>
              <w:rPr>
                <w:rFonts w:ascii="Arial" w:hAnsi="Arial"/>
                <w:sz w:val="20"/>
              </w:rPr>
              <w:t>The system shall classify reviews as `at_risk` when two or fewer days remain.</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FR-T5-008</w:t>
            </w:r>
          </w:p>
        </w:tc>
        <w:tc>
          <w:tcPr>
            <w:tcW w:type="dxa" w:w="1872"/>
          </w:tcPr>
          <w:p>
            <w:r/>
            <w:r>
              <w:rPr>
                <w:rFonts w:ascii="Arial" w:hAnsi="Arial"/>
                <w:sz w:val="20"/>
              </w:rPr>
              <w:t>The system shall present a priority review dashboard with SLA banding.</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FR-T5-009</w:t>
            </w:r>
          </w:p>
        </w:tc>
        <w:tc>
          <w:tcPr>
            <w:tcW w:type="dxa" w:w="1872"/>
          </w:tcPr>
          <w:p>
            <w:r/>
            <w:r>
              <w:rPr>
                <w:rFonts w:ascii="Arial" w:hAnsi="Arial"/>
                <w:sz w:val="20"/>
              </w:rPr>
              <w:t>The system shall generate a per-case priority review report.</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FR-T5-010</w:t>
            </w:r>
          </w:p>
        </w:tc>
        <w:tc>
          <w:tcPr>
            <w:tcW w:type="dxa" w:w="1872"/>
          </w:tcPr>
          <w:p>
            <w:r/>
            <w:r>
              <w:rPr>
                <w:rFonts w:ascii="Arial" w:hAnsi="Arial"/>
                <w:sz w:val="20"/>
              </w:rPr>
              <w:t>The system shall support root cause analysis for flagged entities.</w:t>
            </w:r>
          </w:p>
        </w:tc>
        <w:tc>
          <w:tcPr>
            <w:tcW w:type="dxa" w:w="1872"/>
          </w:tcPr>
          <w:p>
            <w:r/>
            <w:r>
              <w:rPr>
                <w:rFonts w:ascii="Arial" w:hAnsi="Arial"/>
                <w:sz w:val="20"/>
              </w:rPr>
              <w:t>5.1</w:t>
            </w:r>
          </w:p>
        </w:tc>
        <w:tc>
          <w:tcPr>
            <w:tcW w:type="dxa" w:w="1872"/>
          </w:tcPr>
          <w:p>
            <w:r/>
            <w:r>
              <w:rPr>
                <w:rFonts w:ascii="Arial" w:hAnsi="Arial"/>
                <w:sz w:val="20"/>
              </w:rPr>
              <w:t>D</w:t>
            </w:r>
          </w:p>
        </w:tc>
        <w:tc>
          <w:tcPr>
            <w:tcW w:type="dxa" w:w="1872"/>
          </w:tcPr>
          <w:p>
            <w:r/>
            <w:r>
              <w:rPr>
                <w:rFonts w:ascii="Arial" w:hAnsi="Arial"/>
                <w:sz w:val="20"/>
              </w:rPr>
              <w:t>CURRENT</w:t>
            </w:r>
          </w:p>
        </w:tc>
      </w:tr>
      <w:tr>
        <w:tc>
          <w:tcPr>
            <w:tcW w:type="dxa" w:w="1872"/>
          </w:tcPr>
          <w:p>
            <w:r/>
            <w:r>
              <w:rPr>
                <w:rFonts w:ascii="Arial" w:hAnsi="Arial"/>
                <w:sz w:val="20"/>
              </w:rPr>
              <w:t>FR-T5-011</w:t>
            </w:r>
          </w:p>
        </w:tc>
        <w:tc>
          <w:tcPr>
            <w:tcW w:type="dxa" w:w="1872"/>
          </w:tcPr>
          <w:p>
            <w:r/>
            <w:r>
              <w:rPr>
                <w:rFonts w:ascii="Arial" w:hAnsi="Arial"/>
                <w:sz w:val="20"/>
              </w:rPr>
              <w:t>The system shall restrict priority case creation to program managers, and case execution to reviewers and above.</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bl>
    <w:p/>
    <w:p>
      <w:pPr>
        <w:pStyle w:val="Heading2"/>
      </w:pPr>
      <w:r>
        <w:t>3.6 Task 6 — Contract Closeout</w:t>
      </w:r>
    </w:p>
    <w:p>
      <w:r>
        <w:rPr>
          <w:rFonts w:ascii="Arial" w:hAnsi="Arial"/>
        </w:rPr>
        <w:t>*Deliverables 6.1 (final closeout report) and 6.2 (data/system transition package).*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FR-T6-001</w:t>
            </w:r>
          </w:p>
        </w:tc>
        <w:tc>
          <w:tcPr>
            <w:tcW w:type="dxa" w:w="1872"/>
          </w:tcPr>
          <w:p>
            <w:r/>
            <w:r>
              <w:rPr>
                <w:rFonts w:ascii="Arial" w:hAnsi="Arial"/>
                <w:sz w:val="20"/>
              </w:rPr>
              <w:t>The system shall generate a final comprehensive report.</w:t>
            </w:r>
          </w:p>
        </w:tc>
        <w:tc>
          <w:tcPr>
            <w:tcW w:type="dxa" w:w="1872"/>
          </w:tcPr>
          <w:p>
            <w:r/>
            <w:r>
              <w:rPr>
                <w:rFonts w:ascii="Arial" w:hAnsi="Arial"/>
                <w:sz w:val="20"/>
              </w:rPr>
              <w:t>6.1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FR-T6-002</w:t>
            </w:r>
          </w:p>
        </w:tc>
        <w:tc>
          <w:tcPr>
            <w:tcW w:type="dxa" w:w="1872"/>
          </w:tcPr>
          <w:p>
            <w:r/>
            <w:r>
              <w:rPr>
                <w:rFonts w:ascii="Arial" w:hAnsi="Arial"/>
                <w:sz w:val="20"/>
              </w:rPr>
              <w:t>The system shall generate quarterly reports.</w:t>
            </w:r>
          </w:p>
        </w:tc>
        <w:tc>
          <w:tcPr>
            <w:tcW w:type="dxa" w:w="1872"/>
          </w:tcPr>
          <w:p>
            <w:r/>
            <w:r>
              <w:rPr>
                <w:rFonts w:ascii="Arial" w:hAnsi="Arial"/>
                <w:sz w:val="20"/>
              </w:rPr>
              <w:t>6.1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FR-T6-003</w:t>
            </w:r>
          </w:p>
        </w:tc>
        <w:tc>
          <w:tcPr>
            <w:tcW w:type="dxa" w:w="1872"/>
          </w:tcPr>
          <w:p>
            <w:r/>
            <w:r>
              <w:rPr>
                <w:rFonts w:ascii="Arial" w:hAnsi="Arial"/>
                <w:sz w:val="20"/>
              </w:rPr>
              <w:t>The system shall restrict final and quarterly report generation to program managers.</w:t>
            </w:r>
          </w:p>
        </w:tc>
        <w:tc>
          <w:tcPr>
            <w:tcW w:type="dxa" w:w="1872"/>
          </w:tcPr>
          <w:p>
            <w:r/>
            <w:r>
              <w:rPr>
                <w:rFonts w:ascii="Arial" w:hAnsi="Arial"/>
                <w:sz w:val="20"/>
              </w:rPr>
              <w:t>6.1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FR-T6-004</w:t>
            </w:r>
          </w:p>
        </w:tc>
        <w:tc>
          <w:tcPr>
            <w:tcW w:type="dxa" w:w="1872"/>
          </w:tcPr>
          <w:p>
            <w:r/>
            <w:r>
              <w:rPr>
                <w:rFonts w:ascii="Arial" w:hAnsi="Arial"/>
                <w:sz w:val="20"/>
              </w:rPr>
              <w:t>The system shall export the complete audit trail.</w:t>
            </w:r>
          </w:p>
        </w:tc>
        <w:tc>
          <w:tcPr>
            <w:tcW w:type="dxa" w:w="1872"/>
          </w:tcPr>
          <w:p>
            <w:r/>
            <w:r>
              <w:rPr>
                <w:rFonts w:ascii="Arial" w:hAnsi="Arial"/>
                <w:sz w:val="20"/>
              </w:rPr>
              <w:t>6.2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FR-T6-005</w:t>
            </w:r>
          </w:p>
        </w:tc>
        <w:tc>
          <w:tcPr>
            <w:tcW w:type="dxa" w:w="1872"/>
          </w:tcPr>
          <w:p>
            <w:r/>
            <w:r>
              <w:rPr>
                <w:rFonts w:ascii="Arial" w:hAnsi="Arial"/>
                <w:sz w:val="20"/>
              </w:rPr>
              <w:t>The system shall export review data in machine-readable formats.</w:t>
            </w:r>
          </w:p>
        </w:tc>
        <w:tc>
          <w:tcPr>
            <w:tcW w:type="dxa" w:w="1872"/>
          </w:tcPr>
          <w:p>
            <w:r/>
            <w:r>
              <w:rPr>
                <w:rFonts w:ascii="Arial" w:hAnsi="Arial"/>
                <w:sz w:val="20"/>
              </w:rPr>
              <w:t>6.2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FR-T6-006</w:t>
            </w:r>
          </w:p>
        </w:tc>
        <w:tc>
          <w:tcPr>
            <w:tcW w:type="dxa" w:w="1872"/>
          </w:tcPr>
          <w:p>
            <w:r/>
            <w:r>
              <w:rPr>
                <w:rFonts w:ascii="Arial" w:hAnsi="Arial"/>
                <w:sz w:val="20"/>
              </w:rPr>
              <w:t>The system shall retain all review records for the configured retention period.</w:t>
            </w:r>
          </w:p>
        </w:tc>
        <w:tc>
          <w:tcPr>
            <w:tcW w:type="dxa" w:w="1872"/>
          </w:tcPr>
          <w:p>
            <w:r/>
            <w:r>
              <w:rPr>
                <w:rFonts w:ascii="Arial" w:hAnsi="Arial"/>
                <w:sz w:val="20"/>
              </w:rPr>
              <w:t>6.2</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FR-T6-007</w:t>
            </w:r>
          </w:p>
        </w:tc>
        <w:tc>
          <w:tcPr>
            <w:tcW w:type="dxa" w:w="1872"/>
          </w:tcPr>
          <w:p>
            <w:r/>
            <w:r>
              <w:rPr>
                <w:rFonts w:ascii="Arial" w:hAnsi="Arial"/>
                <w:sz w:val="20"/>
              </w:rPr>
              <w:t>The system shall provide downloadable report artifacts by identifier.</w:t>
            </w:r>
          </w:p>
        </w:tc>
        <w:tc>
          <w:tcPr>
            <w:tcW w:type="dxa" w:w="1872"/>
          </w:tcPr>
          <w:p>
            <w:r/>
            <w:r>
              <w:rPr>
                <w:rFonts w:ascii="Arial" w:hAnsi="Arial"/>
                <w:sz w:val="20"/>
              </w:rPr>
              <w:t>6.2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FR-T6-008</w:t>
            </w:r>
          </w:p>
        </w:tc>
        <w:tc>
          <w:tcPr>
            <w:tcW w:type="dxa" w:w="1872"/>
          </w:tcPr>
          <w:p>
            <w:r/>
            <w:r>
              <w:rPr>
                <w:rFonts w:ascii="Arial" w:hAnsi="Arial"/>
                <w:sz w:val="20"/>
              </w:rPr>
              <w:t>The system shall provide a per-user activity trail for transition and accountability review.</w:t>
            </w:r>
          </w:p>
        </w:tc>
        <w:tc>
          <w:tcPr>
            <w:tcW w:type="dxa" w:w="1872"/>
          </w:tcPr>
          <w:p>
            <w:r/>
            <w:r>
              <w:rPr>
                <w:rFonts w:ascii="Arial" w:hAnsi="Arial"/>
                <w:sz w:val="20"/>
              </w:rPr>
              <w:t>6.2</w:t>
            </w:r>
          </w:p>
        </w:tc>
        <w:tc>
          <w:tcPr>
            <w:tcW w:type="dxa" w:w="1872"/>
          </w:tcPr>
          <w:p>
            <w:r/>
            <w:r>
              <w:rPr>
                <w:rFonts w:ascii="Arial" w:hAnsi="Arial"/>
                <w:sz w:val="20"/>
              </w:rPr>
              <w:t>T</w:t>
            </w:r>
          </w:p>
        </w:tc>
        <w:tc>
          <w:tcPr>
            <w:tcW w:type="dxa" w:w="1872"/>
          </w:tcPr>
          <w:p>
            <w:r/>
            <w:r>
              <w:rPr>
                <w:rFonts w:ascii="Arial" w:hAnsi="Arial"/>
                <w:sz w:val="20"/>
              </w:rPr>
              <w:t>CURRENT</w:t>
            </w:r>
          </w:p>
        </w:tc>
      </w:tr>
    </w:tbl>
    <w:p/>
    <w:p>
      <w:pPr>
        <w:pStyle w:val="Heading2"/>
      </w:pPr>
      <w:r>
        <w:t>3.7 Cross-Cutting Functional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SOW Task</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FR-CC-001</w:t>
            </w:r>
          </w:p>
        </w:tc>
        <w:tc>
          <w:tcPr>
            <w:tcW w:type="dxa" w:w="1872"/>
          </w:tcPr>
          <w:p>
            <w:r/>
            <w:r>
              <w:rPr>
                <w:rFonts w:ascii="Arial" w:hAnsi="Arial"/>
                <w:sz w:val="20"/>
              </w:rPr>
              <w:t>The system shall authenticate users via signed JSON Web Tokens.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FR-CC-002</w:t>
            </w:r>
          </w:p>
        </w:tc>
        <w:tc>
          <w:tcPr>
            <w:tcW w:type="dxa" w:w="1872"/>
          </w:tcPr>
          <w:p>
            <w:r/>
            <w:r>
              <w:rPr>
                <w:rFonts w:ascii="Arial" w:hAnsi="Arial"/>
                <w:sz w:val="20"/>
              </w:rPr>
              <w:t>The system shall enforce an eight-level role hierarchy by numeric level, not role name.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FR-CC-003</w:t>
            </w:r>
          </w:p>
        </w:tc>
        <w:tc>
          <w:tcPr>
            <w:tcW w:type="dxa" w:w="1872"/>
          </w:tcPr>
          <w:p>
            <w:r/>
            <w:r>
              <w:rPr>
                <w:rFonts w:ascii="Arial" w:hAnsi="Arial"/>
                <w:sz w:val="20"/>
              </w:rPr>
              <w:t>The system shall issue 24-hour access tokens to administrators and 15-minute access tokens to all other roles.</w:t>
            </w:r>
          </w:p>
        </w:tc>
        <w:tc>
          <w:tcPr>
            <w:tcW w:type="dxa" w:w="1872"/>
          </w:tcPr>
          <w:p>
            <w:r/>
            <w:r>
              <w:rPr>
                <w:rFonts w:ascii="Arial" w:hAnsi="Arial"/>
                <w:sz w:val="20"/>
              </w:rPr>
              <w:t>All</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FR-CC-004</w:t>
            </w:r>
          </w:p>
        </w:tc>
        <w:tc>
          <w:tcPr>
            <w:tcW w:type="dxa" w:w="1872"/>
          </w:tcPr>
          <w:p>
            <w:r/>
            <w:r>
              <w:rPr>
                <w:rFonts w:ascii="Arial" w:hAnsi="Arial"/>
                <w:sz w:val="20"/>
              </w:rPr>
              <w:t>The system shall issue refresh tokens valid for seven days.</w:t>
            </w:r>
          </w:p>
        </w:tc>
        <w:tc>
          <w:tcPr>
            <w:tcW w:type="dxa" w:w="1872"/>
          </w:tcPr>
          <w:p>
            <w:r/>
            <w:r>
              <w:rPr>
                <w:rFonts w:ascii="Arial" w:hAnsi="Arial"/>
                <w:sz w:val="20"/>
              </w:rPr>
              <w:t>All</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FR-CC-005</w:t>
            </w:r>
          </w:p>
        </w:tc>
        <w:tc>
          <w:tcPr>
            <w:tcW w:type="dxa" w:w="1872"/>
          </w:tcPr>
          <w:p>
            <w:r/>
            <w:r>
              <w:rPr>
                <w:rFonts w:ascii="Arial" w:hAnsi="Arial"/>
                <w:sz w:val="20"/>
              </w:rPr>
              <w:t>The system shall reject tokens issued before a user's revocation epoch.</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FR-CC-006</w:t>
            </w:r>
          </w:p>
        </w:tc>
        <w:tc>
          <w:tcPr>
            <w:tcW w:type="dxa" w:w="1872"/>
          </w:tcPr>
          <w:p>
            <w:r/>
            <w:r>
              <w:rPr>
                <w:rFonts w:ascii="Arial" w:hAnsi="Arial"/>
                <w:sz w:val="20"/>
              </w:rPr>
              <w:t>The system shall terminate all sessions for an account on logout, disablement or password change.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FR-CC-007</w:t>
            </w:r>
          </w:p>
        </w:tc>
        <w:tc>
          <w:tcPr>
            <w:tcW w:type="dxa" w:w="1872"/>
          </w:tcPr>
          <w:p>
            <w:r/>
            <w:r>
              <w:rPr>
                <w:rFonts w:ascii="Arial" w:hAnsi="Arial"/>
                <w:sz w:val="20"/>
              </w:rPr>
              <w:t>The system shall enforce account state (active, disabled, pending approval) on every authenticated request.</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FR-CC-008</w:t>
            </w:r>
          </w:p>
        </w:tc>
        <w:tc>
          <w:tcPr>
            <w:tcW w:type="dxa" w:w="1872"/>
          </w:tcPr>
          <w:p>
            <w:r/>
            <w:r>
              <w:rPr>
                <w:rFonts w:ascii="Arial" w:hAnsi="Arial"/>
                <w:sz w:val="20"/>
              </w:rPr>
              <w:t>The system shall require email verification before a self-registered account may sign in.</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FR-CC-009</w:t>
            </w:r>
          </w:p>
        </w:tc>
        <w:tc>
          <w:tcPr>
            <w:tcW w:type="dxa" w:w="1872"/>
          </w:tcPr>
          <w:p>
            <w:r/>
            <w:r>
              <w:rPr>
                <w:rFonts w:ascii="Arial" w:hAnsi="Arial"/>
                <w:sz w:val="20"/>
              </w:rPr>
              <w:t>The system shall require administrator approval before a self-registered account becomes active.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FR-CC-010</w:t>
            </w:r>
          </w:p>
        </w:tc>
        <w:tc>
          <w:tcPr>
            <w:tcW w:type="dxa" w:w="1872"/>
          </w:tcPr>
          <w:p>
            <w:r/>
            <w:r>
              <w:rPr>
                <w:rFonts w:ascii="Arial" w:hAnsi="Arial"/>
                <w:sz w:val="20"/>
              </w:rPr>
              <w:t>The system shall throttle login attempts per IP address and lock accounts after repeated failures.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FR-CC-011</w:t>
            </w:r>
          </w:p>
        </w:tc>
        <w:tc>
          <w:tcPr>
            <w:tcW w:type="dxa" w:w="1872"/>
          </w:tcPr>
          <w:p>
            <w:r/>
            <w:r>
              <w:rPr>
                <w:rFonts w:ascii="Arial" w:hAnsi="Arial"/>
                <w:sz w:val="20"/>
              </w:rPr>
              <w:t>The system shall perform exactly one password hash comparison per login attempt regardless of whether the account exists.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FR-CC-012</w:t>
            </w:r>
          </w:p>
        </w:tc>
        <w:tc>
          <w:tcPr>
            <w:tcW w:type="dxa" w:w="1872"/>
          </w:tcPr>
          <w:p>
            <w:r/>
            <w:r>
              <w:rPr>
                <w:rFonts w:ascii="Arial" w:hAnsi="Arial"/>
                <w:sz w:val="20"/>
              </w:rPr>
              <w:t>The system shall restrict all user-management operations to administrators.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FR-CC-013</w:t>
            </w:r>
          </w:p>
        </w:tc>
        <w:tc>
          <w:tcPr>
            <w:tcW w:type="dxa" w:w="1872"/>
          </w:tcPr>
          <w:p>
            <w:r/>
            <w:r>
              <w:rPr>
                <w:rFonts w:ascii="Arial" w:hAnsi="Arial"/>
                <w:sz w:val="20"/>
              </w:rPr>
              <w:t>The system shall permit only super administrators to grant or modify the admin role.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FR-CC-014</w:t>
            </w:r>
          </w:p>
        </w:tc>
        <w:tc>
          <w:tcPr>
            <w:tcW w:type="dxa" w:w="1872"/>
          </w:tcPr>
          <w:p>
            <w:r/>
            <w:r>
              <w:rPr>
                <w:rFonts w:ascii="Arial" w:hAnsi="Arial"/>
                <w:sz w:val="20"/>
              </w:rPr>
              <w:t>The system shall support assignment of all eight roles through the administrative interface.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FR-CC-015</w:t>
            </w:r>
          </w:p>
        </w:tc>
        <w:tc>
          <w:tcPr>
            <w:tcW w:type="dxa" w:w="1872"/>
          </w:tcPr>
          <w:p>
            <w:r/>
            <w:r>
              <w:rPr>
                <w:rFonts w:ascii="Arial" w:hAnsi="Arial"/>
                <w:sz w:val="20"/>
              </w:rPr>
              <w:t>The system shall support bulk role assignment by email list, restricted to administrators and audited per grant.</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FR-CC-016</w:t>
            </w:r>
          </w:p>
        </w:tc>
        <w:tc>
          <w:tcPr>
            <w:tcW w:type="dxa" w:w="1872"/>
          </w:tcPr>
          <w:p>
            <w:r/>
            <w:r>
              <w:rPr>
                <w:rFonts w:ascii="Arial" w:hAnsi="Arial"/>
                <w:sz w:val="20"/>
              </w:rPr>
              <w:t>The system shall never derive role or privilege from an email address or domain.</w:t>
            </w:r>
          </w:p>
        </w:tc>
        <w:tc>
          <w:tcPr>
            <w:tcW w:type="dxa" w:w="1872"/>
          </w:tcPr>
          <w:p>
            <w:r/>
            <w:r>
              <w:rPr>
                <w:rFonts w:ascii="Arial" w:hAnsi="Arial"/>
                <w:sz w:val="20"/>
              </w:rPr>
              <w:t>All</w:t>
            </w:r>
          </w:p>
        </w:tc>
        <w:tc>
          <w:tcPr>
            <w:tcW w:type="dxa" w:w="1872"/>
          </w:tcPr>
          <w:p>
            <w:r/>
            <w:r>
              <w:rPr>
                <w:rFonts w:ascii="Arial" w:hAnsi="Arial"/>
                <w:sz w:val="20"/>
              </w:rPr>
              <w:t>T, I</w:t>
            </w:r>
          </w:p>
        </w:tc>
        <w:tc>
          <w:tcPr>
            <w:tcW w:type="dxa" w:w="1872"/>
          </w:tcPr>
          <w:p>
            <w:r/>
            <w:r>
              <w:rPr>
                <w:rFonts w:ascii="Arial" w:hAnsi="Arial"/>
                <w:sz w:val="20"/>
              </w:rPr>
              <w:t>CURRENT</w:t>
            </w:r>
          </w:p>
        </w:tc>
      </w:tr>
      <w:tr>
        <w:tc>
          <w:tcPr>
            <w:tcW w:type="dxa" w:w="1872"/>
          </w:tcPr>
          <w:p>
            <w:r/>
            <w:r>
              <w:rPr>
                <w:rFonts w:ascii="Arial" w:hAnsi="Arial"/>
                <w:sz w:val="20"/>
              </w:rPr>
              <w:t>FR-CC-017</w:t>
            </w:r>
          </w:p>
        </w:tc>
        <w:tc>
          <w:tcPr>
            <w:tcW w:type="dxa" w:w="1872"/>
          </w:tcPr>
          <w:p>
            <w:r/>
            <w:r>
              <w:rPr>
                <w:rFonts w:ascii="Arial" w:hAnsi="Arial"/>
                <w:sz w:val="20"/>
              </w:rPr>
              <w:t>The system shall grant new accounts a default module set determined by role.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FR-CC-018</w:t>
            </w:r>
          </w:p>
        </w:tc>
        <w:tc>
          <w:tcPr>
            <w:tcW w:type="dxa" w:w="1872"/>
          </w:tcPr>
          <w:p>
            <w:r/>
            <w:r>
              <w:rPr>
                <w:rFonts w:ascii="Arial" w:hAnsi="Arial"/>
                <w:sz w:val="20"/>
              </w:rPr>
              <w:t>The system shall support per-user module access control across fifteen defined modules.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FR-CC-019</w:t>
            </w:r>
          </w:p>
        </w:tc>
        <w:tc>
          <w:tcPr>
            <w:tcW w:type="dxa" w:w="1872"/>
          </w:tcPr>
          <w:p>
            <w:r/>
            <w:r>
              <w:rPr>
                <w:rFonts w:ascii="Arial" w:hAnsi="Arial"/>
                <w:sz w:val="20"/>
              </w:rPr>
              <w:t>The system shall support optional Microsoft Entra ID single sign-on.</w:t>
            </w:r>
          </w:p>
        </w:tc>
        <w:tc>
          <w:tcPr>
            <w:tcW w:type="dxa" w:w="1872"/>
          </w:tcPr>
          <w:p>
            <w:r/>
            <w:r>
              <w:rPr>
                <w:rFonts w:ascii="Arial" w:hAnsi="Arial"/>
                <w:sz w:val="20"/>
              </w:rPr>
              <w:t>All</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FR-CC-020</w:t>
            </w:r>
          </w:p>
        </w:tc>
        <w:tc>
          <w:tcPr>
            <w:tcW w:type="dxa" w:w="1872"/>
          </w:tcPr>
          <w:p>
            <w:r/>
            <w:r>
              <w:rPr>
                <w:rFonts w:ascii="Arial" w:hAnsi="Arial"/>
                <w:sz w:val="20"/>
              </w:rPr>
              <w:t>The system shall map Entra ID group claims to platform roles.</w:t>
            </w:r>
          </w:p>
        </w:tc>
        <w:tc>
          <w:tcPr>
            <w:tcW w:type="dxa" w:w="1872"/>
          </w:tcPr>
          <w:p>
            <w:r/>
            <w:r>
              <w:rPr>
                <w:rFonts w:ascii="Arial" w:hAnsi="Arial"/>
                <w:sz w:val="20"/>
              </w:rPr>
              <w:t>All</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FR-CC-021</w:t>
            </w:r>
          </w:p>
        </w:tc>
        <w:tc>
          <w:tcPr>
            <w:tcW w:type="dxa" w:w="1872"/>
          </w:tcPr>
          <w:p>
            <w:r/>
            <w:r>
              <w:rPr>
                <w:rFonts w:ascii="Arial" w:hAnsi="Arial"/>
                <w:sz w:val="20"/>
              </w:rPr>
              <w:t>The system shall maintain an append-only audit log of administrative actions.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FR-CC-022</w:t>
            </w:r>
          </w:p>
        </w:tc>
        <w:tc>
          <w:tcPr>
            <w:tcW w:type="dxa" w:w="1872"/>
          </w:tcPr>
          <w:p>
            <w:r/>
            <w:r>
              <w:rPr>
                <w:rFonts w:ascii="Arial" w:hAnsi="Arial"/>
                <w:sz w:val="20"/>
              </w:rPr>
              <w:t>The system shall record actor identity, target, action and timestamp for every audited event.</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FR-CC-023</w:t>
            </w:r>
          </w:p>
        </w:tc>
        <w:tc>
          <w:tcPr>
            <w:tcW w:type="dxa" w:w="1872"/>
          </w:tcPr>
          <w:p>
            <w:r/>
            <w:r>
              <w:rPr>
                <w:rFonts w:ascii="Arial" w:hAnsi="Arial"/>
                <w:sz w:val="20"/>
              </w:rPr>
              <w:t>The system shall implement an entity lifecycle state machine with states `draft`, `pending_verification`, `active`, `suspended`, `inactive`.</w:t>
            </w:r>
          </w:p>
        </w:tc>
        <w:tc>
          <w:tcPr>
            <w:tcW w:type="dxa" w:w="1872"/>
          </w:tcPr>
          <w:p>
            <w:r/>
            <w:r>
              <w:rPr>
                <w:rFonts w:ascii="Arial" w:hAnsi="Arial"/>
                <w:sz w:val="20"/>
              </w:rPr>
              <w:t>T3, T4</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FR-CC-024</w:t>
            </w:r>
          </w:p>
        </w:tc>
        <w:tc>
          <w:tcPr>
            <w:tcW w:type="dxa" w:w="1872"/>
          </w:tcPr>
          <w:p>
            <w:r/>
            <w:r>
              <w:rPr>
                <w:rFonts w:ascii="Arial" w:hAnsi="Arial"/>
                <w:sz w:val="20"/>
              </w:rPr>
              <w:t>The system shall implement entity review status values `PENDING_REVIEW`, `IN_REVIEW`, `REVIEWED_COMPLETE`, `CORRECTIVE_ACTION_OPEN`, `ESCALATED`.</w:t>
            </w:r>
          </w:p>
        </w:tc>
        <w:tc>
          <w:tcPr>
            <w:tcW w:type="dxa" w:w="1872"/>
          </w:tcPr>
          <w:p>
            <w:r/>
            <w:r>
              <w:rPr>
                <w:rFonts w:ascii="Arial" w:hAnsi="Arial"/>
                <w:sz w:val="20"/>
              </w:rPr>
              <w:t>T3–T5</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FR-CC-025</w:t>
            </w:r>
          </w:p>
        </w:tc>
        <w:tc>
          <w:tcPr>
            <w:tcW w:type="dxa" w:w="1872"/>
          </w:tcPr>
          <w:p>
            <w:r/>
            <w:r>
              <w:rPr>
                <w:rFonts w:ascii="Arial" w:hAnsi="Arial"/>
                <w:sz w:val="20"/>
              </w:rPr>
              <w:t>The system shall reject state transitions that are not permitted by the state machine.</w:t>
            </w:r>
          </w:p>
        </w:tc>
        <w:tc>
          <w:tcPr>
            <w:tcW w:type="dxa" w:w="1872"/>
          </w:tcPr>
          <w:p>
            <w:r/>
            <w:r>
              <w:rPr>
                <w:rFonts w:ascii="Arial" w:hAnsi="Arial"/>
                <w:sz w:val="20"/>
              </w:rPr>
              <w:t>T3, T4</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FR-CC-026</w:t>
            </w:r>
          </w:p>
        </w:tc>
        <w:tc>
          <w:tcPr>
            <w:tcW w:type="dxa" w:w="1872"/>
          </w:tcPr>
          <w:p>
            <w:r/>
            <w:r>
              <w:rPr>
                <w:rFonts w:ascii="Arial" w:hAnsi="Arial"/>
                <w:sz w:val="20"/>
              </w:rPr>
              <w:t>The system shall provide AI-assisted entity resolution as an advisory capability, disabled by default.</w:t>
            </w:r>
          </w:p>
        </w:tc>
        <w:tc>
          <w:tcPr>
            <w:tcW w:type="dxa" w:w="1872"/>
          </w:tcPr>
          <w:p>
            <w:r/>
            <w:r>
              <w:rPr>
                <w:rFonts w:ascii="Arial" w:hAnsi="Arial"/>
                <w:sz w:val="20"/>
              </w:rPr>
              <w:t>T3</w:t>
            </w:r>
          </w:p>
        </w:tc>
        <w:tc>
          <w:tcPr>
            <w:tcW w:type="dxa" w:w="1872"/>
          </w:tcPr>
          <w:p>
            <w:r/>
            <w:r>
              <w:rPr>
                <w:rFonts w:ascii="Arial" w:hAnsi="Arial"/>
                <w:sz w:val="20"/>
              </w:rPr>
              <w:t>T</w:t>
            </w:r>
          </w:p>
        </w:tc>
        <w:tc>
          <w:tcPr>
            <w:tcW w:type="dxa" w:w="1872"/>
          </w:tcPr>
          <w:p>
            <w:r/>
            <w:r>
              <w:rPr>
                <w:rFonts w:ascii="Arial" w:hAnsi="Arial"/>
                <w:sz w:val="20"/>
              </w:rPr>
              <w:t>CURRENT (disabled)</w:t>
            </w:r>
          </w:p>
        </w:tc>
      </w:tr>
      <w:tr>
        <w:tc>
          <w:tcPr>
            <w:tcW w:type="dxa" w:w="1872"/>
          </w:tcPr>
          <w:p>
            <w:r/>
            <w:r>
              <w:rPr>
                <w:rFonts w:ascii="Arial" w:hAnsi="Arial"/>
                <w:sz w:val="20"/>
              </w:rPr>
              <w:t>FR-CC-027</w:t>
            </w:r>
          </w:p>
        </w:tc>
        <w:tc>
          <w:tcPr>
            <w:tcW w:type="dxa" w:w="1872"/>
          </w:tcPr>
          <w:p>
            <w:r/>
            <w:r>
              <w:rPr>
                <w:rFonts w:ascii="Arial" w:hAnsi="Arial"/>
                <w:sz w:val="20"/>
              </w:rPr>
              <w:t>The system shall restrict AI data egress to an explicit field allowlist.</w:t>
            </w:r>
          </w:p>
        </w:tc>
        <w:tc>
          <w:tcPr>
            <w:tcW w:type="dxa" w:w="1872"/>
          </w:tcPr>
          <w:p>
            <w:r/>
            <w:r>
              <w:rPr>
                <w:rFonts w:ascii="Arial" w:hAnsi="Arial"/>
                <w:sz w:val="20"/>
              </w:rPr>
              <w:t>T3</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FR-CC-028</w:t>
            </w:r>
          </w:p>
        </w:tc>
        <w:tc>
          <w:tcPr>
            <w:tcW w:type="dxa" w:w="1872"/>
          </w:tcPr>
          <w:p>
            <w:r/>
            <w:r>
              <w:rPr>
                <w:rFonts w:ascii="Arial" w:hAnsi="Arial"/>
                <w:sz w:val="20"/>
              </w:rPr>
              <w:t>The system shall require human review of every AI-assisted determination.</w:t>
            </w:r>
          </w:p>
        </w:tc>
        <w:tc>
          <w:tcPr>
            <w:tcW w:type="dxa" w:w="1872"/>
          </w:tcPr>
          <w:p>
            <w:r/>
            <w:r>
              <w:rPr>
                <w:rFonts w:ascii="Arial" w:hAnsi="Arial"/>
                <w:sz w:val="20"/>
              </w:rPr>
              <w:t>T3</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FR-CC-029</w:t>
            </w:r>
          </w:p>
        </w:tc>
        <w:tc>
          <w:tcPr>
            <w:tcW w:type="dxa" w:w="1872"/>
          </w:tcPr>
          <w:p>
            <w:r/>
            <w:r>
              <w:rPr>
                <w:rFonts w:ascii="Arial" w:hAnsi="Arial"/>
                <w:sz w:val="20"/>
              </w:rPr>
              <w:t>The system shall fall back to deterministic matching when AI is unavailable or disabled.</w:t>
            </w:r>
          </w:p>
        </w:tc>
        <w:tc>
          <w:tcPr>
            <w:tcW w:type="dxa" w:w="1872"/>
          </w:tcPr>
          <w:p>
            <w:r/>
            <w:r>
              <w:rPr>
                <w:rFonts w:ascii="Arial" w:hAnsi="Arial"/>
                <w:sz w:val="20"/>
              </w:rPr>
              <w:t>T3</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FR-CC-030</w:t>
            </w:r>
          </w:p>
        </w:tc>
        <w:tc>
          <w:tcPr>
            <w:tcW w:type="dxa" w:w="1872"/>
          </w:tcPr>
          <w:p>
            <w:r/>
            <w:r>
              <w:rPr>
                <w:rFonts w:ascii="Arial" w:hAnsi="Arial"/>
                <w:sz w:val="20"/>
              </w:rPr>
              <w:t>The system shall reject requests containing null bytes.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FR-CC-031</w:t>
            </w:r>
          </w:p>
        </w:tc>
        <w:tc>
          <w:tcPr>
            <w:tcW w:type="dxa" w:w="1872"/>
          </w:tcPr>
          <w:p>
            <w:r/>
            <w:r>
              <w:rPr>
                <w:rFonts w:ascii="Arial" w:hAnsi="Arial"/>
                <w:sz w:val="20"/>
              </w:rPr>
              <w:t>The system shall provide role-filtered navigation, hiding areas a user has not been granted.</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FR-CC-032</w:t>
            </w:r>
          </w:p>
        </w:tc>
        <w:tc>
          <w:tcPr>
            <w:tcW w:type="dxa" w:w="1872"/>
          </w:tcPr>
          <w:p>
            <w:r/>
            <w:r>
              <w:rPr>
                <w:rFonts w:ascii="Arial" w:hAnsi="Arial"/>
                <w:sz w:val="20"/>
              </w:rPr>
              <w:t>The system shall provide entity search across the registry.</w:t>
            </w:r>
          </w:p>
        </w:tc>
        <w:tc>
          <w:tcPr>
            <w:tcW w:type="dxa" w:w="1872"/>
          </w:tcPr>
          <w:p>
            <w:r/>
            <w:r>
              <w:rPr>
                <w:rFonts w:ascii="Arial" w:hAnsi="Arial"/>
                <w:sz w:val="20"/>
              </w:rPr>
              <w:t>T3, T4</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FR-CC-033</w:t>
            </w:r>
          </w:p>
        </w:tc>
        <w:tc>
          <w:tcPr>
            <w:tcW w:type="dxa" w:w="1872"/>
          </w:tcPr>
          <w:p>
            <w:r/>
            <w:r>
              <w:rPr>
                <w:rFonts w:ascii="Arial" w:hAnsi="Arial"/>
                <w:sz w:val="20"/>
              </w:rPr>
              <w:t>The system shall produce regulatory intelligence briefings with source attribution and export formats.</w:t>
            </w:r>
          </w:p>
        </w:tc>
        <w:tc>
          <w:tcPr>
            <w:tcW w:type="dxa" w:w="1872"/>
          </w:tcPr>
          <w:p>
            <w:r/>
            <w:r>
              <w:rPr>
                <w:rFonts w:ascii="Arial" w:hAnsi="Arial"/>
                <w:sz w:val="20"/>
              </w:rPr>
              <w:t>Cross</w:t>
            </w:r>
          </w:p>
        </w:tc>
        <w:tc>
          <w:tcPr>
            <w:tcW w:type="dxa" w:w="1872"/>
          </w:tcPr>
          <w:p>
            <w:r/>
            <w:r>
              <w:rPr>
                <w:rFonts w:ascii="Arial" w:hAnsi="Arial"/>
                <w:sz w:val="20"/>
              </w:rPr>
              <w:t>T</w:t>
            </w:r>
          </w:p>
        </w:tc>
        <w:tc>
          <w:tcPr>
            <w:tcW w:type="dxa" w:w="1872"/>
          </w:tcPr>
          <w:p>
            <w:r/>
            <w:r>
              <w:rPr>
                <w:rFonts w:ascii="Arial" w:hAnsi="Arial"/>
                <w:sz w:val="20"/>
              </w:rPr>
              <w:t>CURRENT</w:t>
            </w:r>
          </w:p>
        </w:tc>
      </w:tr>
    </w:tbl>
    <w:p/>
    <w:p>
      <w:r>
        <w:rPr>
          <w:rFonts w:ascii="Arial" w:hAnsi="Arial"/>
          <w:b/>
        </w:rPr>
        <w:t>Total functional requirements: 118</w:t>
      </w:r>
      <w:r>
        <w:rPr>
          <w:rFonts w:ascii="Arial" w:hAnsi="Arial"/>
        </w:rPr>
        <w:t xml:space="preserve"> (T1: 6, T2: 14, T3: 34, T4: 12, T5: 11, T6: 8, CC: 33).</w:t>
      </w:r>
    </w:p>
    <w:p>
      <w:r>
        <w:br w:type="page"/>
      </w:r>
    </w:p>
    <w:p>
      <w:pPr>
        <w:pStyle w:val="Heading1"/>
      </w:pPr>
      <w:r>
        <w:t>4. Non-Functional Requirements</w:t>
      </w:r>
    </w:p>
    <w:p>
      <w:pPr>
        <w:pStyle w:val="Heading2"/>
      </w:pPr>
      <w:r>
        <w:t>4.1 Design Constraints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Req ID</w:t>
            </w:r>
          </w:p>
        </w:tc>
        <w:tc>
          <w:tcPr>
            <w:tcW w:type="dxa" w:w="3120"/>
            <w:shd w:val="clear" w:fill="003087"/>
          </w:tcPr>
          <w:p>
            <w:r/>
            <w:r>
              <w:rPr>
                <w:rFonts w:ascii="Arial" w:hAnsi="Arial"/>
                <w:b/>
                <w:color w:val="FFFFFF"/>
                <w:sz w:val="20"/>
              </w:rPr>
              <w:t>Requirement</w:t>
            </w:r>
          </w:p>
        </w:tc>
        <w:tc>
          <w:tcPr>
            <w:tcW w:type="dxa" w:w="3120"/>
            <w:shd w:val="clear" w:fill="003087"/>
          </w:tcPr>
          <w:p>
            <w:r/>
            <w:r>
              <w:rPr>
                <w:rFonts w:ascii="Arial" w:hAnsi="Arial"/>
                <w:b/>
                <w:color w:val="FFFFFF"/>
                <w:sz w:val="20"/>
              </w:rPr>
              <w:t>Verif.</w:t>
            </w:r>
          </w:p>
        </w:tc>
      </w:tr>
      <w:tr>
        <w:tc>
          <w:tcPr>
            <w:tcW w:type="dxa" w:w="3120"/>
          </w:tcPr>
          <w:p>
            <w:r/>
            <w:r>
              <w:rPr>
                <w:rFonts w:ascii="Arial" w:hAnsi="Arial"/>
                <w:sz w:val="20"/>
              </w:rPr>
              <w:t>NFR-DC-001</w:t>
            </w:r>
          </w:p>
        </w:tc>
        <w:tc>
          <w:tcPr>
            <w:tcW w:type="dxa" w:w="3120"/>
          </w:tcPr>
          <w:p>
            <w:r/>
            <w:r>
              <w:rPr>
                <w:rFonts w:ascii="Arial" w:hAnsi="Arial"/>
                <w:sz w:val="20"/>
              </w:rPr>
              <w:t>The backend shall be deployed to Azure App Service (Linux).</w:t>
            </w:r>
          </w:p>
        </w:tc>
        <w:tc>
          <w:tcPr>
            <w:tcW w:type="dxa" w:w="3120"/>
          </w:tcPr>
          <w:p>
            <w:r/>
            <w:r>
              <w:rPr>
                <w:rFonts w:ascii="Arial" w:hAnsi="Arial"/>
                <w:sz w:val="20"/>
              </w:rPr>
              <w:t>I</w:t>
            </w:r>
          </w:p>
        </w:tc>
      </w:tr>
      <w:tr>
        <w:tc>
          <w:tcPr>
            <w:tcW w:type="dxa" w:w="3120"/>
          </w:tcPr>
          <w:p>
            <w:r/>
            <w:r>
              <w:rPr>
                <w:rFonts w:ascii="Arial" w:hAnsi="Arial"/>
                <w:sz w:val="20"/>
              </w:rPr>
              <w:t>NFR-DC-002</w:t>
            </w:r>
          </w:p>
        </w:tc>
        <w:tc>
          <w:tcPr>
            <w:tcW w:type="dxa" w:w="3120"/>
          </w:tcPr>
          <w:p>
            <w:r/>
            <w:r>
              <w:rPr>
                <w:rFonts w:ascii="Arial" w:hAnsi="Arial"/>
                <w:sz w:val="20"/>
              </w:rPr>
              <w:t>The system of record shall be PostgreSQL.</w:t>
            </w:r>
          </w:p>
        </w:tc>
        <w:tc>
          <w:tcPr>
            <w:tcW w:type="dxa" w:w="3120"/>
          </w:tcPr>
          <w:p>
            <w:r/>
            <w:r>
              <w:rPr>
                <w:rFonts w:ascii="Arial" w:hAnsi="Arial"/>
                <w:sz w:val="20"/>
              </w:rPr>
              <w:t>I</w:t>
            </w:r>
          </w:p>
        </w:tc>
      </w:tr>
      <w:tr>
        <w:tc>
          <w:tcPr>
            <w:tcW w:type="dxa" w:w="3120"/>
          </w:tcPr>
          <w:p>
            <w:r/>
            <w:r>
              <w:rPr>
                <w:rFonts w:ascii="Arial" w:hAnsi="Arial"/>
                <w:sz w:val="20"/>
              </w:rPr>
              <w:t>NFR-DC-003</w:t>
            </w:r>
          </w:p>
        </w:tc>
        <w:tc>
          <w:tcPr>
            <w:tcW w:type="dxa" w:w="3120"/>
          </w:tcPr>
          <w:p>
            <w:r/>
            <w:r>
              <w:rPr>
                <w:rFonts w:ascii="Arial" w:hAnsi="Arial"/>
                <w:sz w:val="20"/>
              </w:rPr>
              <w:t>The frontend shall be built with Next.js using the App Router and deployed as a static export to Azure Static Web Apps.</w:t>
            </w:r>
          </w:p>
        </w:tc>
        <w:tc>
          <w:tcPr>
            <w:tcW w:type="dxa" w:w="3120"/>
          </w:tcPr>
          <w:p>
            <w:r/>
            <w:r>
              <w:rPr>
                <w:rFonts w:ascii="Arial" w:hAnsi="Arial"/>
                <w:sz w:val="20"/>
              </w:rPr>
              <w:t>I</w:t>
            </w:r>
          </w:p>
        </w:tc>
      </w:tr>
      <w:tr>
        <w:tc>
          <w:tcPr>
            <w:tcW w:type="dxa" w:w="3120"/>
          </w:tcPr>
          <w:p>
            <w:r/>
            <w:r>
              <w:rPr>
                <w:rFonts w:ascii="Arial" w:hAnsi="Arial"/>
                <w:sz w:val="20"/>
              </w:rPr>
              <w:t>NFR-DC-004</w:t>
            </w:r>
          </w:p>
        </w:tc>
        <w:tc>
          <w:tcPr>
            <w:tcW w:type="dxa" w:w="3120"/>
          </w:tcPr>
          <w:p>
            <w:r/>
            <w:r>
              <w:rPr>
                <w:rFonts w:ascii="Arial" w:hAnsi="Arial"/>
                <w:sz w:val="20"/>
              </w:rPr>
              <w:t>The backend API shall be implemented with FastAPI on Python 3.12.</w:t>
            </w:r>
          </w:p>
        </w:tc>
        <w:tc>
          <w:tcPr>
            <w:tcW w:type="dxa" w:w="3120"/>
          </w:tcPr>
          <w:p>
            <w:r/>
            <w:r>
              <w:rPr>
                <w:rFonts w:ascii="Arial" w:hAnsi="Arial"/>
                <w:sz w:val="20"/>
              </w:rPr>
              <w:t>I</w:t>
            </w:r>
          </w:p>
        </w:tc>
      </w:tr>
      <w:tr>
        <w:tc>
          <w:tcPr>
            <w:tcW w:type="dxa" w:w="3120"/>
          </w:tcPr>
          <w:p>
            <w:r/>
            <w:r>
              <w:rPr>
                <w:rFonts w:ascii="Arial" w:hAnsi="Arial"/>
                <w:sz w:val="20"/>
              </w:rPr>
              <w:t>NFR-DC-005</w:t>
            </w:r>
          </w:p>
        </w:tc>
        <w:tc>
          <w:tcPr>
            <w:tcW w:type="dxa" w:w="3120"/>
          </w:tcPr>
          <w:p>
            <w:r/>
            <w:r>
              <w:rPr>
                <w:rFonts w:ascii="Arial" w:hAnsi="Arial"/>
                <w:sz w:val="20"/>
              </w:rPr>
              <w:t>Deployment artifacts shall be self-contained, with dependencies vendored for the target Linux/CPython platform rather than built on the host.</w:t>
            </w:r>
          </w:p>
        </w:tc>
        <w:tc>
          <w:tcPr>
            <w:tcW w:type="dxa" w:w="3120"/>
          </w:tcPr>
          <w:p>
            <w:r/>
            <w:r>
              <w:rPr>
                <w:rFonts w:ascii="Arial" w:hAnsi="Arial"/>
                <w:sz w:val="20"/>
              </w:rPr>
              <w:t>I</w:t>
            </w:r>
          </w:p>
        </w:tc>
      </w:tr>
    </w:tbl>
    <w:p/>
    <w:p>
      <w:pPr>
        <w:pStyle w:val="Heading2"/>
      </w:pPr>
      <w:r>
        <w:t>4.2 Performance Requirements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Req ID</w:t>
            </w:r>
          </w:p>
        </w:tc>
        <w:tc>
          <w:tcPr>
            <w:tcW w:type="dxa" w:w="2340"/>
            <w:shd w:val="clear" w:fill="003087"/>
          </w:tcPr>
          <w:p>
            <w:r/>
            <w:r>
              <w:rPr>
                <w:rFonts w:ascii="Arial" w:hAnsi="Arial"/>
                <w:b/>
                <w:color w:val="FFFFFF"/>
                <w:sz w:val="20"/>
              </w:rPr>
              <w:t>Requirement</w:t>
            </w:r>
          </w:p>
        </w:tc>
        <w:tc>
          <w:tcPr>
            <w:tcW w:type="dxa" w:w="2340"/>
            <w:shd w:val="clear" w:fill="003087"/>
          </w:tcPr>
          <w:p>
            <w:r/>
            <w:r>
              <w:rPr>
                <w:rFonts w:ascii="Arial" w:hAnsi="Arial"/>
                <w:b/>
                <w:color w:val="FFFFFF"/>
                <w:sz w:val="20"/>
              </w:rPr>
              <w:t>Verif.</w:t>
            </w:r>
          </w:p>
        </w:tc>
        <w:tc>
          <w:tcPr>
            <w:tcW w:type="dxa" w:w="2340"/>
            <w:shd w:val="clear" w:fill="003087"/>
          </w:tcPr>
          <w:p>
            <w:r/>
            <w:r>
              <w:rPr>
                <w:rFonts w:ascii="Arial" w:hAnsi="Arial"/>
                <w:b/>
                <w:color w:val="FFFFFF"/>
                <w:sz w:val="20"/>
              </w:rPr>
              <w:t>Status</w:t>
            </w:r>
          </w:p>
        </w:tc>
      </w:tr>
      <w:tr>
        <w:tc>
          <w:tcPr>
            <w:tcW w:type="dxa" w:w="2340"/>
          </w:tcPr>
          <w:p>
            <w:r/>
            <w:r>
              <w:rPr>
                <w:rFonts w:ascii="Arial" w:hAnsi="Arial"/>
                <w:sz w:val="20"/>
              </w:rPr>
              <w:t>NFR-PR-001</w:t>
            </w:r>
          </w:p>
        </w:tc>
        <w:tc>
          <w:tcPr>
            <w:tcW w:type="dxa" w:w="2340"/>
          </w:tcPr>
          <w:p>
            <w:r/>
            <w:r>
              <w:rPr>
                <w:rFonts w:ascii="Arial" w:hAnsi="Arial"/>
                <w:sz w:val="20"/>
              </w:rPr>
              <w:t>Interactive API endpoints shall respond within 2 seconds under nominal load.</w:t>
            </w:r>
          </w:p>
        </w:tc>
        <w:tc>
          <w:tcPr>
            <w:tcW w:type="dxa" w:w="2340"/>
          </w:tcPr>
          <w:p>
            <w:r/>
            <w:r>
              <w:rPr>
                <w:rFonts w:ascii="Arial" w:hAnsi="Arial"/>
                <w:sz w:val="20"/>
              </w:rPr>
              <w:t>T</w:t>
            </w:r>
          </w:p>
        </w:tc>
        <w:tc>
          <w:tcPr>
            <w:tcW w:type="dxa" w:w="2340"/>
          </w:tcPr>
          <w:p>
            <w:r/>
            <w:r>
              <w:rPr>
                <w:rFonts w:ascii="Arial" w:hAnsi="Arial"/>
                <w:sz w:val="20"/>
              </w:rPr>
              <w:t>VERIFICATION REQUIRED — no load test on record</w:t>
            </w:r>
          </w:p>
        </w:tc>
      </w:tr>
      <w:tr>
        <w:tc>
          <w:tcPr>
            <w:tcW w:type="dxa" w:w="2340"/>
          </w:tcPr>
          <w:p>
            <w:r/>
            <w:r>
              <w:rPr>
                <w:rFonts w:ascii="Arial" w:hAnsi="Arial"/>
                <w:sz w:val="20"/>
              </w:rPr>
              <w:t>NFR-PR-002</w:t>
            </w:r>
          </w:p>
        </w:tc>
        <w:tc>
          <w:tcPr>
            <w:tcW w:type="dxa" w:w="2340"/>
          </w:tcPr>
          <w:p>
            <w:r/>
            <w:r>
              <w:rPr>
                <w:rFonts w:ascii="Arial" w:hAnsi="Arial"/>
                <w:sz w:val="20"/>
              </w:rPr>
              <w:t>A single-entity verification across all sources shall complete within 30 seconds.</w:t>
            </w:r>
          </w:p>
        </w:tc>
        <w:tc>
          <w:tcPr>
            <w:tcW w:type="dxa" w:w="2340"/>
          </w:tcPr>
          <w:p>
            <w:r/>
            <w:r>
              <w:rPr>
                <w:rFonts w:ascii="Arial" w:hAnsi="Arial"/>
                <w:sz w:val="20"/>
              </w:rPr>
              <w:t>T</w:t>
            </w:r>
          </w:p>
        </w:tc>
        <w:tc>
          <w:tcPr>
            <w:tcW w:type="dxa" w:w="2340"/>
          </w:tcPr>
          <w:p>
            <w:r/>
            <w:r>
              <w:rPr>
                <w:rFonts w:ascii="Arial" w:hAnsi="Arial"/>
                <w:sz w:val="20"/>
              </w:rPr>
              <w:t>VERIFICATION REQUIRED</w:t>
            </w:r>
          </w:p>
        </w:tc>
      </w:tr>
      <w:tr>
        <w:tc>
          <w:tcPr>
            <w:tcW w:type="dxa" w:w="2340"/>
          </w:tcPr>
          <w:p>
            <w:r/>
            <w:r>
              <w:rPr>
                <w:rFonts w:ascii="Arial" w:hAnsi="Arial"/>
                <w:sz w:val="20"/>
              </w:rPr>
              <w:t>NFR-PR-003</w:t>
            </w:r>
          </w:p>
        </w:tc>
        <w:tc>
          <w:tcPr>
            <w:tcW w:type="dxa" w:w="2340"/>
          </w:tcPr>
          <w:p>
            <w:r/>
            <w:r>
              <w:rPr>
                <w:rFonts w:ascii="Arial" w:hAnsi="Arial"/>
                <w:sz w:val="20"/>
              </w:rPr>
              <w:t>The system shall support 50 concurrent users.</w:t>
            </w:r>
          </w:p>
        </w:tc>
        <w:tc>
          <w:tcPr>
            <w:tcW w:type="dxa" w:w="2340"/>
          </w:tcPr>
          <w:p>
            <w:r/>
            <w:r>
              <w:rPr>
                <w:rFonts w:ascii="Arial" w:hAnsi="Arial"/>
                <w:sz w:val="20"/>
              </w:rPr>
              <w:t>T</w:t>
            </w:r>
          </w:p>
        </w:tc>
        <w:tc>
          <w:tcPr>
            <w:tcW w:type="dxa" w:w="2340"/>
          </w:tcPr>
          <w:p>
            <w:r/>
            <w:r>
              <w:rPr>
                <w:rFonts w:ascii="Arial" w:hAnsi="Arial"/>
                <w:sz w:val="20"/>
              </w:rPr>
              <w:t>VERIFICATION REQUIRED — no capacity test on record</w:t>
            </w:r>
          </w:p>
        </w:tc>
      </w:tr>
      <w:tr>
        <w:tc>
          <w:tcPr>
            <w:tcW w:type="dxa" w:w="2340"/>
          </w:tcPr>
          <w:p>
            <w:r/>
            <w:r>
              <w:rPr>
                <w:rFonts w:ascii="Arial" w:hAnsi="Arial"/>
                <w:sz w:val="20"/>
              </w:rPr>
              <w:t>NFR-PR-004</w:t>
            </w:r>
          </w:p>
        </w:tc>
        <w:tc>
          <w:tcPr>
            <w:tcW w:type="dxa" w:w="2340"/>
          </w:tcPr>
          <w:p>
            <w:r/>
            <w:r>
              <w:rPr>
                <w:rFonts w:ascii="Arial" w:hAnsi="Arial"/>
                <w:sz w:val="20"/>
              </w:rPr>
              <w:t>External source probes shall execute concurrently rather than serially.</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NFR-PR-005</w:t>
            </w:r>
          </w:p>
        </w:tc>
        <w:tc>
          <w:tcPr>
            <w:tcW w:type="dxa" w:w="2340"/>
          </w:tcPr>
          <w:p>
            <w:r/>
            <w:r>
              <w:rPr>
                <w:rFonts w:ascii="Arial" w:hAnsi="Arial"/>
                <w:sz w:val="20"/>
              </w:rPr>
              <w:t>HTTP connections to external sources shall be pooled and reused.</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NFR-PR-006</w:t>
            </w:r>
          </w:p>
        </w:tc>
        <w:tc>
          <w:tcPr>
            <w:tcW w:type="dxa" w:w="2340"/>
          </w:tcPr>
          <w:p>
            <w:r/>
            <w:r>
              <w:rPr>
                <w:rFonts w:ascii="Arial" w:hAnsi="Arial"/>
                <w:sz w:val="20"/>
              </w:rPr>
              <w:t>Source responses shall be cached to reduce redundant upstream calls.</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NFR-PR-007</w:t>
            </w:r>
          </w:p>
        </w:tc>
        <w:tc>
          <w:tcPr>
            <w:tcW w:type="dxa" w:w="2340"/>
          </w:tcPr>
          <w:p>
            <w:r/>
            <w:r>
              <w:rPr>
                <w:rFonts w:ascii="Arial" w:hAnsi="Arial"/>
                <w:sz w:val="20"/>
              </w:rPr>
              <w:t>Request rate shall be limited per client to protect the service.</w:t>
            </w:r>
          </w:p>
        </w:tc>
        <w:tc>
          <w:tcPr>
            <w:tcW w:type="dxa" w:w="2340"/>
          </w:tcPr>
          <w:p>
            <w:r/>
            <w:r>
              <w:rPr>
                <w:rFonts w:ascii="Arial" w:hAnsi="Arial"/>
                <w:sz w:val="20"/>
              </w:rPr>
              <w:t>T</w:t>
            </w:r>
          </w:p>
        </w:tc>
        <w:tc>
          <w:tcPr>
            <w:tcW w:type="dxa" w:w="2340"/>
          </w:tcPr>
          <w:p>
            <w:r/>
            <w:r>
              <w:rPr>
                <w:rFonts w:ascii="Arial" w:hAnsi="Arial"/>
                <w:sz w:val="20"/>
              </w:rPr>
              <w:t>CURRENT</w:t>
            </w:r>
          </w:p>
        </w:tc>
      </w:tr>
    </w:tbl>
    <w:p/>
    <w:p>
      <w:pPr>
        <w:pStyle w:val="Heading2"/>
      </w:pPr>
      <w:r>
        <w:t>4.3 Security and Privacy Requirements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Req ID</w:t>
            </w:r>
          </w:p>
        </w:tc>
        <w:tc>
          <w:tcPr>
            <w:tcW w:type="dxa" w:w="2340"/>
            <w:shd w:val="clear" w:fill="003087"/>
          </w:tcPr>
          <w:p>
            <w:r/>
            <w:r>
              <w:rPr>
                <w:rFonts w:ascii="Arial" w:hAnsi="Arial"/>
                <w:b/>
                <w:color w:val="FFFFFF"/>
                <w:sz w:val="20"/>
              </w:rPr>
              <w:t>Requirement</w:t>
            </w:r>
          </w:p>
        </w:tc>
        <w:tc>
          <w:tcPr>
            <w:tcW w:type="dxa" w:w="2340"/>
            <w:shd w:val="clear" w:fill="003087"/>
          </w:tcPr>
          <w:p>
            <w:r/>
            <w:r>
              <w:rPr>
                <w:rFonts w:ascii="Arial" w:hAnsi="Arial"/>
                <w:b/>
                <w:color w:val="FFFFFF"/>
                <w:sz w:val="20"/>
              </w:rPr>
              <w:t>Verif.</w:t>
            </w:r>
          </w:p>
        </w:tc>
        <w:tc>
          <w:tcPr>
            <w:tcW w:type="dxa" w:w="2340"/>
            <w:shd w:val="clear" w:fill="003087"/>
          </w:tcPr>
          <w:p>
            <w:r/>
            <w:r>
              <w:rPr>
                <w:rFonts w:ascii="Arial" w:hAnsi="Arial"/>
                <w:b/>
                <w:color w:val="FFFFFF"/>
                <w:sz w:val="20"/>
              </w:rPr>
              <w:t>Status</w:t>
            </w:r>
          </w:p>
        </w:tc>
      </w:tr>
      <w:tr>
        <w:tc>
          <w:tcPr>
            <w:tcW w:type="dxa" w:w="2340"/>
          </w:tcPr>
          <w:p>
            <w:r/>
            <w:r>
              <w:rPr>
                <w:rFonts w:ascii="Arial" w:hAnsi="Arial"/>
                <w:sz w:val="20"/>
              </w:rPr>
              <w:t>NFR-SP-001</w:t>
            </w:r>
          </w:p>
        </w:tc>
        <w:tc>
          <w:tcPr>
            <w:tcW w:type="dxa" w:w="2340"/>
          </w:tcPr>
          <w:p>
            <w:r/>
            <w:r>
              <w:rPr>
                <w:rFonts w:ascii="Arial" w:hAnsi="Arial"/>
                <w:sz w:val="20"/>
              </w:rPr>
              <w:t>The system shall handle data in a HIPAA-compliant manner.</w:t>
            </w:r>
          </w:p>
        </w:tc>
        <w:tc>
          <w:tcPr>
            <w:tcW w:type="dxa" w:w="2340"/>
          </w:tcPr>
          <w:p>
            <w:r/>
            <w:r>
              <w:rPr>
                <w:rFonts w:ascii="Arial" w:hAnsi="Arial"/>
                <w:sz w:val="20"/>
              </w:rPr>
              <w:t>A</w:t>
            </w:r>
          </w:p>
        </w:tc>
        <w:tc>
          <w:tcPr>
            <w:tcW w:type="dxa" w:w="2340"/>
          </w:tcPr>
          <w:p>
            <w:r/>
            <w:r>
              <w:rPr>
                <w:rFonts w:ascii="Arial" w:hAnsi="Arial"/>
                <w:sz w:val="20"/>
              </w:rPr>
              <w:t>Self-assessed</w:t>
            </w:r>
          </w:p>
        </w:tc>
      </w:tr>
      <w:tr>
        <w:tc>
          <w:tcPr>
            <w:tcW w:type="dxa" w:w="2340"/>
          </w:tcPr>
          <w:p>
            <w:r/>
            <w:r>
              <w:rPr>
                <w:rFonts w:ascii="Arial" w:hAnsi="Arial"/>
                <w:sz w:val="20"/>
              </w:rPr>
              <w:t>NFR-SP-002</w:t>
            </w:r>
          </w:p>
        </w:tc>
        <w:tc>
          <w:tcPr>
            <w:tcW w:type="dxa" w:w="2340"/>
          </w:tcPr>
          <w:p>
            <w:r/>
            <w:r>
              <w:rPr>
                <w:rFonts w:ascii="Arial" w:hAnsi="Arial"/>
                <w:sz w:val="20"/>
              </w:rPr>
              <w:t>All data in transit shall be protected with TLS 1.2 or higher.</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NFR-SP-003</w:t>
            </w:r>
          </w:p>
        </w:tc>
        <w:tc>
          <w:tcPr>
            <w:tcW w:type="dxa" w:w="2340"/>
          </w:tcPr>
          <w:p>
            <w:r/>
            <w:r>
              <w:rPr>
                <w:rFonts w:ascii="Arial" w:hAnsi="Arial"/>
                <w:sz w:val="20"/>
              </w:rPr>
              <w:t>Data at rest shall be encrypted using the platform's AES-256 storage encryption.</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NFR-SP-004</w:t>
            </w:r>
          </w:p>
        </w:tc>
        <w:tc>
          <w:tcPr>
            <w:tcW w:type="dxa" w:w="2340"/>
          </w:tcPr>
          <w:p>
            <w:r/>
            <w:r>
              <w:rPr>
                <w:rFonts w:ascii="Arial" w:hAnsi="Arial"/>
                <w:sz w:val="20"/>
              </w:rPr>
              <w:t>Authentication shall use signed JWTs with an expiry and issued-at claim.</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NFR-SP-005</w:t>
            </w:r>
          </w:p>
        </w:tc>
        <w:tc>
          <w:tcPr>
            <w:tcW w:type="dxa" w:w="2340"/>
          </w:tcPr>
          <w:p>
            <w:r/>
            <w:r>
              <w:rPr>
                <w:rFonts w:ascii="Arial" w:hAnsi="Arial"/>
                <w:sz w:val="20"/>
              </w:rPr>
              <w:t>Authorization shall be enforced by an eight-level role hierarchy evaluated numerically.</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NFR-SP-006</w:t>
            </w:r>
          </w:p>
        </w:tc>
        <w:tc>
          <w:tcPr>
            <w:tcW w:type="dxa" w:w="2340"/>
          </w:tcPr>
          <w:p>
            <w:r/>
            <w:r>
              <w:rPr>
                <w:rFonts w:ascii="Arial" w:hAnsi="Arial"/>
                <w:sz w:val="20"/>
              </w:rPr>
              <w:t>Audit logging shall be **append-only at the application layer**.</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NFR-SP-007</w:t>
            </w:r>
          </w:p>
        </w:tc>
        <w:tc>
          <w:tcPr>
            <w:tcW w:type="dxa" w:w="2340"/>
          </w:tcPr>
          <w:p>
            <w:r/>
            <w:r>
              <w:rPr>
                <w:rFonts w:ascii="Arial" w:hAnsi="Arial"/>
                <w:sz w:val="20"/>
              </w:rPr>
              <w:t>Input shall be sanitized against null-byte and injection attacks on all routes.</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NFR-SP-008</w:t>
            </w:r>
          </w:p>
        </w:tc>
        <w:tc>
          <w:tcPr>
            <w:tcW w:type="dxa" w:w="2340"/>
          </w:tcPr>
          <w:p>
            <w:r/>
            <w:r>
              <w:rPr>
                <w:rFonts w:ascii="Arial" w:hAnsi="Arial"/>
                <w:sz w:val="20"/>
              </w:rPr>
              <w:t>Data sent to AI providers shall be restricted to a public-field allowlist; no PHI shall be transmitted.</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NFR-SP-009</w:t>
            </w:r>
          </w:p>
        </w:tc>
        <w:tc>
          <w:tcPr>
            <w:tcW w:type="dxa" w:w="2340"/>
          </w:tcPr>
          <w:p>
            <w:r/>
            <w:r>
              <w:rPr>
                <w:rFonts w:ascii="Arial" w:hAnsi="Arial"/>
                <w:sz w:val="20"/>
              </w:rPr>
              <w:t>Passwords shall be stored using a salted adaptive hash (bcrypt).</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NFR-SP-010</w:t>
            </w:r>
          </w:p>
        </w:tc>
        <w:tc>
          <w:tcPr>
            <w:tcW w:type="dxa" w:w="2340"/>
          </w:tcPr>
          <w:p>
            <w:r/>
            <w:r>
              <w:rPr>
                <w:rFonts w:ascii="Arial" w:hAnsi="Arial"/>
                <w:sz w:val="20"/>
              </w:rPr>
              <w:t>Password complexity shall require upper case, lower case, digit and special character, minimum 8 characters.</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NFR-SP-011</w:t>
            </w:r>
          </w:p>
        </w:tc>
        <w:tc>
          <w:tcPr>
            <w:tcW w:type="dxa" w:w="2340"/>
          </w:tcPr>
          <w:p>
            <w:r/>
            <w:r>
              <w:rPr>
                <w:rFonts w:ascii="Arial" w:hAnsi="Arial"/>
                <w:sz w:val="20"/>
              </w:rPr>
              <w:t>Secrets shall be supplied by environment/key vault reference and never committed to source.</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NFR-SP-012</w:t>
            </w:r>
          </w:p>
        </w:tc>
        <w:tc>
          <w:tcPr>
            <w:tcW w:type="dxa" w:w="2340"/>
          </w:tcPr>
          <w:p>
            <w:r/>
            <w:r>
              <w:rPr>
                <w:rFonts w:ascii="Arial" w:hAnsi="Arial"/>
                <w:sz w:val="20"/>
              </w:rPr>
              <w:t>Privilege shall never be derived from an email address or domain.</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NFR-SP-013</w:t>
            </w:r>
          </w:p>
        </w:tc>
        <w:tc>
          <w:tcPr>
            <w:tcW w:type="dxa" w:w="2340"/>
          </w:tcPr>
          <w:p>
            <w:r/>
            <w:r>
              <w:rPr>
                <w:rFonts w:ascii="Arial" w:hAnsi="Arial"/>
                <w:sz w:val="20"/>
              </w:rPr>
              <w:t>Uploaded files shall be scanned before processing.</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NFR-SP-014</w:t>
            </w:r>
          </w:p>
        </w:tc>
        <w:tc>
          <w:tcPr>
            <w:tcW w:type="dxa" w:w="2340"/>
          </w:tcPr>
          <w:p>
            <w:r/>
            <w:r>
              <w:rPr>
                <w:rFonts w:ascii="Arial" w:hAnsi="Arial"/>
                <w:sz w:val="20"/>
              </w:rPr>
              <w:t>Security response codes shall not reveal whether an account exists.</w:t>
            </w:r>
          </w:p>
        </w:tc>
        <w:tc>
          <w:tcPr>
            <w:tcW w:type="dxa" w:w="2340"/>
          </w:tcPr>
          <w:p>
            <w:r/>
            <w:r>
              <w:rPr>
                <w:rFonts w:ascii="Arial" w:hAnsi="Arial"/>
                <w:sz w:val="20"/>
              </w:rPr>
              <w:t>T</w:t>
            </w:r>
          </w:p>
        </w:tc>
        <w:tc>
          <w:tcPr>
            <w:tcW w:type="dxa" w:w="2340"/>
          </w:tcPr>
          <w:p>
            <w:r/>
            <w:r>
              <w:rPr>
                <w:rFonts w:ascii="Arial" w:hAnsi="Arial"/>
                <w:sz w:val="20"/>
              </w:rPr>
              <w:t>CURRENT</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Audit records are **append-only by application convention** — the application performs no update or delete on audit rows. They are **not** cryptographically immutable, not hash-chained, and not stored on write-once media. A database administrator with direct access could alter them. Do not represent these records as tamper-proof.</w:t>
            </w:r>
          </w:p>
        </w:tc>
      </w:tr>
    </w:tbl>
    <w:p/>
    <w:p>
      <w:pPr>
        <w:pStyle w:val="Heading2"/>
      </w:pPr>
      <w:r>
        <w:t>4.4 Reliability Requirements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Req ID</w:t>
            </w:r>
          </w:p>
        </w:tc>
        <w:tc>
          <w:tcPr>
            <w:tcW w:type="dxa" w:w="2340"/>
            <w:shd w:val="clear" w:fill="003087"/>
          </w:tcPr>
          <w:p>
            <w:r/>
            <w:r>
              <w:rPr>
                <w:rFonts w:ascii="Arial" w:hAnsi="Arial"/>
                <w:b/>
                <w:color w:val="FFFFFF"/>
                <w:sz w:val="20"/>
              </w:rPr>
              <w:t>Requirement</w:t>
            </w:r>
          </w:p>
        </w:tc>
        <w:tc>
          <w:tcPr>
            <w:tcW w:type="dxa" w:w="2340"/>
            <w:shd w:val="clear" w:fill="003087"/>
          </w:tcPr>
          <w:p>
            <w:r/>
            <w:r>
              <w:rPr>
                <w:rFonts w:ascii="Arial" w:hAnsi="Arial"/>
                <w:b/>
                <w:color w:val="FFFFFF"/>
                <w:sz w:val="20"/>
              </w:rPr>
              <w:t>Verif.</w:t>
            </w:r>
          </w:p>
        </w:tc>
        <w:tc>
          <w:tcPr>
            <w:tcW w:type="dxa" w:w="2340"/>
            <w:shd w:val="clear" w:fill="003087"/>
          </w:tcPr>
          <w:p>
            <w:r/>
            <w:r>
              <w:rPr>
                <w:rFonts w:ascii="Arial" w:hAnsi="Arial"/>
                <w:b/>
                <w:color w:val="FFFFFF"/>
                <w:sz w:val="20"/>
              </w:rPr>
              <w:t>Status</w:t>
            </w:r>
          </w:p>
        </w:tc>
      </w:tr>
      <w:tr>
        <w:tc>
          <w:tcPr>
            <w:tcW w:type="dxa" w:w="2340"/>
          </w:tcPr>
          <w:p>
            <w:r/>
            <w:r>
              <w:rPr>
                <w:rFonts w:ascii="Arial" w:hAnsi="Arial"/>
                <w:sz w:val="20"/>
              </w:rPr>
              <w:t>NFR-RL-001</w:t>
            </w:r>
          </w:p>
        </w:tc>
        <w:tc>
          <w:tcPr>
            <w:tcW w:type="dxa" w:w="2340"/>
          </w:tcPr>
          <w:p>
            <w:r/>
            <w:r>
              <w:rPr>
                <w:rFonts w:ascii="Arial" w:hAnsi="Arial"/>
                <w:sz w:val="20"/>
              </w:rPr>
              <w:t>Verification shall fail closed: an unavailable source shall never be recorded as a clean result.</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NFR-RL-002</w:t>
            </w:r>
          </w:p>
        </w:tc>
        <w:tc>
          <w:tcPr>
            <w:tcW w:type="dxa" w:w="2340"/>
          </w:tcPr>
          <w:p>
            <w:r/>
            <w:r>
              <w:rPr>
                <w:rFonts w:ascii="Arial" w:hAnsi="Arial"/>
                <w:sz w:val="20"/>
              </w:rPr>
              <w:t>Connector failures shall be contained by a circuit breaker.</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NFR-RL-003</w:t>
            </w:r>
          </w:p>
        </w:tc>
        <w:tc>
          <w:tcPr>
            <w:tcW w:type="dxa" w:w="2340"/>
          </w:tcPr>
          <w:p>
            <w:r/>
            <w:r>
              <w:rPr>
                <w:rFonts w:ascii="Arial" w:hAnsi="Arial"/>
                <w:sz w:val="20"/>
              </w:rPr>
              <w:t>The system shall fall back to deterministic matching when AI is unavailable.</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NFR-RL-004</w:t>
            </w:r>
          </w:p>
        </w:tc>
        <w:tc>
          <w:tcPr>
            <w:tcW w:type="dxa" w:w="2340"/>
          </w:tcPr>
          <w:p>
            <w:r/>
            <w:r>
              <w:rPr>
                <w:rFonts w:ascii="Arial" w:hAnsi="Arial"/>
                <w:sz w:val="20"/>
              </w:rPr>
              <w:t>Transient upstream failures shall be retried with backoff.</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NFR-RL-005</w:t>
            </w:r>
          </w:p>
        </w:tc>
        <w:tc>
          <w:tcPr>
            <w:tcW w:type="dxa" w:w="2340"/>
          </w:tcPr>
          <w:p>
            <w:r/>
            <w:r>
              <w:rPr>
                <w:rFonts w:ascii="Arial" w:hAnsi="Arial"/>
                <w:sz w:val="20"/>
              </w:rPr>
              <w:t>Unavailable sources shall be reported explicitly as unavailable, with reason.</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NFR-RL-006</w:t>
            </w:r>
          </w:p>
        </w:tc>
        <w:tc>
          <w:tcPr>
            <w:tcW w:type="dxa" w:w="2340"/>
          </w:tcPr>
          <w:p>
            <w:r/>
            <w:r>
              <w:rPr>
                <w:rFonts w:ascii="Arial" w:hAnsi="Arial"/>
                <w:sz w:val="20"/>
              </w:rPr>
              <w:t>Two rollback generations of the deployment artifact shall be retained.</w:t>
            </w:r>
          </w:p>
        </w:tc>
        <w:tc>
          <w:tcPr>
            <w:tcW w:type="dxa" w:w="2340"/>
          </w:tcPr>
          <w:p>
            <w:r/>
            <w:r>
              <w:rPr>
                <w:rFonts w:ascii="Arial" w:hAnsi="Arial"/>
                <w:sz w:val="20"/>
              </w:rPr>
              <w:t>I</w:t>
            </w:r>
          </w:p>
        </w:tc>
        <w:tc>
          <w:tcPr>
            <w:tcW w:type="dxa" w:w="2340"/>
          </w:tcPr>
          <w:p>
            <w:r/>
            <w:r>
              <w:rPr>
                <w:rFonts w:ascii="Arial" w:hAnsi="Arial"/>
                <w:sz w:val="20"/>
              </w:rPr>
              <w:t>CURRENT</w:t>
            </w:r>
          </w:p>
        </w:tc>
      </w:tr>
    </w:tbl>
    <w:p/>
    <w:p>
      <w:pPr>
        <w:pStyle w:val="Heading2"/>
      </w:pPr>
      <w:r>
        <w:t>4.5 Interface Requirements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Req ID</w:t>
            </w:r>
          </w:p>
        </w:tc>
        <w:tc>
          <w:tcPr>
            <w:tcW w:type="dxa" w:w="2340"/>
            <w:shd w:val="clear" w:fill="003087"/>
          </w:tcPr>
          <w:p>
            <w:r/>
            <w:r>
              <w:rPr>
                <w:rFonts w:ascii="Arial" w:hAnsi="Arial"/>
                <w:b/>
                <w:color w:val="FFFFFF"/>
                <w:sz w:val="20"/>
              </w:rPr>
              <w:t>Interface</w:t>
            </w:r>
          </w:p>
        </w:tc>
        <w:tc>
          <w:tcPr>
            <w:tcW w:type="dxa" w:w="2340"/>
            <w:shd w:val="clear" w:fill="003087"/>
          </w:tcPr>
          <w:p>
            <w:r/>
            <w:r>
              <w:rPr>
                <w:rFonts w:ascii="Arial" w:hAnsi="Arial"/>
                <w:b/>
                <w:color w:val="FFFFFF"/>
                <w:sz w:val="20"/>
              </w:rPr>
              <w:t>Auth</w:t>
            </w:r>
          </w:p>
        </w:tc>
        <w:tc>
          <w:tcPr>
            <w:tcW w:type="dxa" w:w="2340"/>
            <w:shd w:val="clear" w:fill="003087"/>
          </w:tcPr>
          <w:p>
            <w:r/>
            <w:r>
              <w:rPr>
                <w:rFonts w:ascii="Arial" w:hAnsi="Arial"/>
                <w:b/>
                <w:color w:val="FFFFFF"/>
                <w:sz w:val="20"/>
              </w:rPr>
              <w:t>Status</w:t>
            </w:r>
          </w:p>
        </w:tc>
      </w:tr>
      <w:tr>
        <w:tc>
          <w:tcPr>
            <w:tcW w:type="dxa" w:w="2340"/>
          </w:tcPr>
          <w:p>
            <w:r/>
            <w:r>
              <w:rPr>
                <w:rFonts w:ascii="Arial" w:hAnsi="Arial"/>
                <w:sz w:val="20"/>
              </w:rPr>
              <w:t>NFR-IR-001</w:t>
            </w:r>
          </w:p>
        </w:tc>
        <w:tc>
          <w:tcPr>
            <w:tcW w:type="dxa" w:w="2340"/>
          </w:tcPr>
          <w:p>
            <w:r/>
            <w:r>
              <w:rPr>
                <w:rFonts w:ascii="Arial" w:hAnsi="Arial"/>
                <w:sz w:val="20"/>
              </w:rPr>
              <w:t>NPPES NPI Registry REST API (`npiregistry.cms.hhs.gov`), version 2.1</w:t>
            </w:r>
          </w:p>
        </w:tc>
        <w:tc>
          <w:tcPr>
            <w:tcW w:type="dxa" w:w="2340"/>
          </w:tcPr>
          <w:p>
            <w:r/>
            <w:r>
              <w:rPr>
                <w:rFonts w:ascii="Arial" w:hAnsi="Arial"/>
                <w:sz w:val="20"/>
              </w:rPr>
              <w:t>Key-less</w:t>
            </w:r>
          </w:p>
        </w:tc>
        <w:tc>
          <w:tcPr>
            <w:tcW w:type="dxa" w:w="2340"/>
          </w:tcPr>
          <w:p>
            <w:r/>
            <w:r>
              <w:rPr>
                <w:rFonts w:ascii="Arial" w:hAnsi="Arial"/>
                <w:sz w:val="20"/>
              </w:rPr>
              <w:t>CURRENT</w:t>
            </w:r>
          </w:p>
        </w:tc>
      </w:tr>
      <w:tr>
        <w:tc>
          <w:tcPr>
            <w:tcW w:type="dxa" w:w="2340"/>
          </w:tcPr>
          <w:p>
            <w:r/>
            <w:r>
              <w:rPr>
                <w:rFonts w:ascii="Arial" w:hAnsi="Arial"/>
                <w:sz w:val="20"/>
              </w:rPr>
              <w:t>NFR-IR-002</w:t>
            </w:r>
          </w:p>
        </w:tc>
        <w:tc>
          <w:tcPr>
            <w:tcW w:type="dxa" w:w="2340"/>
          </w:tcPr>
          <w:p>
            <w:r/>
            <w:r>
              <w:rPr>
                <w:rFonts w:ascii="Arial" w:hAnsi="Arial"/>
                <w:sz w:val="20"/>
              </w:rPr>
              <w:t>OIG LEIE exclusion data</w:t>
            </w:r>
          </w:p>
        </w:tc>
        <w:tc>
          <w:tcPr>
            <w:tcW w:type="dxa" w:w="2340"/>
          </w:tcPr>
          <w:p>
            <w:r/>
            <w:r>
              <w:rPr>
                <w:rFonts w:ascii="Arial" w:hAnsi="Arial"/>
                <w:sz w:val="20"/>
              </w:rPr>
              <w:t>Key-less</w:t>
            </w:r>
          </w:p>
        </w:tc>
        <w:tc>
          <w:tcPr>
            <w:tcW w:type="dxa" w:w="2340"/>
          </w:tcPr>
          <w:p>
            <w:r/>
            <w:r>
              <w:rPr>
                <w:rFonts w:ascii="Arial" w:hAnsi="Arial"/>
                <w:sz w:val="20"/>
              </w:rPr>
              <w:t>CURRENT</w:t>
            </w:r>
          </w:p>
        </w:tc>
      </w:tr>
      <w:tr>
        <w:tc>
          <w:tcPr>
            <w:tcW w:type="dxa" w:w="2340"/>
          </w:tcPr>
          <w:p>
            <w:r/>
            <w:r>
              <w:rPr>
                <w:rFonts w:ascii="Arial" w:hAnsi="Arial"/>
                <w:sz w:val="20"/>
              </w:rPr>
              <w:t>NFR-IR-003</w:t>
            </w:r>
          </w:p>
        </w:tc>
        <w:tc>
          <w:tcPr>
            <w:tcW w:type="dxa" w:w="2340"/>
          </w:tcPr>
          <w:p>
            <w:r/>
            <w:r>
              <w:rPr>
                <w:rFonts w:ascii="Arial" w:hAnsi="Arial"/>
                <w:sz w:val="20"/>
              </w:rPr>
              <w:t>SAM.gov Entity Management API v3</w:t>
            </w:r>
          </w:p>
        </w:tc>
        <w:tc>
          <w:tcPr>
            <w:tcW w:type="dxa" w:w="2340"/>
          </w:tcPr>
          <w:p>
            <w:r/>
            <w:r>
              <w:rPr>
                <w:rFonts w:ascii="Arial" w:hAnsi="Arial"/>
                <w:sz w:val="20"/>
              </w:rPr>
              <w:t>API key</w:t>
            </w:r>
          </w:p>
        </w:tc>
        <w:tc>
          <w:tcPr>
            <w:tcW w:type="dxa" w:w="2340"/>
          </w:tcPr>
          <w:p>
            <w:r/>
            <w:r>
              <w:rPr>
                <w:rFonts w:ascii="Arial" w:hAnsi="Arial"/>
                <w:sz w:val="20"/>
              </w:rPr>
              <w:t>DEGRADED — upstream 404 observed</w:t>
            </w:r>
          </w:p>
        </w:tc>
      </w:tr>
      <w:tr>
        <w:tc>
          <w:tcPr>
            <w:tcW w:type="dxa" w:w="2340"/>
          </w:tcPr>
          <w:p>
            <w:r/>
            <w:r>
              <w:rPr>
                <w:rFonts w:ascii="Arial" w:hAnsi="Arial"/>
                <w:sz w:val="20"/>
              </w:rPr>
              <w:t>NFR-IR-004</w:t>
            </w:r>
          </w:p>
        </w:tc>
        <w:tc>
          <w:tcPr>
            <w:tcW w:type="dxa" w:w="2340"/>
          </w:tcPr>
          <w:p>
            <w:r/>
            <w:r>
              <w:rPr>
                <w:rFonts w:ascii="Arial" w:hAnsi="Arial"/>
                <w:sz w:val="20"/>
              </w:rPr>
              <w:t>USPS Address APIs v3 (`apis.usps.com`)</w:t>
            </w:r>
          </w:p>
        </w:tc>
        <w:tc>
          <w:tcPr>
            <w:tcW w:type="dxa" w:w="2340"/>
          </w:tcPr>
          <w:p>
            <w:r/>
            <w:r>
              <w:rPr>
                <w:rFonts w:ascii="Arial" w:hAnsi="Arial"/>
                <w:sz w:val="20"/>
              </w:rPr>
              <w:t>OAuth 2.0</w:t>
            </w:r>
          </w:p>
        </w:tc>
        <w:tc>
          <w:tcPr>
            <w:tcW w:type="dxa" w:w="2340"/>
          </w:tcPr>
          <w:p>
            <w:r/>
            <w:r>
              <w:rPr>
                <w:rFonts w:ascii="Arial" w:hAnsi="Arial"/>
                <w:sz w:val="20"/>
              </w:rPr>
              <w:t>CONFIGURED — zero production calls to date</w:t>
            </w:r>
          </w:p>
        </w:tc>
      </w:tr>
      <w:tr>
        <w:tc>
          <w:tcPr>
            <w:tcW w:type="dxa" w:w="2340"/>
          </w:tcPr>
          <w:p>
            <w:r/>
            <w:r>
              <w:rPr>
                <w:rFonts w:ascii="Arial" w:hAnsi="Arial"/>
                <w:sz w:val="20"/>
              </w:rPr>
              <w:t>NFR-IR-005</w:t>
            </w:r>
          </w:p>
        </w:tc>
        <w:tc>
          <w:tcPr>
            <w:tcW w:type="dxa" w:w="2340"/>
          </w:tcPr>
          <w:p>
            <w:r/>
            <w:r>
              <w:rPr>
                <w:rFonts w:ascii="Arial" w:hAnsi="Arial"/>
                <w:sz w:val="20"/>
              </w:rPr>
              <w:t>Anthropic Claude Messages API</w:t>
            </w:r>
          </w:p>
        </w:tc>
        <w:tc>
          <w:tcPr>
            <w:tcW w:type="dxa" w:w="2340"/>
          </w:tcPr>
          <w:p>
            <w:r/>
            <w:r>
              <w:rPr>
                <w:rFonts w:ascii="Arial" w:hAnsi="Arial"/>
                <w:sz w:val="20"/>
              </w:rPr>
              <w:t>API key</w:t>
            </w:r>
          </w:p>
        </w:tc>
        <w:tc>
          <w:tcPr>
            <w:tcW w:type="dxa" w:w="2340"/>
          </w:tcPr>
          <w:p>
            <w:r/>
            <w:r>
              <w:rPr>
                <w:rFonts w:ascii="Arial" w:hAnsi="Arial"/>
                <w:sz w:val="20"/>
              </w:rPr>
              <w:t>CURRENT (advisory, disabled by default)</w:t>
            </w:r>
          </w:p>
        </w:tc>
      </w:tr>
      <w:tr>
        <w:tc>
          <w:tcPr>
            <w:tcW w:type="dxa" w:w="2340"/>
          </w:tcPr>
          <w:p>
            <w:r/>
            <w:r>
              <w:rPr>
                <w:rFonts w:ascii="Arial" w:hAnsi="Arial"/>
                <w:sz w:val="20"/>
              </w:rPr>
              <w:t>NFR-IR-006</w:t>
            </w:r>
          </w:p>
        </w:tc>
        <w:tc>
          <w:tcPr>
            <w:tcW w:type="dxa" w:w="2340"/>
          </w:tcPr>
          <w:p>
            <w:r/>
            <w:r>
              <w:rPr>
                <w:rFonts w:ascii="Arial" w:hAnsi="Arial"/>
                <w:sz w:val="20"/>
              </w:rPr>
              <w:t>ONC-provided TEFCA entity dataset loader (`urn:docuaction:tefca/fhir/r4`)</w:t>
            </w:r>
          </w:p>
        </w:tc>
        <w:tc>
          <w:tcPr>
            <w:tcW w:type="dxa" w:w="2340"/>
          </w:tcPr>
          <w:p>
            <w:r/>
            <w:r>
              <w:rPr>
                <w:rFonts w:ascii="Arial" w:hAnsi="Arial"/>
                <w:sz w:val="20"/>
              </w:rPr>
              <w:t>N/A — local dataset</w:t>
            </w:r>
          </w:p>
        </w:tc>
        <w:tc>
          <w:tcPr>
            <w:tcW w:type="dxa" w:w="2340"/>
          </w:tcPr>
          <w:p>
            <w:r/>
            <w:r>
              <w:rPr>
                <w:rFonts w:ascii="Arial" w:hAnsi="Arial"/>
                <w:sz w:val="20"/>
              </w:rPr>
              <w:t>CURRENT</w:t>
            </w:r>
          </w:p>
        </w:tc>
      </w:tr>
      <w:tr>
        <w:tc>
          <w:tcPr>
            <w:tcW w:type="dxa" w:w="2340"/>
          </w:tcPr>
          <w:p>
            <w:r/>
            <w:r>
              <w:rPr>
                <w:rFonts w:ascii="Arial" w:hAnsi="Arial"/>
                <w:sz w:val="20"/>
              </w:rPr>
              <w:t>NFR-IR-007</w:t>
            </w:r>
          </w:p>
        </w:tc>
        <w:tc>
          <w:tcPr>
            <w:tcW w:type="dxa" w:w="2340"/>
          </w:tcPr>
          <w:p>
            <w:r/>
            <w:r>
              <w:rPr>
                <w:rFonts w:ascii="Arial" w:hAnsi="Arial"/>
                <w:sz w:val="20"/>
              </w:rPr>
              <w:t>IQVIA OneKey provider hierarchy</w:t>
            </w:r>
          </w:p>
        </w:tc>
        <w:tc>
          <w:tcPr>
            <w:tcW w:type="dxa" w:w="2340"/>
          </w:tcPr>
          <w:p>
            <w:r/>
            <w:r>
              <w:rPr>
                <w:rFonts w:ascii="Arial" w:hAnsi="Arial"/>
                <w:sz w:val="20"/>
              </w:rPr>
              <w:t>API key</w:t>
            </w:r>
          </w:p>
        </w:tc>
        <w:tc>
          <w:tcPr>
            <w:tcW w:type="dxa" w:w="2340"/>
          </w:tcPr>
          <w:p>
            <w:r/>
            <w:r>
              <w:rPr>
                <w:rFonts w:ascii="Arial" w:hAnsi="Arial"/>
                <w:sz w:val="20"/>
              </w:rPr>
              <w:t>**PLANNED / DISABLED** — pending ODC; see `IQVIA_REMOVAL_EDITS.md`</w:t>
            </w:r>
          </w:p>
        </w:tc>
      </w:tr>
    </w:tbl>
    <w:p/>
    <w:p>
      <w:pPr>
        <w:pStyle w:val="Heading2"/>
      </w:pPr>
      <w:r>
        <w:t>4.6 Compliance and Standards Requirements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Req ID</w:t>
            </w:r>
          </w:p>
        </w:tc>
        <w:tc>
          <w:tcPr>
            <w:tcW w:type="dxa" w:w="3120"/>
            <w:shd w:val="clear" w:fill="003087"/>
          </w:tcPr>
          <w:p>
            <w:r/>
            <w:r>
              <w:rPr>
                <w:rFonts w:ascii="Arial" w:hAnsi="Arial"/>
                <w:b/>
                <w:color w:val="FFFFFF"/>
                <w:sz w:val="20"/>
              </w:rPr>
              <w:t>Requirement</w:t>
            </w:r>
          </w:p>
        </w:tc>
        <w:tc>
          <w:tcPr>
            <w:tcW w:type="dxa" w:w="3120"/>
            <w:shd w:val="clear" w:fill="003087"/>
          </w:tcPr>
          <w:p>
            <w:r/>
            <w:r>
              <w:rPr>
                <w:rFonts w:ascii="Arial" w:hAnsi="Arial"/>
                <w:b/>
                <w:color w:val="FFFFFF"/>
                <w:sz w:val="20"/>
              </w:rPr>
              <w:t>Status</w:t>
            </w:r>
          </w:p>
        </w:tc>
      </w:tr>
      <w:tr>
        <w:tc>
          <w:tcPr>
            <w:tcW w:type="dxa" w:w="3120"/>
          </w:tcPr>
          <w:p>
            <w:r/>
            <w:r>
              <w:rPr>
                <w:rFonts w:ascii="Arial" w:hAnsi="Arial"/>
                <w:sz w:val="20"/>
              </w:rPr>
              <w:t>NFR-CS-001</w:t>
            </w:r>
          </w:p>
        </w:tc>
        <w:tc>
          <w:tcPr>
            <w:tcW w:type="dxa" w:w="3120"/>
          </w:tcPr>
          <w:p>
            <w:r/>
            <w:r>
              <w:rPr>
                <w:rFonts w:ascii="Arial" w:hAnsi="Arial"/>
                <w:sz w:val="20"/>
              </w:rPr>
              <w:t>The system shall align to the NIST SP 800-53 Rev. 5 Moderate baseline.</w:t>
            </w:r>
          </w:p>
        </w:tc>
        <w:tc>
          <w:tcPr>
            <w:tcW w:type="dxa" w:w="3120"/>
          </w:tcPr>
          <w:p>
            <w:r/>
            <w:r>
              <w:rPr>
                <w:rFonts w:ascii="Arial" w:hAnsi="Arial"/>
                <w:sz w:val="20"/>
              </w:rPr>
              <w:t>**Self-assessed**, not independently assessed</w:t>
            </w:r>
          </w:p>
        </w:tc>
      </w:tr>
      <w:tr>
        <w:tc>
          <w:tcPr>
            <w:tcW w:type="dxa" w:w="3120"/>
          </w:tcPr>
          <w:p>
            <w:r/>
            <w:r>
              <w:rPr>
                <w:rFonts w:ascii="Arial" w:hAnsi="Arial"/>
                <w:sz w:val="20"/>
              </w:rPr>
              <w:t>NFR-CS-002</w:t>
            </w:r>
          </w:p>
        </w:tc>
        <w:tc>
          <w:tcPr>
            <w:tcW w:type="dxa" w:w="3120"/>
          </w:tcPr>
          <w:p>
            <w:r/>
            <w:r>
              <w:rPr>
                <w:rFonts w:ascii="Arial" w:hAnsi="Arial"/>
                <w:sz w:val="20"/>
              </w:rPr>
              <w:t>The system shall apply NIST SP 800-160 Rev. 1 systems security engineering discipline.</w:t>
            </w:r>
          </w:p>
        </w:tc>
        <w:tc>
          <w:tcPr>
            <w:tcW w:type="dxa" w:w="3120"/>
          </w:tcPr>
          <w:p>
            <w:r/>
            <w:r>
              <w:rPr>
                <w:rFonts w:ascii="Arial" w:hAnsi="Arial"/>
                <w:sz w:val="20"/>
              </w:rPr>
              <w:t>Self-assessed</w:t>
            </w:r>
          </w:p>
        </w:tc>
      </w:tr>
      <w:tr>
        <w:tc>
          <w:tcPr>
            <w:tcW w:type="dxa" w:w="3120"/>
          </w:tcPr>
          <w:p>
            <w:r/>
            <w:r>
              <w:rPr>
                <w:rFonts w:ascii="Arial" w:hAnsi="Arial"/>
                <w:sz w:val="20"/>
              </w:rPr>
              <w:t>NFR-CS-003</w:t>
            </w:r>
          </w:p>
        </w:tc>
        <w:tc>
          <w:tcPr>
            <w:tcW w:type="dxa" w:w="3120"/>
          </w:tcPr>
          <w:p>
            <w:r/>
            <w:r>
              <w:rPr>
                <w:rFonts w:ascii="Arial" w:hAnsi="Arial"/>
                <w:sz w:val="20"/>
              </w:rPr>
              <w:t>The system shall conform to Section 508 and WCAG 2.2 Level AA.</w:t>
            </w:r>
          </w:p>
        </w:tc>
        <w:tc>
          <w:tcPr>
            <w:tcW w:type="dxa" w:w="3120"/>
          </w:tcPr>
          <w:p>
            <w:r/>
            <w:r>
              <w:rPr>
                <w:rFonts w:ascii="Arial" w:hAnsi="Arial"/>
                <w:sz w:val="20"/>
              </w:rPr>
              <w:t>**In progress** — see 4.7</w:t>
            </w:r>
          </w:p>
        </w:tc>
      </w:tr>
      <w:tr>
        <w:tc>
          <w:tcPr>
            <w:tcW w:type="dxa" w:w="3120"/>
          </w:tcPr>
          <w:p>
            <w:r/>
            <w:r>
              <w:rPr>
                <w:rFonts w:ascii="Arial" w:hAnsi="Arial"/>
                <w:sz w:val="20"/>
              </w:rPr>
              <w:t>NFR-CS-004</w:t>
            </w:r>
          </w:p>
        </w:tc>
        <w:tc>
          <w:tcPr>
            <w:tcW w:type="dxa" w:w="3120"/>
          </w:tcPr>
          <w:p>
            <w:r/>
            <w:r>
              <w:rPr>
                <w:rFonts w:ascii="Arial" w:hAnsi="Arial"/>
                <w:sz w:val="20"/>
              </w:rPr>
              <w:t>The system shall align to the TEFCA Common Agreement.</w:t>
            </w:r>
          </w:p>
        </w:tc>
        <w:tc>
          <w:tcPr>
            <w:tcW w:type="dxa" w:w="3120"/>
          </w:tcPr>
          <w:p>
            <w:r/>
            <w:r>
              <w:rPr>
                <w:rFonts w:ascii="Arial" w:hAnsi="Arial"/>
                <w:sz w:val="20"/>
              </w:rPr>
              <w:t>Self-assessed</w:t>
            </w:r>
          </w:p>
        </w:tc>
      </w:tr>
      <w:tr>
        <w:tc>
          <w:tcPr>
            <w:tcW w:type="dxa" w:w="3120"/>
          </w:tcPr>
          <w:p>
            <w:r/>
            <w:r>
              <w:rPr>
                <w:rFonts w:ascii="Arial" w:hAnsi="Arial"/>
                <w:sz w:val="20"/>
              </w:rPr>
              <w:t>NFR-CS-005</w:t>
            </w:r>
          </w:p>
        </w:tc>
        <w:tc>
          <w:tcPr>
            <w:tcW w:type="dxa" w:w="3120"/>
          </w:tcPr>
          <w:p>
            <w:r/>
            <w:r>
              <w:rPr>
                <w:rFonts w:ascii="Arial" w:hAnsi="Arial"/>
                <w:sz w:val="20"/>
              </w:rPr>
              <w:t>The system shall align to the QHIN Technical Framework v2.1.</w:t>
            </w:r>
          </w:p>
        </w:tc>
        <w:tc>
          <w:tcPr>
            <w:tcW w:type="dxa" w:w="3120"/>
          </w:tcPr>
          <w:p>
            <w:r/>
            <w:r>
              <w:rPr>
                <w:rFonts w:ascii="Arial" w:hAnsi="Arial"/>
                <w:sz w:val="20"/>
              </w:rPr>
              <w:t>Self-assessed</w:t>
            </w:r>
          </w:p>
        </w:tc>
      </w:tr>
      <w:tr>
        <w:tc>
          <w:tcPr>
            <w:tcW w:type="dxa" w:w="3120"/>
          </w:tcPr>
          <w:p>
            <w:r/>
            <w:r>
              <w:rPr>
                <w:rFonts w:ascii="Arial" w:hAnsi="Arial"/>
                <w:sz w:val="20"/>
              </w:rPr>
              <w:t>NFR-CS-006</w:t>
            </w:r>
          </w:p>
        </w:tc>
        <w:tc>
          <w:tcPr>
            <w:tcW w:type="dxa" w:w="3120"/>
          </w:tcPr>
          <w:p>
            <w:r/>
            <w:r>
              <w:rPr>
                <w:rFonts w:ascii="Arial" w:hAnsi="Arial"/>
                <w:sz w:val="20"/>
              </w:rPr>
              <w:t>Security categorization shall be FIPS 199 Moderate.</w:t>
            </w:r>
          </w:p>
        </w:tc>
        <w:tc>
          <w:tcPr>
            <w:tcW w:type="dxa" w:w="3120"/>
          </w:tcPr>
          <w:p>
            <w:r/>
            <w:r>
              <w:rPr>
                <w:rFonts w:ascii="Arial" w:hAnsi="Arial"/>
                <w:sz w:val="20"/>
              </w:rPr>
              <w:t>**Assumed** — formal categorization not complete</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**No FedRAMP authorization exists and none is being pursued.** No Authority to Operate (ATO) has been granted. NIST SP 800-53 control alignment is a self-assessment performed by AGT; it has not been independently assessed, audited, or validated by a third-party assessment organization.</w:t>
            </w:r>
          </w:p>
        </w:tc>
      </w:tr>
    </w:tbl>
    <w:p/>
    <w:p>
      <w:pPr>
        <w:pStyle w:val="Heading2"/>
      </w:pPr>
      <w:r>
        <w:t>4.7 Section 508 Compliance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Req ID</w:t>
            </w:r>
          </w:p>
        </w:tc>
        <w:tc>
          <w:tcPr>
            <w:tcW w:type="dxa" w:w="3120"/>
            <w:shd w:val="clear" w:fill="003087"/>
          </w:tcPr>
          <w:p>
            <w:r/>
            <w:r>
              <w:rPr>
                <w:rFonts w:ascii="Arial" w:hAnsi="Arial"/>
                <w:b/>
                <w:color w:val="FFFFFF"/>
                <w:sz w:val="20"/>
              </w:rPr>
              <w:t>Requirement</w:t>
            </w:r>
          </w:p>
        </w:tc>
        <w:tc>
          <w:tcPr>
            <w:tcW w:type="dxa" w:w="3120"/>
            <w:shd w:val="clear" w:fill="003087"/>
          </w:tcPr>
          <w:p>
            <w:r/>
            <w:r>
              <w:rPr>
                <w:rFonts w:ascii="Arial" w:hAnsi="Arial"/>
                <w:b/>
                <w:color w:val="FFFFFF"/>
                <w:sz w:val="20"/>
              </w:rPr>
              <w:t>Status</w:t>
            </w:r>
          </w:p>
        </w:tc>
      </w:tr>
      <w:tr>
        <w:tc>
          <w:tcPr>
            <w:tcW w:type="dxa" w:w="3120"/>
          </w:tcPr>
          <w:p>
            <w:r/>
            <w:r>
              <w:rPr>
                <w:rFonts w:ascii="Arial" w:hAnsi="Arial"/>
                <w:sz w:val="20"/>
              </w:rPr>
              <w:t>NFR-508-001</w:t>
            </w:r>
          </w:p>
        </w:tc>
        <w:tc>
          <w:tcPr>
            <w:tcW w:type="dxa" w:w="3120"/>
          </w:tcPr>
          <w:p>
            <w:r/>
            <w:r>
              <w:rPr>
                <w:rFonts w:ascii="Arial" w:hAnsi="Arial"/>
                <w:sz w:val="20"/>
              </w:rPr>
              <w:t>Interactive controls shall expose accessible names and states.</w:t>
            </w:r>
          </w:p>
        </w:tc>
        <w:tc>
          <w:tcPr>
            <w:tcW w:type="dxa" w:w="3120"/>
          </w:tcPr>
          <w:p>
            <w:r/>
            <w:r>
              <w:rPr>
                <w:rFonts w:ascii="Arial" w:hAnsi="Arial"/>
                <w:sz w:val="20"/>
              </w:rPr>
              <w:t>Implementation in progress</w:t>
            </w:r>
          </w:p>
        </w:tc>
      </w:tr>
      <w:tr>
        <w:tc>
          <w:tcPr>
            <w:tcW w:type="dxa" w:w="3120"/>
          </w:tcPr>
          <w:p>
            <w:r/>
            <w:r>
              <w:rPr>
                <w:rFonts w:ascii="Arial" w:hAnsi="Arial"/>
                <w:sz w:val="20"/>
              </w:rPr>
              <w:t>NFR-508-002</w:t>
            </w:r>
          </w:p>
        </w:tc>
        <w:tc>
          <w:tcPr>
            <w:tcW w:type="dxa" w:w="3120"/>
          </w:tcPr>
          <w:p>
            <w:r/>
            <w:r>
              <w:rPr>
                <w:rFonts w:ascii="Arial" w:hAnsi="Arial"/>
                <w:sz w:val="20"/>
              </w:rPr>
              <w:t>Text and interface elements shall meet a 4.5:1 minimum contrast ratio.</w:t>
            </w:r>
          </w:p>
        </w:tc>
        <w:tc>
          <w:tcPr>
            <w:tcW w:type="dxa" w:w="3120"/>
          </w:tcPr>
          <w:p>
            <w:r/>
            <w:r>
              <w:rPr>
                <w:rFonts w:ascii="Arial" w:hAnsi="Arial"/>
                <w:sz w:val="20"/>
              </w:rPr>
              <w:t>Implementation in progress</w:t>
            </w:r>
          </w:p>
        </w:tc>
      </w:tr>
      <w:tr>
        <w:tc>
          <w:tcPr>
            <w:tcW w:type="dxa" w:w="3120"/>
          </w:tcPr>
          <w:p>
            <w:r/>
            <w:r>
              <w:rPr>
                <w:rFonts w:ascii="Arial" w:hAnsi="Arial"/>
                <w:sz w:val="20"/>
              </w:rPr>
              <w:t>NFR-508-003</w:t>
            </w:r>
          </w:p>
        </w:tc>
        <w:tc>
          <w:tcPr>
            <w:tcW w:type="dxa" w:w="3120"/>
          </w:tcPr>
          <w:p>
            <w:r/>
            <w:r>
              <w:rPr>
                <w:rFonts w:ascii="Arial" w:hAnsi="Arial"/>
                <w:sz w:val="20"/>
              </w:rPr>
              <w:t>Modal dialogs shall manage focus and support keyboard dismissal.</w:t>
            </w:r>
          </w:p>
        </w:tc>
        <w:tc>
          <w:tcPr>
            <w:tcW w:type="dxa" w:w="3120"/>
          </w:tcPr>
          <w:p>
            <w:r/>
            <w:r>
              <w:rPr>
                <w:rFonts w:ascii="Arial" w:hAnsi="Arial"/>
                <w:sz w:val="20"/>
              </w:rPr>
              <w:t>Implementation in progress</w:t>
            </w:r>
          </w:p>
        </w:tc>
      </w:tr>
    </w:tbl>
    <w:p/>
    <w:p>
      <w:r>
        <w:rPr>
          <w:rFonts w:ascii="Arial" w:hAnsi="Arial"/>
          <w:b/>
        </w:rPr>
        <w:t>Honest status.</w:t>
      </w:r>
      <w:r>
        <w:rPr>
          <w:rFonts w:ascii="Arial" w:hAnsi="Arial"/>
        </w:rPr>
        <w:t xml:space="preserve"> Accessibility remediation work is under way and is visible in the codebase — contrast ratios have been raised on the application shell and administrative surfaces, ARIA attributes and accessible names have been added to icon-only controls, and modal focus management with Escape-to-close has been implemented. </w:t>
      </w:r>
      <w:r>
        <w:rPr>
          <w:rFonts w:ascii="Arial" w:hAnsi="Arial"/>
          <w:b/>
        </w:rPr>
        <w:t>No formal conformance testing has been performed.</w:t>
      </w:r>
      <w:r>
        <w:rPr>
          <w:rFonts w:ascii="Arial" w:hAnsi="Arial"/>
        </w:rPr>
        <w:t xml:space="preserve"> No automated accessibility scan (axe, pa11y) is part of the test suite, and </w:t>
      </w:r>
      <w:r>
        <w:rPr>
          <w:rFonts w:ascii="Arial" w:hAnsi="Arial"/>
          <w:b/>
        </w:rPr>
        <w:t>no Voluntary Product Accessibility Template (VPAT) has been produced</w:t>
      </w:r>
      <w:r>
        <w:rPr>
          <w:rFonts w:ascii="Arial" w:hAnsi="Arial"/>
        </w:rPr>
        <w:t>. Section 508 conformance must therefore be described as *in progress and unverified*, not as achieved.</w:t>
      </w:r>
    </w:p>
    <w:p>
      <w:r>
        <w:rPr>
          <w:rFonts w:ascii="Arial" w:hAnsi="Arial"/>
          <w:b/>
        </w:rPr>
        <w:t>Total non-functional requirements: 48</w:t>
      </w:r>
      <w:r>
        <w:rPr>
          <w:rFonts w:ascii="Arial" w:hAnsi="Arial"/>
        </w:rPr>
        <w:t xml:space="preserve"> (DC: 5, PR: 7, SP: 14, RL: 6, IR: 7, CS: 6, 508: 3).</w:t>
      </w:r>
    </w:p>
    <w:p>
      <w:r>
        <w:br w:type="page"/>
      </w:r>
    </w:p>
    <w:p>
      <w:pPr>
        <w:pStyle w:val="Heading1"/>
      </w:pPr>
      <w:r>
        <w:t>5. Appendices</w:t>
      </w:r>
    </w:p>
    <w:p>
      <w:pPr>
        <w:pStyle w:val="Heading2"/>
      </w:pPr>
      <w:r>
        <w:t>Appendix A — Approval Signature Page</w:t>
      </w:r>
    </w:p>
    <w:p>
      <w:r>
        <w:rPr>
          <w:rFonts w:ascii="Arial" w:hAnsi="Arial"/>
        </w:rPr>
        <w:t xml:space="preserve">The undersigned acknowledge they have reviewed the </w:t>
      </w:r>
      <w:r>
        <w:rPr>
          <w:rFonts w:ascii="Arial" w:hAnsi="Arial"/>
          <w:b/>
        </w:rPr>
        <w:t>DocuAction TEFCA ARC Platform Requirements Document, Version 1.0</w:t>
      </w:r>
      <w:r>
        <w:rPr>
          <w:rFonts w:ascii="Arial" w:hAnsi="Arial"/>
        </w:rPr>
        <w:t xml:space="preserve"> and agree with the information presented within this document. Changes to this document shall be coordinated with, and approved by, the undersigned or their designated representatives.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Role</w:t>
            </w:r>
          </w:p>
        </w:tc>
        <w:tc>
          <w:tcPr>
            <w:tcW w:type="dxa" w:w="2340"/>
            <w:shd w:val="clear" w:fill="003087"/>
          </w:tcPr>
          <w:p>
            <w:r/>
            <w:r>
              <w:rPr>
                <w:rFonts w:ascii="Arial" w:hAnsi="Arial"/>
                <w:b/>
                <w:color w:val="FFFFFF"/>
                <w:sz w:val="20"/>
              </w:rPr>
              <w:t>Name</w:t>
            </w:r>
          </w:p>
        </w:tc>
        <w:tc>
          <w:tcPr>
            <w:tcW w:type="dxa" w:w="2340"/>
            <w:shd w:val="clear" w:fill="003087"/>
          </w:tcPr>
          <w:p>
            <w:r/>
            <w:r>
              <w:rPr>
                <w:rFonts w:ascii="Arial" w:hAnsi="Arial"/>
                <w:b/>
                <w:color w:val="FFFFFF"/>
                <w:sz w:val="20"/>
              </w:rPr>
              <w:t>Signature</w:t>
            </w:r>
          </w:p>
        </w:tc>
        <w:tc>
          <w:tcPr>
            <w:tcW w:type="dxa" w:w="2340"/>
            <w:shd w:val="clear" w:fill="003087"/>
          </w:tcPr>
          <w:p>
            <w:r/>
            <w:r>
              <w:rPr>
                <w:rFonts w:ascii="Arial" w:hAnsi="Arial"/>
                <w:b/>
                <w:color w:val="FFFFFF"/>
                <w:sz w:val="20"/>
              </w:rPr>
              <w:t>Date</w:t>
            </w:r>
          </w:p>
        </w:tc>
      </w:tr>
      <w:tr>
        <w:tc>
          <w:tcPr>
            <w:tcW w:type="dxa" w:w="2340"/>
          </w:tcPr>
          <w:p>
            <w:r/>
            <w:r>
              <w:rPr>
                <w:rFonts w:ascii="Arial" w:hAnsi="Arial"/>
                <w:sz w:val="20"/>
              </w:rPr>
              <w:t>AGT Project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AGT Technical Lead</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Contracting Officer's Representative</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Program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bl>
    <w:p/>
    <w:p>
      <w:pPr>
        <w:pStyle w:val="Heading2"/>
      </w:pPr>
      <w:r>
        <w:t>Appendix B — References</w:t>
      </w:r>
    </w:p>
    <w:p>
      <w:r>
        <w:rPr>
          <w:rFonts w:ascii="Arial" w:hAnsi="Arial"/>
        </w:rPr>
        <w:t>See Section 1.4.</w:t>
      </w:r>
    </w:p>
    <w:p>
      <w:pPr>
        <w:pStyle w:val="Heading2"/>
      </w:pPr>
      <w:r>
        <w:t>Appendix C — Business Process Model</w:t>
      </w:r>
    </w:p>
    <w:p>
      <w:pPr>
        <w:pStyle w:val="Heading3"/>
      </w:pPr>
      <w:r>
        <w:t>C.1 Entity verification workflow</w:t>
      </w:r>
    </w:p>
    <w:p>
      <w:r>
        <w:rPr>
          <w:rFonts w:ascii="Arial" w:hAnsi="Arial"/>
          <w:b/>
        </w:rPr>
        <w:t>Figure 2. Entity Verification Workflow</w:t>
      </w:r>
    </w:p>
    <w:p>
      <w:pPr>
        <w:spacing w:line="240" w:lineRule="auto"/>
        <w:ind w:left="360"/>
      </w:pPr>
      <w:r>
        <w:rPr>
          <w:rFonts w:ascii="Consolas" w:hAnsi="Consolas"/>
          <w:sz w:val="18"/>
        </w:rPr>
        <w:t xml:space="preserve">  ONC dataset / CSV / FHIR bundle</w:t>
        <w:br/>
        <w:t xml:space="preserve">            │</w:t>
        <w:br/>
        <w:t xml:space="preserve">            ▼</w:t>
        <w:br/>
        <w:t xml:space="preserve">   ┌─────────────────┐   invalid rows reported individually</w:t>
        <w:br/>
        <w:t xml:space="preserve">   │  Import &amp; scan  │──────────────────────────────────────►  Import history</w:t>
        <w:br/>
        <w:t xml:space="preserve">   │  SHA-256 hash   │                                          (+ row errors)</w:t>
        <w:br/>
        <w:t xml:space="preserve">   └────────┬────────┘</w:t>
        <w:br/>
        <w:t xml:space="preserve">            ▼</w:t>
        <w:br/>
        <w:t xml:space="preserve">   ┌─────────────────┐</w:t>
        <w:br/>
        <w:t xml:space="preserve">   │ NPI validation  │  format + Luhn check digit</w:t>
        <w:br/>
        <w:t xml:space="preserve">   └────────┬────────┘</w:t>
        <w:br/>
        <w:t xml:space="preserve">            ▼</w:t>
        <w:br/>
        <w:t xml:space="preserve">   ┌──────────────────────────────────────────────┐</w:t>
        <w:br/>
        <w:t xml:space="preserve">   │        Concurrent source verification         │</w:t>
        <w:br/>
        <w:t xml:space="preserve">   │   NPPES   OIG LEIE   SAM.gov   USPS address   │</w:t>
        <w:br/>
        <w:t xml:space="preserve">   └────────┬─────────────────────────────────────┘</w:t>
        <w:br/>
        <w:t xml:space="preserve">            │  unavailable source ⇒ recorded unavailable, never "clean"</w:t>
        <w:br/>
        <w:t xml:space="preserve">            ▼</w:t>
        <w:br/>
        <w:t xml:space="preserve">   ┌─────────────────┐</w:t>
        <w:br/>
        <w:t xml:space="preserve">   │ Name similarity │  Jaro-Winkler</w:t>
        <w:br/>
        <w:t xml:space="preserve">   │ Address normal. │  USPS Pub 28</w:t>
        <w:br/>
        <w:t xml:space="preserve">   └────────┬────────┘</w:t>
        <w:br/>
        <w:t xml:space="preserve">            ▼</w:t>
        <w:br/>
        <w:t xml:space="preserve">   ┌─────────────────┐        ┌──────────────────────┐</w:t>
        <w:br/>
        <w:t xml:space="preserve">   │ B1–B4 classify  │───────►│ Evidence record (5)  │</w:t>
        <w:br/>
        <w:t xml:space="preserve">   └────────┬────────┘        └──────────────────────┘</w:t>
        <w:br/>
        <w:t xml:space="preserve">            ▼</w:t>
        <w:br/>
        <w:t xml:space="preserve">   ┌─────────────────┐</w:t>
        <w:br/>
        <w:t xml:space="preserve">   │ Tier routing    │  T1 auto · T2 analyst queue · T3 senior escalation</w:t>
        <w:br/>
        <w:t xml:space="preserve">   └────────┬────────┘</w:t>
        <w:br/>
        <w:t xml:space="preserve">            ▼</w:t>
        <w:br/>
        <w:t xml:space="preserve">      Review → Finding → Report</w:t>
      </w:r>
    </w:p>
    <w:p>
      <w:r>
        <w:rPr>
          <w:rFonts w:ascii="Arial" w:hAnsi="Arial"/>
        </w:rPr>
        <w:t>*Figure 2 shows the end-to-end verification path for a single entity, from import through classification to review. Two control points are load-bearing: an unavailable source is recorded as unavailable rather than clean, and invalid import rows are rejected individually with row, field and reason rather than failing the whole file.*</w:t>
      </w:r>
    </w:p>
    <w:p>
      <w:r>
        <w:rPr>
          <w:rFonts w:ascii="Arial" w:hAnsi="Arial"/>
        </w:rPr>
        <w:t>*Alt text: Vertical flowchart of entity verification. Data enters from the ONC dataset, CSV or FHIR bundle into an import-and-scan step that hashes the file and reports invalid rows to an import history. Valid rows pass NPI format and Luhn validation, then concurrent verification against NPPES, OIG LEIE, SAM.gov and USPS, where an unavailable source is recorded as unavailable rather than clean. Results pass through name-similarity and address-normalization, then bucket classification which emits a five-element evidence record, then tier routing to T1 automatic, T2 analyst queue or T3 senior escalation, ending in review, finding and report.*</w:t>
      </w:r>
    </w:p>
    <w:p>
      <w:pPr>
        <w:pStyle w:val="Heading3"/>
      </w:pPr>
      <w:r>
        <w:t>C.2 Review lifecycle</w:t>
      </w:r>
    </w:p>
    <w:p>
      <w:r>
        <w:rPr>
          <w:rFonts w:ascii="Arial" w:hAnsi="Arial"/>
          <w:b/>
        </w:rPr>
        <w:t>Figure 3. Review Lifecycle State Transitions</w:t>
      </w:r>
    </w:p>
    <w:p>
      <w:pPr>
        <w:spacing w:line="240" w:lineRule="auto"/>
        <w:ind w:left="360"/>
      </w:pPr>
      <w:r>
        <w:rPr>
          <w:rFonts w:ascii="Consolas" w:hAnsi="Consolas"/>
          <w:sz w:val="18"/>
        </w:rPr>
        <w:t xml:space="preserve">  PENDING_REVIEW ──► IN_REVIEW ──► REVIEWED_COMPLETE</w:t>
        <w:br/>
        <w:t xml:space="preserve">                         │</w:t>
        <w:br/>
        <w:t xml:space="preserve">                         ├──► CORRECTIVE_ACTION_OPEN ──► REVIEWED_COMPLETE</w:t>
        <w:br/>
        <w:t xml:space="preserve">                         └──► ESCALATED ──► (senior analyst) ──► REVIEWED_COMPLETE</w:t>
      </w:r>
    </w:p>
    <w:p>
      <w:r>
        <w:rPr>
          <w:rFonts w:ascii="Arial" w:hAnsi="Arial"/>
        </w:rPr>
        <w:t>*Figure 3 shows the permitted transitions for a review record. Corrective action and escalation are branches from IN_REVIEW that both rejoin at REVIEWED_COMPLETE; escalated records are handled by a senior analyst before they can complete.*</w:t>
      </w:r>
    </w:p>
    <w:p>
      <w:r>
        <w:rPr>
          <w:rFonts w:ascii="Arial" w:hAnsi="Arial"/>
        </w:rPr>
        <w:t>*Alt text: State diagram. A review begins at PENDING_REVIEW and moves to IN_REVIEW. From IN_REVIEW it may complete directly, or branch to CORRECTIVE_ACTION_OPEN or ESCALATED, both of which return to REVIEWED_COMPLETE — escalation via senior analyst handling.*</w:t>
      </w:r>
    </w:p>
    <w:p>
      <w:pPr>
        <w:pStyle w:val="Heading3"/>
      </w:pPr>
      <w:r>
        <w:t>C.3 Entity lifecycle state machine</w:t>
      </w:r>
    </w:p>
    <w:p>
      <w:r>
        <w:rPr>
          <w:rFonts w:ascii="Arial" w:hAnsi="Arial"/>
          <w:b/>
        </w:rPr>
        <w:t>Figure 4. Entity Lifecycle State Machine</w:t>
      </w:r>
    </w:p>
    <w:p>
      <w:pPr>
        <w:spacing w:line="240" w:lineRule="auto"/>
        <w:ind w:left="360"/>
      </w:pPr>
      <w:r>
        <w:rPr>
          <w:rFonts w:ascii="Consolas" w:hAnsi="Consolas"/>
          <w:sz w:val="18"/>
        </w:rPr>
        <w:t xml:space="preserve">  draft ──► pending_verification ──► active ──► suspended ──► inactive</w:t>
        <w:br/>
        <w:t xml:space="preserve">                                        ▲            │</w:t>
        <w:br/>
        <w:t xml:space="preserve">                                        └────────────┘</w:t>
      </w:r>
    </w:p>
    <w:p>
      <w:r>
        <w:rPr>
          <w:rFonts w:ascii="Arial" w:hAnsi="Arial"/>
        </w:rPr>
        <w:t>*Figure 4 shows the entity lifecycle. Only the transitions drawn are permitted; the state machine rejects any other transition with a reason, so an entity cannot skip verification on its way to active.*</w:t>
      </w:r>
    </w:p>
    <w:p>
      <w:r>
        <w:rPr>
          <w:rFonts w:ascii="Arial" w:hAnsi="Arial"/>
        </w:rPr>
        <w:t>*Alt text: Linear state machine with five states — draft, pending_verification, active, suspended, inactive — where suspended may return to active.*</w:t>
      </w:r>
    </w:p>
    <w:p>
      <w:pPr>
        <w:pStyle w:val="Heading3"/>
      </w:pPr>
      <w:r>
        <w:t>C.4 B1–B4 classification decision tree</w:t>
      </w:r>
    </w:p>
    <w:p>
      <w:r>
        <w:rPr>
          <w:rFonts w:ascii="Arial" w:hAnsi="Arial"/>
          <w:b/>
        </w:rPr>
        <w:t>Figure 5. B1–B4 Classification Decision Tree</w:t>
      </w:r>
    </w:p>
    <w:p>
      <w:pPr>
        <w:spacing w:line="240" w:lineRule="auto"/>
        <w:ind w:left="360"/>
      </w:pPr>
      <w:r>
        <w:rPr>
          <w:rFonts w:ascii="Consolas" w:hAnsi="Consolas"/>
          <w:sz w:val="18"/>
        </w:rPr>
        <w:t xml:space="preserve">  Source data available for entity?</w:t>
        <w:br/>
        <w:t xml:space="preserve">    │</w:t>
        <w:br/>
        <w:t xml:space="preserve">    ├─ NO  ──────────────────────────────────────► B4  (unverifiable)</w:t>
        <w:br/>
        <w:t xml:space="preserve">    │</w:t>
        <w:br/>
        <w:t xml:space="preserve">    └─ YES</w:t>
        <w:br/>
        <w:t xml:space="preserve">         │</w:t>
        <w:br/>
        <w:t xml:space="preserve">         ├─ Data source is MOCK? ── YES ─────────► NOT ELIGIBLE for B1</w:t>
        <w:br/>
        <w:t xml:space="preserve">         │                                          (demonstration data guard)</w:t>
        <w:br/>
        <w:t xml:space="preserve">         └─ NO</w:t>
        <w:br/>
        <w:t xml:space="preserve">              │</w:t>
        <w:br/>
        <w:t xml:space="preserve">              ├─ All attributes match authoritative sources? ── YES ──► B1  (clean)</w:t>
        <w:br/>
        <w:t xml:space="preserve">              │</w:t>
        <w:br/>
        <w:t xml:space="preserve">              ├─ Minor//formatting discrepancy only? ─────────────────► B2</w:t>
        <w:br/>
        <w:t xml:space="preserve">              │</w:t>
        <w:br/>
        <w:t xml:space="preserve">              ├─ Material discrepancy requiring analyst judgement? ──► B3</w:t>
        <w:br/>
        <w:t xml:space="preserve">              │</w:t>
        <w:br/>
        <w:t xml:space="preserve">              └─ Adverse finding (exclusion / debarment)? ───────────► B4</w:t>
      </w:r>
    </w:p>
    <w:p>
      <w:r>
        <w:rPr>
          <w:rFonts w:ascii="Arial" w:hAnsi="Arial"/>
        </w:rPr>
        <w:t>*Figure 5 shows the structural logic by which a discrepancy is assigned to a bucket. The MOCK guard is a deliberate safety property: demonstration data is barred from automatic Bucket 1 so it can never masquerade as a finalized clean finding. Numeric confidence thresholds are governed by the COR-approved methodology and the versioned review rules, not by this diagram.*</w:t>
      </w:r>
    </w:p>
    <w:p>
      <w:r>
        <w:rPr>
          <w:rFonts w:ascii="Arial" w:hAnsi="Arial"/>
        </w:rPr>
        <w:t>*Alt text: Decision tree for bucket classification. If no source data is available the entity is Bucket 4 unverifiable. If data came from MOCK sources the entity is barred from Bucket 1. Otherwise a full match yields Bucket 1, a minor or formatting discrepancy yields Bucket 2, a material discrepancy needing analyst judgement yields Bucket 3, and an adverse finding such as an exclusion or debarment yields Bucket 4.*</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The precise B1–B4 decision thresholds are implemented in the validation engine and review-rules tables and are configurable per review cycle. The tree above is the structural logic; the numeric confidence thresholds are governed by the COR-approved methodology (Deliverable 2) and by the versioned review rules, and are therefore marked VERIFICATION REQUIRED for any specific numeric value.</w:t>
            </w:r>
          </w:p>
        </w:tc>
      </w:tr>
    </w:tbl>
    <w:p/>
    <w:p>
      <w:pPr>
        <w:pStyle w:val="Heading2"/>
      </w:pPr>
      <w:r>
        <w:t>Appendix D — Logical Data Model</w:t>
      </w:r>
    </w:p>
    <w:p>
      <w:r>
        <w:rPr>
          <w:rFonts w:ascii="Arial" w:hAnsi="Arial"/>
        </w:rPr>
        <w:t>The contract-relevant logical model spans two entity stores plus shared services.</w:t>
      </w:r>
    </w:p>
    <w:p>
      <w:r>
        <w:rPr>
          <w:rFonts w:ascii="Arial" w:hAnsi="Arial"/>
          <w:b/>
        </w:rPr>
        <w:t>Figure 6. Logical Data Model — Entity-Relationship Overview</w:t>
      </w:r>
    </w:p>
    <w:p>
      <w:pPr>
        <w:spacing w:line="240" w:lineRule="auto"/>
        <w:ind w:left="360"/>
      </w:pPr>
      <w:r>
        <w:rPr>
          <w:rFonts w:ascii="Consolas" w:hAnsi="Consolas"/>
          <w:sz w:val="18"/>
        </w:rPr>
        <w:t xml:space="preserve">   users ──1:N──► audit_logs</w:t>
        <w:br/>
        <w:t xml:space="preserve">     │</w:t>
        <w:br/>
        <w:t xml:space="preserve">     └──1:N──► (actor on) tefca_reviews, tefca_verifications, import batches</w:t>
        <w:br/>
        <w:br/>
        <w:t xml:space="preserve">   ┌──────────────── TEFCA ARC (app/Tefca) ────────────────┐</w:t>
        <w:br/>
        <w:t xml:space="preserve">   │  tefca_entities ──1:N──► tefca_reviews                 │</w:t>
        <w:br/>
        <w:t xml:space="preserve">   │        │                      │                        │</w:t>
        <w:br/>
        <w:t xml:space="preserve">   │        │                      └──1:N──► tefca_findings  │</w:t>
        <w:br/>
        <w:t xml:space="preserve">   │        ├──1:N──► tefca_evidence_records                 │</w:t>
        <w:br/>
        <w:t xml:space="preserve">   │        └──1:N──► tefca_priority_cases                   │</w:t>
        <w:br/>
        <w:t xml:space="preserve">   │  tefca_review_cycles ──1:N──► tefca_reviews             │</w:t>
        <w:br/>
        <w:t xml:space="preserve">   │  tefca_analyst_queue · tefca_connector_logs             │</w:t>
        <w:br/>
        <w:t xml:space="preserve">   │  tefca_source_cache  · tefca_import_history             │</w:t>
        <w:br/>
        <w:t xml:space="preserve">   │  tefca_reports                                          │</w:t>
        <w:br/>
        <w:t xml:space="preserve">   └────────────────────────────────────────────────────────┘</w:t>
        <w:br/>
        <w:t xml:space="preserve">                      ▲</w:t>
        <w:br/>
        <w:t xml:space="preserve">                      │  import bridge (CSV upload syncs import → registry)</w:t>
        <w:br/>
        <w:t xml:space="preserve">                      ▼</w:t>
        <w:br/>
        <w:t xml:space="preserve">   ┌────────────── TEFCA Registry (app/tefca_registry) ─────┐</w:t>
        <w:br/>
        <w:t xml:space="preserve">   │  tefca_reg_entities ──1:N──► tefca_entity_identifiers   │</w:t>
        <w:br/>
        <w:t xml:space="preserve">   │        ├──1:N──► tefca_entity_endpoints                 │</w:t>
        <w:br/>
        <w:t xml:space="preserve">   │        ├──1:N──► tefca_entity_relationships             │</w:t>
        <w:br/>
        <w:t xml:space="preserve">   │        ├──1:N──► tefca_entity_versions                  │</w:t>
        <w:br/>
        <w:t xml:space="preserve">   │        ├──1:N──► tefca_entity_findings                  │</w:t>
        <w:br/>
        <w:t xml:space="preserve">   │        └──1:N──► tefca_verifications ──► tefca_verification_checks</w:t>
        <w:br/>
        <w:t xml:space="preserve">   │  tefca_verification_jobs · tefca_import_batches          │</w:t>
        <w:br/>
        <w:t xml:space="preserve">   │  tefca_reg_audit_log                                     │</w:t>
        <w:br/>
        <w:t xml:space="preserve">   │  review_cycles · review_records · review_reports         │</w:t>
        <w:br/>
        <w:t xml:space="preserve">   │  review_rules  · review_samples ──1:N──► sample_entities │</w:t>
        <w:br/>
        <w:t xml:space="preserve">   └─────────────────────────────────────────────────────────┘</w:t>
      </w:r>
    </w:p>
    <w:p>
      <w:r>
        <w:rPr>
          <w:rFonts w:ascii="Arial" w:hAnsi="Arial"/>
        </w:rPr>
        <w:t>*Figure 6 shows the contract-relevant logical data model across the two entity stores and shared services. The import bridge between them reflects the known two-table split documented as design debt; consumers must know which store they are reading, as the two are not interchangeable.*</w:t>
      </w:r>
    </w:p>
    <w:p>
      <w:r>
        <w:rPr>
          <w:rFonts w:ascii="Arial" w:hAnsi="Arial"/>
        </w:rPr>
        <w:t>*Alt text: Entity-relationship overview. Users have many audit log entries and act on reviews, verifications and import batches. The TEFCA ARC store centres on tefca_entities, which has many reviews (each with findings), evidence records and priority cases, alongside review cycles, an analyst queue, connector logs, a source cache, import history and reports. An import bridge links it to the TEFCA Registry store, which centres on tefca_reg_entities with child tables for identifiers, endpoints, relationships, versions, findings and verifications with checks, plus verification jobs, import batches, an audit log, and review cycle, record, report, rule and sample tables where samples own sample entities.*</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**Known architectural issue.** Entity data is split across two tables — `tefca_entities` (ARC) and `tefca_reg_entities` (Registry) — with a bridge that syncs import into the registry on CSV upload. This duplication is a known design debt documented here for future unification. It is not a defect in current operation, but it means "the entity record" has two homes and consumers must know which store they are reading.</w:t>
            </w:r>
          </w:p>
        </w:tc>
      </w:tr>
    </w:tbl>
    <w:p/>
    <w:p>
      <w:r>
        <w:rPr>
          <w:rFonts w:ascii="Arial" w:hAnsi="Arial"/>
        </w:rPr>
        <w:t>Full column-level detail is provided in the System Design Document, Appendix E.</w:t>
      </w:r>
    </w:p>
    <w:p>
      <w:pPr>
        <w:pStyle w:val="Heading2"/>
      </w:pPr>
      <w:r>
        <w:t>Appendix E — Requirements Traceability Matrix (RTM)</w:t>
      </w:r>
    </w:p>
    <w:p>
      <w:r>
        <w:rPr>
          <w:rFonts w:ascii="Arial" w:hAnsi="Arial"/>
        </w:rPr>
        <w:t xml:space="preserve">Bidirectional traceability: </w:t>
      </w:r>
      <w:r>
        <w:rPr>
          <w:rFonts w:ascii="Arial" w:hAnsi="Arial"/>
          <w:b/>
        </w:rPr>
        <w:t>SOW Task → Requirement → Design Element → Test/Verification</w:t>
      </w:r>
      <w:r>
        <w:rPr>
          <w:rFonts w:ascii="Arial" w:hAnsi="Arial"/>
        </w:rPr>
        <w:t>.</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val="true"/>
        </w:trPr>
        <w:tc>
          <w:tcPr>
            <w:tcW w:type="dxa" w:w="936"/>
            <w:shd w:val="clear" w:fill="003087"/>
          </w:tcPr>
          <w:p>
            <w:r/>
            <w:r>
              <w:rPr>
                <w:rFonts w:ascii="Arial" w:hAnsi="Arial"/>
                <w:b/>
                <w:color w:val="FFFFFF"/>
                <w:sz w:val="20"/>
              </w:rPr>
              <w:t>Req ID</w:t>
            </w:r>
          </w:p>
        </w:tc>
        <w:tc>
          <w:tcPr>
            <w:tcW w:type="dxa" w:w="936"/>
            <w:shd w:val="clear" w:fill="003087"/>
          </w:tcPr>
          <w:p>
            <w:r/>
            <w:r>
              <w:rPr>
                <w:rFonts w:ascii="Arial" w:hAnsi="Arial"/>
                <w:b/>
                <w:color w:val="FFFFFF"/>
                <w:sz w:val="20"/>
              </w:rPr>
              <w:t>Description (abbrev.)</w:t>
            </w:r>
          </w:p>
        </w:tc>
        <w:tc>
          <w:tcPr>
            <w:tcW w:type="dxa" w:w="936"/>
            <w:shd w:val="clear" w:fill="003087"/>
          </w:tcPr>
          <w:p>
            <w:r/>
            <w:r>
              <w:rPr>
                <w:rFonts w:ascii="Arial" w:hAnsi="Arial"/>
                <w:b/>
                <w:color w:val="FFFFFF"/>
                <w:sz w:val="20"/>
              </w:rPr>
              <w:t>SOW Task</w:t>
            </w:r>
          </w:p>
        </w:tc>
        <w:tc>
          <w:tcPr>
            <w:tcW w:type="dxa" w:w="936"/>
            <w:shd w:val="clear" w:fill="003087"/>
          </w:tcPr>
          <w:p>
            <w:r/>
            <w:r>
              <w:rPr>
                <w:rFonts w:ascii="Arial" w:hAnsi="Arial"/>
                <w:b/>
                <w:color w:val="FFFFFF"/>
                <w:sz w:val="20"/>
              </w:rPr>
              <w:t>Deliv.</w:t>
            </w:r>
          </w:p>
        </w:tc>
        <w:tc>
          <w:tcPr>
            <w:tcW w:type="dxa" w:w="936"/>
            <w:shd w:val="clear" w:fill="003087"/>
          </w:tcPr>
          <w:p>
            <w:r/>
            <w:r>
              <w:rPr>
                <w:rFonts w:ascii="Arial" w:hAnsi="Arial"/>
                <w:b/>
                <w:color w:val="FFFFFF"/>
                <w:sz w:val="20"/>
              </w:rPr>
              <w:t>Type</w:t>
            </w:r>
          </w:p>
        </w:tc>
        <w:tc>
          <w:tcPr>
            <w:tcW w:type="dxa" w:w="936"/>
            <w:shd w:val="clear" w:fill="003087"/>
          </w:tcPr>
          <w:p>
            <w:r/>
            <w:r>
              <w:rPr>
                <w:rFonts w:ascii="Arial" w:hAnsi="Arial"/>
                <w:b/>
                <w:color w:val="FFFFFF"/>
                <w:sz w:val="20"/>
              </w:rPr>
              <w:t>Priority</w:t>
            </w:r>
          </w:p>
        </w:tc>
        <w:tc>
          <w:tcPr>
            <w:tcW w:type="dxa" w:w="936"/>
            <w:shd w:val="clear" w:fill="003087"/>
          </w:tcPr>
          <w:p>
            <w:r/>
            <w:r>
              <w:rPr>
                <w:rFonts w:ascii="Arial" w:hAnsi="Arial"/>
                <w:b/>
                <w:color w:val="FFFFFF"/>
                <w:sz w:val="20"/>
              </w:rPr>
              <w:t>Design Element (SDD §)</w:t>
            </w:r>
          </w:p>
        </w:tc>
        <w:tc>
          <w:tcPr>
            <w:tcW w:type="dxa" w:w="936"/>
            <w:shd w:val="clear" w:fill="003087"/>
          </w:tcPr>
          <w:p>
            <w:r/>
            <w:r>
              <w:rPr>
                <w:rFonts w:ascii="Arial" w:hAnsi="Arial"/>
                <w:b/>
                <w:color w:val="FFFFFF"/>
                <w:sz w:val="20"/>
              </w:rPr>
              <w:t>System Component</w:t>
            </w:r>
          </w:p>
        </w:tc>
        <w:tc>
          <w:tcPr>
            <w:tcW w:type="dxa" w:w="936"/>
            <w:shd w:val="clear" w:fill="003087"/>
          </w:tcPr>
          <w:p>
            <w:r/>
            <w:r>
              <w:rPr>
                <w:rFonts w:ascii="Arial" w:hAnsi="Arial"/>
                <w:b/>
                <w:color w:val="FFFFFF"/>
                <w:sz w:val="20"/>
              </w:rPr>
              <w:t>Verification</w:t>
            </w:r>
          </w:p>
        </w:tc>
        <w:tc>
          <w:tcPr>
            <w:tcW w:type="dxa" w:w="936"/>
            <w:shd w:val="clear" w:fill="003087"/>
          </w:tcPr>
          <w:p>
            <w:r/>
            <w:r>
              <w:rPr>
                <w:rFonts w:ascii="Arial" w:hAnsi="Arial"/>
                <w:b/>
                <w:color w:val="FFFFFF"/>
                <w:sz w:val="20"/>
              </w:rPr>
              <w:t>Status</w:t>
            </w:r>
          </w:p>
        </w:tc>
      </w:tr>
      <w:tr>
        <w:tc>
          <w:tcPr>
            <w:tcW w:type="dxa" w:w="936"/>
          </w:tcPr>
          <w:p>
            <w:r/>
            <w:r>
              <w:rPr>
                <w:rFonts w:ascii="Arial" w:hAnsi="Arial"/>
                <w:sz w:val="20"/>
              </w:rPr>
              <w:t>FR-T1-001</w:t>
            </w:r>
          </w:p>
        </w:tc>
        <w:tc>
          <w:tcPr>
            <w:tcW w:type="dxa" w:w="936"/>
          </w:tcPr>
          <w:p>
            <w:r/>
            <w:r>
              <w:rPr>
                <w:rFonts w:ascii="Arial" w:hAnsi="Arial"/>
                <w:sz w:val="20"/>
              </w:rPr>
              <w:t>Live demonstration</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D</w:t>
            </w:r>
          </w:p>
        </w:tc>
        <w:tc>
          <w:tcPr>
            <w:tcW w:type="dxa" w:w="936"/>
          </w:tcPr>
          <w:p>
            <w:r/>
            <w:r>
              <w:rPr>
                <w:rFonts w:ascii="Arial" w:hAnsi="Arial"/>
                <w:sz w:val="20"/>
              </w:rPr>
              <w:t>CURRENT</w:t>
            </w:r>
          </w:p>
        </w:tc>
      </w:tr>
      <w:tr>
        <w:tc>
          <w:tcPr>
            <w:tcW w:type="dxa" w:w="936"/>
          </w:tcPr>
          <w:p>
            <w:r/>
            <w:r>
              <w:rPr>
                <w:rFonts w:ascii="Arial" w:hAnsi="Arial"/>
                <w:sz w:val="20"/>
              </w:rPr>
              <w:t>FR-T1-002</w:t>
            </w:r>
          </w:p>
        </w:tc>
        <w:tc>
          <w:tcPr>
            <w:tcW w:type="dxa" w:w="936"/>
          </w:tcPr>
          <w:p>
            <w:r/>
            <w:r>
              <w:rPr>
                <w:rFonts w:ascii="Arial" w:hAnsi="Arial"/>
                <w:sz w:val="20"/>
              </w:rPr>
              <w:t>MOCK-flagged demo dataset</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FR-T1-003</w:t>
            </w:r>
          </w:p>
        </w:tc>
        <w:tc>
          <w:tcPr>
            <w:tcW w:type="dxa" w:w="936"/>
          </w:tcPr>
          <w:p>
            <w:r/>
            <w:r>
              <w:rPr>
                <w:rFonts w:ascii="Arial" w:hAnsi="Arial"/>
                <w:sz w:val="20"/>
              </w:rPr>
              <w:t>Demo cycle endpoint (admin)</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Low</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I</w:t>
            </w:r>
          </w:p>
        </w:tc>
        <w:tc>
          <w:tcPr>
            <w:tcW w:type="dxa" w:w="936"/>
          </w:tcPr>
          <w:p>
            <w:r/>
            <w:r>
              <w:rPr>
                <w:rFonts w:ascii="Arial" w:hAnsi="Arial"/>
                <w:sz w:val="20"/>
              </w:rPr>
              <w:t>CURRENT (dev)</w:t>
            </w:r>
          </w:p>
        </w:tc>
      </w:tr>
      <w:tr>
        <w:tc>
          <w:tcPr>
            <w:tcW w:type="dxa" w:w="936"/>
          </w:tcPr>
          <w:p>
            <w:r/>
            <w:r>
              <w:rPr>
                <w:rFonts w:ascii="Arial" w:hAnsi="Arial"/>
                <w:sz w:val="20"/>
              </w:rPr>
              <w:t>FR-T1-004</w:t>
            </w:r>
          </w:p>
        </w:tc>
        <w:tc>
          <w:tcPr>
            <w:tcW w:type="dxa" w:w="936"/>
          </w:tcPr>
          <w:p>
            <w:r/>
            <w:r>
              <w:rPr>
                <w:rFonts w:ascii="Arial" w:hAnsi="Arial"/>
                <w:sz w:val="20"/>
              </w:rPr>
              <w:t>Health &amp; connector status</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3.3.15</w:t>
            </w:r>
          </w:p>
        </w:tc>
        <w:tc>
          <w:tcPr>
            <w:tcW w:type="dxa" w:w="936"/>
          </w:tcPr>
          <w:p>
            <w:r/>
            <w:r>
              <w:rPr>
                <w:rFonts w:ascii="Arial" w:hAnsi="Arial"/>
                <w:sz w:val="20"/>
              </w:rPr>
              <w:t>Audit &amp; Compliance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FR-T1-005</w:t>
            </w:r>
          </w:p>
        </w:tc>
        <w:tc>
          <w:tcPr>
            <w:tcW w:type="dxa" w:w="936"/>
          </w:tcPr>
          <w:p>
            <w:r/>
            <w:r>
              <w:rPr>
                <w:rFonts w:ascii="Arial" w:hAnsi="Arial"/>
                <w:sz w:val="20"/>
              </w:rPr>
              <w:t>Role-appropriate dashboards</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4.5</w:t>
            </w:r>
          </w:p>
        </w:tc>
        <w:tc>
          <w:tcPr>
            <w:tcW w:type="dxa" w:w="936"/>
          </w:tcPr>
          <w:p>
            <w:r/>
            <w:r>
              <w:rPr>
                <w:rFonts w:ascii="Arial" w:hAnsi="Arial"/>
                <w:sz w:val="20"/>
              </w:rPr>
              <w:t>Frontend</w:t>
            </w:r>
          </w:p>
        </w:tc>
        <w:tc>
          <w:tcPr>
            <w:tcW w:type="dxa" w:w="936"/>
          </w:tcPr>
          <w:p>
            <w:r/>
            <w:r>
              <w:rPr>
                <w:rFonts w:ascii="Arial" w:hAnsi="Arial"/>
                <w:sz w:val="20"/>
              </w:rPr>
              <w:t>D</w:t>
            </w:r>
          </w:p>
        </w:tc>
        <w:tc>
          <w:tcPr>
            <w:tcW w:type="dxa" w:w="936"/>
          </w:tcPr>
          <w:p>
            <w:r/>
            <w:r>
              <w:rPr>
                <w:rFonts w:ascii="Arial" w:hAnsi="Arial"/>
                <w:sz w:val="20"/>
              </w:rPr>
              <w:t>CURRENT</w:t>
            </w:r>
          </w:p>
        </w:tc>
      </w:tr>
      <w:tr>
        <w:tc>
          <w:tcPr>
            <w:tcW w:type="dxa" w:w="936"/>
          </w:tcPr>
          <w:p>
            <w:r/>
            <w:r>
              <w:rPr>
                <w:rFonts w:ascii="Arial" w:hAnsi="Arial"/>
                <w:sz w:val="20"/>
              </w:rPr>
              <w:t>FR-T1-006</w:t>
            </w:r>
          </w:p>
        </w:tc>
        <w:tc>
          <w:tcPr>
            <w:tcW w:type="dxa" w:w="936"/>
          </w:tcPr>
          <w:p>
            <w:r/>
            <w:r>
              <w:rPr>
                <w:rFonts w:ascii="Arial" w:hAnsi="Arial"/>
                <w:sz w:val="20"/>
              </w:rPr>
              <w:t>Demo activity audited</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FR-T2-001</w:t>
            </w:r>
          </w:p>
        </w:tc>
        <w:tc>
          <w:tcPr>
            <w:tcW w:type="dxa" w:w="936"/>
          </w:tcPr>
          <w:p>
            <w:r/>
            <w:r>
              <w:rPr>
                <w:rFonts w:ascii="Arial" w:hAnsi="Arial"/>
                <w:sz w:val="20"/>
              </w:rPr>
              <w:t>B1–B4 taxonomy</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FR-T2-002</w:t>
            </w:r>
          </w:p>
        </w:tc>
        <w:tc>
          <w:tcPr>
            <w:tcW w:type="dxa" w:w="936"/>
          </w:tcPr>
          <w:p>
            <w:r/>
            <w:r>
              <w:rPr>
                <w:rFonts w:ascii="Arial" w:hAnsi="Arial"/>
                <w:sz w:val="20"/>
              </w:rPr>
              <w:t>Methodology reference endpoint</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FR-T2-003</w:t>
            </w:r>
          </w:p>
        </w:tc>
        <w:tc>
          <w:tcPr>
            <w:tcW w:type="dxa" w:w="936"/>
          </w:tcPr>
          <w:p>
            <w:r/>
            <w:r>
              <w:rPr>
                <w:rFonts w:ascii="Arial" w:hAnsi="Arial"/>
                <w:sz w:val="20"/>
              </w:rPr>
              <w:t>Discrepancy taxonomy endpoint</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FR-T2-004</w:t>
            </w:r>
          </w:p>
        </w:tc>
        <w:tc>
          <w:tcPr>
            <w:tcW w:type="dxa" w:w="936"/>
          </w:tcPr>
          <w:p>
            <w:r/>
            <w:r>
              <w:rPr>
                <w:rFonts w:ascii="Arial" w:hAnsi="Arial"/>
                <w:sz w:val="20"/>
              </w:rPr>
              <w:t>Cochran sample size</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FR-T2-005</w:t>
            </w:r>
          </w:p>
        </w:tc>
        <w:tc>
          <w:tcPr>
            <w:tcW w:type="dxa" w:w="936"/>
          </w:tcPr>
          <w:p>
            <w:r/>
            <w:r>
              <w:rPr>
                <w:rFonts w:ascii="Arial" w:hAnsi="Arial"/>
                <w:sz w:val="20"/>
              </w:rPr>
              <w:t>Configurable confidence level</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FR-T2-006</w:t>
            </w:r>
          </w:p>
        </w:tc>
        <w:tc>
          <w:tcPr>
            <w:tcW w:type="dxa" w:w="936"/>
          </w:tcPr>
          <w:p>
            <w:r/>
            <w:r>
              <w:rPr>
                <w:rFonts w:ascii="Arial" w:hAnsi="Arial"/>
                <w:sz w:val="20"/>
              </w:rPr>
              <w:t>Configurable margin of error</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FR-T2-007</w:t>
            </w:r>
          </w:p>
        </w:tc>
        <w:tc>
          <w:tcPr>
            <w:tcW w:type="dxa" w:w="936"/>
          </w:tcPr>
          <w:p>
            <w:r/>
            <w:r>
              <w:rPr>
                <w:rFonts w:ascii="Arial" w:hAnsi="Arial"/>
                <w:sz w:val="20"/>
              </w:rPr>
              <w:t>Record sampling parameters</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FR-T2-008</w:t>
            </w:r>
          </w:p>
        </w:tc>
        <w:tc>
          <w:tcPr>
            <w:tcW w:type="dxa" w:w="936"/>
          </w:tcPr>
          <w:p>
            <w:r/>
            <w:r>
              <w:rPr>
                <w:rFonts w:ascii="Arial" w:hAnsi="Arial"/>
                <w:sz w:val="20"/>
              </w:rPr>
              <w:t>T1/T2/T3 routing</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FR-T2-009</w:t>
            </w:r>
          </w:p>
        </w:tc>
        <w:tc>
          <w:tcPr>
            <w:tcW w:type="dxa" w:w="936"/>
          </w:tcPr>
          <w:p>
            <w:r/>
            <w:r>
              <w:rPr>
                <w:rFonts w:ascii="Arial" w:hAnsi="Arial"/>
                <w:sz w:val="20"/>
              </w:rPr>
              <w:t>Escalation triggers</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FR-T2-010</w:t>
            </w:r>
          </w:p>
        </w:tc>
        <w:tc>
          <w:tcPr>
            <w:tcW w:type="dxa" w:w="936"/>
          </w:tcPr>
          <w:p>
            <w:r/>
            <w:r>
              <w:rPr>
                <w:rFonts w:ascii="Arial" w:hAnsi="Arial"/>
                <w:sz w:val="20"/>
              </w:rPr>
              <w:t>Source validation hierarchy</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FR-T2-011</w:t>
            </w:r>
          </w:p>
        </w:tc>
        <w:tc>
          <w:tcPr>
            <w:tcW w:type="dxa" w:w="936"/>
          </w:tcPr>
          <w:p>
            <w:r/>
            <w:r>
              <w:rPr>
                <w:rFonts w:ascii="Arial" w:hAnsi="Arial"/>
                <w:sz w:val="20"/>
              </w:rPr>
              <w:t>Conflict resolution</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I, A</w:t>
            </w:r>
          </w:p>
        </w:tc>
        <w:tc>
          <w:tcPr>
            <w:tcW w:type="dxa" w:w="936"/>
          </w:tcPr>
          <w:p>
            <w:r/>
            <w:r>
              <w:rPr>
                <w:rFonts w:ascii="Arial" w:hAnsi="Arial"/>
                <w:sz w:val="20"/>
              </w:rPr>
              <w:t>CURRENT</w:t>
            </w:r>
          </w:p>
        </w:tc>
      </w:tr>
      <w:tr>
        <w:tc>
          <w:tcPr>
            <w:tcW w:type="dxa" w:w="936"/>
          </w:tcPr>
          <w:p>
            <w:r/>
            <w:r>
              <w:rPr>
                <w:rFonts w:ascii="Arial" w:hAnsi="Arial"/>
                <w:sz w:val="20"/>
              </w:rPr>
              <w:t>FR-T2-012</w:t>
            </w:r>
          </w:p>
        </w:tc>
        <w:tc>
          <w:tcPr>
            <w:tcW w:type="dxa" w:w="936"/>
          </w:tcPr>
          <w:p>
            <w:r/>
            <w:r>
              <w:rPr>
                <w:rFonts w:ascii="Arial" w:hAnsi="Arial"/>
                <w:sz w:val="20"/>
              </w:rPr>
              <w:t>Five-element evidence record</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FR-T2-013</w:t>
            </w:r>
          </w:p>
        </w:tc>
        <w:tc>
          <w:tcPr>
            <w:tcW w:type="dxa" w:w="936"/>
          </w:tcPr>
          <w:p>
            <w:r/>
            <w:r>
              <w:rPr>
                <w:rFonts w:ascii="Arial" w:hAnsi="Arial"/>
                <w:sz w:val="20"/>
              </w:rPr>
              <w:t>Versioned review rules</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3.3.12</w:t>
            </w:r>
          </w:p>
        </w:tc>
        <w:tc>
          <w:tcPr>
            <w:tcW w:type="dxa" w:w="936"/>
          </w:tcPr>
          <w:p>
            <w:r/>
            <w:r>
              <w:rPr>
                <w:rFonts w:ascii="Arial" w:hAnsi="Arial"/>
                <w:sz w:val="20"/>
              </w:rPr>
              <w:t>Registry Module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FR-T2-014</w:t>
            </w:r>
          </w:p>
        </w:tc>
        <w:tc>
          <w:tcPr>
            <w:tcW w:type="dxa" w:w="936"/>
          </w:tcPr>
          <w:p>
            <w:r/>
            <w:r>
              <w:rPr>
                <w:rFonts w:ascii="Arial" w:hAnsi="Arial"/>
                <w:sz w:val="20"/>
              </w:rPr>
              <w:t>Rule authoring admin-only</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FR-T3-001</w:t>
            </w:r>
          </w:p>
        </w:tc>
        <w:tc>
          <w:tcPr>
            <w:tcW w:type="dxa" w:w="936"/>
          </w:tcPr>
          <w:p>
            <w:r/>
            <w:r>
              <w:rPr>
                <w:rFonts w:ascii="Arial" w:hAnsi="Arial"/>
                <w:sz w:val="20"/>
              </w:rPr>
              <w:t>CSV import</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3.3.10</w:t>
            </w:r>
          </w:p>
        </w:tc>
        <w:tc>
          <w:tcPr>
            <w:tcW w:type="dxa" w:w="936"/>
          </w:tcPr>
          <w:p>
            <w:r/>
            <w:r>
              <w:rPr>
                <w:rFonts w:ascii="Arial" w:hAnsi="Arial"/>
                <w:sz w:val="20"/>
              </w:rPr>
              <w:t>Import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FR-T3-002</w:t>
            </w:r>
          </w:p>
        </w:tc>
        <w:tc>
          <w:tcPr>
            <w:tcW w:type="dxa" w:w="936"/>
          </w:tcPr>
          <w:p>
            <w:r/>
            <w:r>
              <w:rPr>
                <w:rFonts w:ascii="Arial" w:hAnsi="Arial"/>
                <w:sz w:val="20"/>
              </w:rPr>
              <w:t>FHIR bundle import</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3.3.10</w:t>
            </w:r>
          </w:p>
        </w:tc>
        <w:tc>
          <w:tcPr>
            <w:tcW w:type="dxa" w:w="936"/>
          </w:tcPr>
          <w:p>
            <w:r/>
            <w:r>
              <w:rPr>
                <w:rFonts w:ascii="Arial" w:hAnsi="Arial"/>
                <w:sz w:val="20"/>
              </w:rPr>
              <w:t>Import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FR-T3-003</w:t>
            </w:r>
          </w:p>
        </w:tc>
        <w:tc>
          <w:tcPr>
            <w:tcW w:type="dxa" w:w="936"/>
          </w:tcPr>
          <w:p>
            <w:r/>
            <w:r>
              <w:rPr>
                <w:rFonts w:ascii="Arial" w:hAnsi="Arial"/>
                <w:sz w:val="20"/>
              </w:rPr>
              <w:t>NPI Luhn validation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FR-T3-004</w:t>
            </w:r>
          </w:p>
        </w:tc>
        <w:tc>
          <w:tcPr>
            <w:tcW w:type="dxa" w:w="936"/>
          </w:tcPr>
          <w:p>
            <w:r/>
            <w:r>
              <w:rPr>
                <w:rFonts w:ascii="Arial" w:hAnsi="Arial"/>
                <w:sz w:val="20"/>
              </w:rPr>
              <w:t>Row-level rejection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3.3.10</w:t>
            </w:r>
          </w:p>
        </w:tc>
        <w:tc>
          <w:tcPr>
            <w:tcW w:type="dxa" w:w="936"/>
          </w:tcPr>
          <w:p>
            <w:r/>
            <w:r>
              <w:rPr>
                <w:rFonts w:ascii="Arial" w:hAnsi="Arial"/>
                <w:sz w:val="20"/>
              </w:rPr>
              <w:t>Import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FR-T3-005</w:t>
            </w:r>
          </w:p>
        </w:tc>
        <w:tc>
          <w:tcPr>
            <w:tcW w:type="dxa" w:w="936"/>
          </w:tcPr>
          <w:p>
            <w:r/>
            <w:r>
              <w:rPr>
                <w:rFonts w:ascii="Arial" w:hAnsi="Arial"/>
                <w:sz w:val="20"/>
              </w:rPr>
              <w:t>Upload injection scan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3.6.5</w:t>
            </w:r>
          </w:p>
        </w:tc>
        <w:tc>
          <w:tcPr>
            <w:tcW w:type="dxa" w:w="936"/>
          </w:tcPr>
          <w:p>
            <w:r/>
            <w:r>
              <w:rPr>
                <w:rFonts w:ascii="Arial" w:hAnsi="Arial"/>
                <w:sz w:val="20"/>
              </w:rPr>
              <w:t>Input Validation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FR-T3-006</w:t>
            </w:r>
          </w:p>
        </w:tc>
        <w:tc>
          <w:tcPr>
            <w:tcW w:type="dxa" w:w="936"/>
          </w:tcPr>
          <w:p>
            <w:r/>
            <w:r>
              <w:rPr>
                <w:rFonts w:ascii="Arial" w:hAnsi="Arial"/>
                <w:sz w:val="20"/>
              </w:rPr>
              <w:t>SHA-256 file checksum</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FR-T3-007</w:t>
            </w:r>
          </w:p>
        </w:tc>
        <w:tc>
          <w:tcPr>
            <w:tcW w:type="dxa" w:w="936"/>
          </w:tcPr>
          <w:p>
            <w:r/>
            <w:r>
              <w:rPr>
                <w:rFonts w:ascii="Arial" w:hAnsi="Arial"/>
                <w:sz w:val="20"/>
              </w:rPr>
              <w:t>Import history always written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3.3.10</w:t>
            </w:r>
          </w:p>
        </w:tc>
        <w:tc>
          <w:tcPr>
            <w:tcW w:type="dxa" w:w="936"/>
          </w:tcPr>
          <w:p>
            <w:r/>
            <w:r>
              <w:rPr>
                <w:rFonts w:ascii="Arial" w:hAnsi="Arial"/>
                <w:sz w:val="20"/>
              </w:rPr>
              <w:t>Import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FR-T3-008</w:t>
            </w:r>
          </w:p>
        </w:tc>
        <w:tc>
          <w:tcPr>
            <w:tcW w:type="dxa" w:w="936"/>
          </w:tcPr>
          <w:p>
            <w:r/>
            <w:r>
              <w:rPr>
                <w:rFonts w:ascii="Arial" w:hAnsi="Arial"/>
                <w:sz w:val="20"/>
              </w:rPr>
              <w:t>NPPES query</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FR-T3-009</w:t>
            </w:r>
          </w:p>
        </w:tc>
        <w:tc>
          <w:tcPr>
            <w:tcW w:type="dxa" w:w="936"/>
          </w:tcPr>
          <w:p>
            <w:r/>
            <w:r>
              <w:rPr>
                <w:rFonts w:ascii="Arial" w:hAnsi="Arial"/>
                <w:sz w:val="20"/>
              </w:rPr>
              <w:t>Enrollment derived from NPPES</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FR-T3-010</w:t>
            </w:r>
          </w:p>
        </w:tc>
        <w:tc>
          <w:tcPr>
            <w:tcW w:type="dxa" w:w="936"/>
          </w:tcPr>
          <w:p>
            <w:r/>
            <w:r>
              <w:rPr>
                <w:rFonts w:ascii="Arial" w:hAnsi="Arial"/>
                <w:sz w:val="20"/>
              </w:rPr>
              <w:t>Payment suspension reported None</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FR-T3-011</w:t>
            </w:r>
          </w:p>
        </w:tc>
        <w:tc>
          <w:tcPr>
            <w:tcW w:type="dxa" w:w="936"/>
          </w:tcPr>
          <w:p>
            <w:r/>
            <w:r>
              <w:rPr>
                <w:rFonts w:ascii="Arial" w:hAnsi="Arial"/>
                <w:sz w:val="20"/>
              </w:rPr>
              <w:t>OIG LEIE query</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FR-T3-012</w:t>
            </w:r>
          </w:p>
        </w:tc>
        <w:tc>
          <w:tcPr>
            <w:tcW w:type="dxa" w:w="936"/>
          </w:tcPr>
          <w:p>
            <w:r/>
            <w:r>
              <w:rPr>
                <w:rFonts w:ascii="Arial" w:hAnsi="Arial"/>
                <w:sz w:val="20"/>
              </w:rPr>
              <w:t>SAM.gov query</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T</w:t>
            </w:r>
          </w:p>
        </w:tc>
        <w:tc>
          <w:tcPr>
            <w:tcW w:type="dxa" w:w="936"/>
          </w:tcPr>
          <w:p>
            <w:r/>
            <w:r>
              <w:rPr>
                <w:rFonts w:ascii="Arial" w:hAnsi="Arial"/>
                <w:sz w:val="20"/>
              </w:rPr>
              <w:t>DEGRADED</w:t>
            </w:r>
          </w:p>
        </w:tc>
      </w:tr>
      <w:tr>
        <w:tc>
          <w:tcPr>
            <w:tcW w:type="dxa" w:w="936"/>
          </w:tcPr>
          <w:p>
            <w:r/>
            <w:r>
              <w:rPr>
                <w:rFonts w:ascii="Arial" w:hAnsi="Arial"/>
                <w:sz w:val="20"/>
              </w:rPr>
              <w:t>FR-T3-013</w:t>
            </w:r>
          </w:p>
        </w:tc>
        <w:tc>
          <w:tcPr>
            <w:tcW w:type="dxa" w:w="936"/>
          </w:tcPr>
          <w:p>
            <w:r/>
            <w:r>
              <w:rPr>
                <w:rFonts w:ascii="Arial" w:hAnsi="Arial"/>
                <w:sz w:val="20"/>
              </w:rPr>
              <w:t>USPS Pub 28 normalization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FR-T3-014</w:t>
            </w:r>
          </w:p>
        </w:tc>
        <w:tc>
          <w:tcPr>
            <w:tcW w:type="dxa" w:w="936"/>
          </w:tcPr>
          <w:p>
            <w:r/>
            <w:r>
              <w:rPr>
                <w:rFonts w:ascii="Arial" w:hAnsi="Arial"/>
                <w:sz w:val="20"/>
              </w:rPr>
              <w:t>USPS v3 OAuth verification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FR-T3-015</w:t>
            </w:r>
          </w:p>
        </w:tc>
        <w:tc>
          <w:tcPr>
            <w:tcW w:type="dxa" w:w="936"/>
          </w:tcPr>
          <w:p>
            <w:r/>
            <w:r>
              <w:rPr>
                <w:rFonts w:ascii="Arial" w:hAnsi="Arial"/>
                <w:sz w:val="20"/>
              </w:rPr>
              <w:t>Jaro-Winkler matching</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FR-T3-016</w:t>
            </w:r>
          </w:p>
        </w:tc>
        <w:tc>
          <w:tcPr>
            <w:tcW w:type="dxa" w:w="936"/>
          </w:tcPr>
          <w:p>
            <w:r/>
            <w:r>
              <w:rPr>
                <w:rFonts w:ascii="Arial" w:hAnsi="Arial"/>
                <w:sz w:val="20"/>
              </w:rPr>
              <w:t>B1–B4 classification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FR-T3-017</w:t>
            </w:r>
          </w:p>
        </w:tc>
        <w:tc>
          <w:tcPr>
            <w:tcW w:type="dxa" w:w="936"/>
          </w:tcPr>
          <w:p>
            <w:r/>
            <w:r>
              <w:rPr>
                <w:rFonts w:ascii="Arial" w:hAnsi="Arial"/>
                <w:sz w:val="20"/>
              </w:rPr>
              <w:t>MOCK never auto-B1</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NF-Rel</w:t>
            </w:r>
          </w:p>
        </w:tc>
        <w:tc>
          <w:tcPr>
            <w:tcW w:type="dxa" w:w="936"/>
          </w:tcPr>
          <w:p>
            <w:r/>
            <w:r>
              <w:rPr>
                <w:rFonts w:ascii="Arial" w:hAnsi="Arial"/>
                <w:sz w:val="20"/>
              </w:rPr>
              <w:t>High</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FR-T3-018</w:t>
            </w:r>
          </w:p>
        </w:tc>
        <w:tc>
          <w:tcPr>
            <w:tcW w:type="dxa" w:w="936"/>
          </w:tcPr>
          <w:p>
            <w:r/>
            <w:r>
              <w:rPr>
                <w:rFonts w:ascii="Arial" w:hAnsi="Arial"/>
                <w:sz w:val="20"/>
              </w:rPr>
              <w:t>Tier assignment</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FR-T3-019</w:t>
            </w:r>
          </w:p>
        </w:tc>
        <w:tc>
          <w:tcPr>
            <w:tcW w:type="dxa" w:w="936"/>
          </w:tcPr>
          <w:p>
            <w:r/>
            <w:r>
              <w:rPr>
                <w:rFonts w:ascii="Arial" w:hAnsi="Arial"/>
                <w:sz w:val="20"/>
              </w:rPr>
              <w:t>Tier-2 analyst queue</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FR-T3-020</w:t>
            </w:r>
          </w:p>
        </w:tc>
        <w:tc>
          <w:tcPr>
            <w:tcW w:type="dxa" w:w="936"/>
          </w:tcPr>
          <w:p>
            <w:r/>
            <w:r>
              <w:rPr>
                <w:rFonts w:ascii="Arial" w:hAnsi="Arial"/>
                <w:sz w:val="20"/>
              </w:rPr>
              <w:t>Tier-3 escalation queue</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FR-T3-021</w:t>
            </w:r>
          </w:p>
        </w:tc>
        <w:tc>
          <w:tcPr>
            <w:tcW w:type="dxa" w:w="936"/>
          </w:tcPr>
          <w:p>
            <w:r/>
            <w:r>
              <w:rPr>
                <w:rFonts w:ascii="Arial" w:hAnsi="Arial"/>
                <w:sz w:val="20"/>
              </w:rPr>
              <w:t>Manual bucket override</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FR-T3-022</w:t>
            </w:r>
          </w:p>
        </w:tc>
        <w:tc>
          <w:tcPr>
            <w:tcW w:type="dxa" w:w="936"/>
          </w:tcPr>
          <w:p>
            <w:r/>
            <w:r>
              <w:rPr>
                <w:rFonts w:ascii="Arial" w:hAnsi="Arial"/>
                <w:sz w:val="20"/>
              </w:rPr>
              <w:t>Record escalation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FR-T3-023</w:t>
            </w:r>
          </w:p>
        </w:tc>
        <w:tc>
          <w:tcPr>
            <w:tcW w:type="dxa" w:w="936"/>
          </w:tcPr>
          <w:p>
            <w:r/>
            <w:r>
              <w:rPr>
                <w:rFonts w:ascii="Arial" w:hAnsi="Arial"/>
                <w:sz w:val="20"/>
              </w:rPr>
              <w:t>Reproducible sampling</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FR-T3-024</w:t>
            </w:r>
          </w:p>
        </w:tc>
        <w:tc>
          <w:tcPr>
            <w:tcW w:type="dxa" w:w="936"/>
          </w:tcPr>
          <w:p>
            <w:r/>
            <w:r>
              <w:rPr>
                <w:rFonts w:ascii="Arial" w:hAnsi="Arial"/>
                <w:sz w:val="20"/>
              </w:rPr>
              <w:t>Sample membership persisted</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FR-T3-025</w:t>
            </w:r>
          </w:p>
        </w:tc>
        <w:tc>
          <w:tcPr>
            <w:tcW w:type="dxa" w:w="936"/>
          </w:tcPr>
          <w:p>
            <w:r/>
            <w:r>
              <w:rPr>
                <w:rFonts w:ascii="Arial" w:hAnsi="Arial"/>
                <w:sz w:val="20"/>
              </w:rPr>
              <w:t>Sample completion stats</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FR-T3-026</w:t>
            </w:r>
          </w:p>
        </w:tc>
        <w:tc>
          <w:tcPr>
            <w:tcW w:type="dxa" w:w="936"/>
          </w:tcPr>
          <w:p>
            <w:r/>
            <w:r>
              <w:rPr>
                <w:rFonts w:ascii="Arial" w:hAnsi="Arial"/>
                <w:sz w:val="20"/>
              </w:rPr>
              <w:t>QHIN volume prioritization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A, I</w:t>
            </w:r>
          </w:p>
        </w:tc>
        <w:tc>
          <w:tcPr>
            <w:tcW w:type="dxa" w:w="936"/>
          </w:tcPr>
          <w:p>
            <w:r/>
            <w:r>
              <w:rPr>
                <w:rFonts w:ascii="Arial" w:hAnsi="Arial"/>
                <w:sz w:val="20"/>
              </w:rPr>
              <w:t>**VERIFICATION REQUIRED**</w:t>
            </w:r>
          </w:p>
        </w:tc>
      </w:tr>
      <w:tr>
        <w:tc>
          <w:tcPr>
            <w:tcW w:type="dxa" w:w="936"/>
          </w:tcPr>
          <w:p>
            <w:r/>
            <w:r>
              <w:rPr>
                <w:rFonts w:ascii="Arial" w:hAnsi="Arial"/>
                <w:sz w:val="20"/>
              </w:rPr>
              <w:t>FR-T3-027</w:t>
            </w:r>
          </w:p>
        </w:tc>
        <w:tc>
          <w:tcPr>
            <w:tcW w:type="dxa" w:w="936"/>
          </w:tcPr>
          <w:p>
            <w:r/>
            <w:r>
              <w:rPr>
                <w:rFonts w:ascii="Arial" w:hAnsi="Arial"/>
                <w:sz w:val="20"/>
              </w:rPr>
              <w:t>Weekly stratified reports</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FR-T3-028</w:t>
            </w:r>
          </w:p>
        </w:tc>
        <w:tc>
          <w:tcPr>
            <w:tcW w:type="dxa" w:w="936"/>
          </w:tcPr>
          <w:p>
            <w:r/>
            <w:r>
              <w:rPr>
                <w:rFonts w:ascii="Arial" w:hAnsi="Arial"/>
                <w:sz w:val="20"/>
              </w:rPr>
              <w:t>PDF/DOCX/CSV/XLSX export</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FR-T3-029</w:t>
            </w:r>
          </w:p>
        </w:tc>
        <w:tc>
          <w:tcPr>
            <w:tcW w:type="dxa" w:w="936"/>
          </w:tcPr>
          <w:p>
            <w:r/>
            <w:r>
              <w:rPr>
                <w:rFonts w:ascii="Arial" w:hAnsi="Arial"/>
                <w:sz w:val="20"/>
              </w:rPr>
              <w:t>HTML report rendering</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FR-T3-030</w:t>
            </w:r>
          </w:p>
        </w:tc>
        <w:tc>
          <w:tcPr>
            <w:tcW w:type="dxa" w:w="936"/>
          </w:tcPr>
          <w:p>
            <w:r/>
            <w:r>
              <w:rPr>
                <w:rFonts w:ascii="Arial" w:hAnsi="Arial"/>
                <w:sz w:val="20"/>
              </w:rPr>
              <w:t>Verification audit trail</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FR-T3-031</w:t>
            </w:r>
          </w:p>
        </w:tc>
        <w:tc>
          <w:tcPr>
            <w:tcW w:type="dxa" w:w="936"/>
          </w:tcPr>
          <w:p>
            <w:r/>
            <w:r>
              <w:rPr>
                <w:rFonts w:ascii="Arial" w:hAnsi="Arial"/>
                <w:sz w:val="20"/>
              </w:rPr>
              <w:t>Connector invocation logging</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FR-T3-032</w:t>
            </w:r>
          </w:p>
        </w:tc>
        <w:tc>
          <w:tcPr>
            <w:tcW w:type="dxa" w:w="936"/>
          </w:tcPr>
          <w:p>
            <w:r/>
            <w:r>
              <w:rPr>
                <w:rFonts w:ascii="Arial" w:hAnsi="Arial"/>
                <w:sz w:val="20"/>
              </w:rPr>
              <w:t>Source response caching</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NF-Perf</w:t>
            </w:r>
          </w:p>
        </w:tc>
        <w:tc>
          <w:tcPr>
            <w:tcW w:type="dxa" w:w="936"/>
          </w:tcPr>
          <w:p>
            <w:r/>
            <w:r>
              <w:rPr>
                <w:rFonts w:ascii="Arial" w:hAnsi="Arial"/>
                <w:sz w:val="20"/>
              </w:rPr>
              <w:t>Med</w:t>
            </w:r>
          </w:p>
        </w:tc>
        <w:tc>
          <w:tcPr>
            <w:tcW w:type="dxa" w:w="936"/>
          </w:tcPr>
          <w:p>
            <w:r/>
            <w:r>
              <w:rPr>
                <w:rFonts w:ascii="Arial" w:hAnsi="Arial"/>
                <w:sz w:val="20"/>
              </w:rPr>
              <w:t>3.8</w:t>
            </w:r>
          </w:p>
        </w:tc>
        <w:tc>
          <w:tcPr>
            <w:tcW w:type="dxa" w:w="936"/>
          </w:tcPr>
          <w:p>
            <w:r/>
            <w:r>
              <w:rPr>
                <w:rFonts w:ascii="Arial" w:hAnsi="Arial"/>
                <w:sz w:val="20"/>
              </w:rPr>
              <w:t>Performance</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FR-T3-033</w:t>
            </w:r>
          </w:p>
        </w:tc>
        <w:tc>
          <w:tcPr>
            <w:tcW w:type="dxa" w:w="936"/>
          </w:tcPr>
          <w:p>
            <w:r/>
            <w:r>
              <w:rPr>
                <w:rFonts w:ascii="Arial" w:hAnsi="Arial"/>
                <w:sz w:val="20"/>
              </w:rPr>
              <w:t>Findings with reason codes</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FR-T3-034</w:t>
            </w:r>
          </w:p>
        </w:tc>
        <w:tc>
          <w:tcPr>
            <w:tcW w:type="dxa" w:w="936"/>
          </w:tcPr>
          <w:p>
            <w:r/>
            <w:r>
              <w:rPr>
                <w:rFonts w:ascii="Arial" w:hAnsi="Arial"/>
                <w:sz w:val="20"/>
              </w:rPr>
              <w:t>Final retrospective report</w:t>
            </w:r>
          </w:p>
        </w:tc>
        <w:tc>
          <w:tcPr>
            <w:tcW w:type="dxa" w:w="936"/>
          </w:tcPr>
          <w:p>
            <w:r/>
            <w:r>
              <w:rPr>
                <w:rFonts w:ascii="Arial" w:hAnsi="Arial"/>
                <w:sz w:val="20"/>
              </w:rPr>
              <w:t>T3</w:t>
            </w:r>
          </w:p>
        </w:tc>
        <w:tc>
          <w:tcPr>
            <w:tcW w:type="dxa" w:w="936"/>
          </w:tcPr>
          <w:p>
            <w:r/>
            <w:r>
              <w:rPr>
                <w:rFonts w:ascii="Arial" w:hAnsi="Arial"/>
                <w:sz w:val="20"/>
              </w:rPr>
              <w:t>3.2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FR-T4-001</w:t>
            </w:r>
          </w:p>
        </w:tc>
        <w:tc>
          <w:tcPr>
            <w:tcW w:type="dxa" w:w="936"/>
          </w:tcPr>
          <w:p>
            <w:r/>
            <w:r>
              <w:rPr>
                <w:rFonts w:ascii="Arial" w:hAnsi="Arial"/>
                <w:sz w:val="20"/>
              </w:rPr>
              <w:t>Continuous ingestion</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3.3.10</w:t>
            </w:r>
          </w:p>
        </w:tc>
        <w:tc>
          <w:tcPr>
            <w:tcW w:type="dxa" w:w="936"/>
          </w:tcPr>
          <w:p>
            <w:r/>
            <w:r>
              <w:rPr>
                <w:rFonts w:ascii="Arial" w:hAnsi="Arial"/>
                <w:sz w:val="20"/>
              </w:rPr>
              <w:t>Import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FR-T4-002</w:t>
            </w:r>
          </w:p>
        </w:tc>
        <w:tc>
          <w:tcPr>
            <w:tcW w:type="dxa" w:w="936"/>
          </w:tcPr>
          <w:p>
            <w:r/>
            <w:r>
              <w:rPr>
                <w:rFonts w:ascii="Arial" w:hAnsi="Arial"/>
                <w:sz w:val="20"/>
              </w:rPr>
              <w:t>Same verification pipeline</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FR-T4-003</w:t>
            </w:r>
          </w:p>
        </w:tc>
        <w:tc>
          <w:tcPr>
            <w:tcW w:type="dxa" w:w="936"/>
          </w:tcPr>
          <w:p>
            <w:r/>
            <w:r>
              <w:rPr>
                <w:rFonts w:ascii="Arial" w:hAnsi="Arial"/>
                <w:sz w:val="20"/>
              </w:rPr>
              <w:t>Same tier workflow</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FR-T4-004</w:t>
            </w:r>
          </w:p>
        </w:tc>
        <w:tc>
          <w:tcPr>
            <w:tcW w:type="dxa" w:w="936"/>
          </w:tcPr>
          <w:p>
            <w:r/>
            <w:r>
              <w:rPr>
                <w:rFonts w:ascii="Arial" w:hAnsi="Arial"/>
                <w:sz w:val="20"/>
              </w:rPr>
              <w:t>TASK4_ONGOING cycle type</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FR-T4-005</w:t>
            </w:r>
          </w:p>
        </w:tc>
        <w:tc>
          <w:tcPr>
            <w:tcW w:type="dxa" w:w="936"/>
          </w:tcPr>
          <w:p>
            <w:r/>
            <w:r>
              <w:rPr>
                <w:rFonts w:ascii="Arial" w:hAnsi="Arial"/>
                <w:sz w:val="20"/>
              </w:rPr>
              <w:t>Bi-weekly reports</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FR-T4-006</w:t>
            </w:r>
          </w:p>
        </w:tc>
        <w:tc>
          <w:tcPr>
            <w:tcW w:type="dxa" w:w="936"/>
          </w:tcPr>
          <w:p>
            <w:r/>
            <w:r>
              <w:rPr>
                <w:rFonts w:ascii="Arial" w:hAnsi="Arial"/>
                <w:sz w:val="20"/>
              </w:rPr>
              <w:t>Bi-weekly gated to qalead</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FR-T4-007</w:t>
            </w:r>
          </w:p>
        </w:tc>
        <w:tc>
          <w:tcPr>
            <w:tcW w:type="dxa" w:w="936"/>
          </w:tcPr>
          <w:p>
            <w:r/>
            <w:r>
              <w:rPr>
                <w:rFonts w:ascii="Arial" w:hAnsi="Arial"/>
                <w:sz w:val="20"/>
              </w:rPr>
              <w:t>New vs returning entities</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3.3.11</w:t>
            </w:r>
          </w:p>
        </w:tc>
        <w:tc>
          <w:tcPr>
            <w:tcW w:type="dxa" w:w="936"/>
          </w:tcPr>
          <w:p>
            <w:r/>
            <w:r>
              <w:rPr>
                <w:rFonts w:ascii="Arial" w:hAnsi="Arial"/>
                <w:sz w:val="20"/>
              </w:rPr>
              <w:t>State Machine</w:t>
            </w:r>
          </w:p>
        </w:tc>
        <w:tc>
          <w:tcPr>
            <w:tcW w:type="dxa" w:w="936"/>
          </w:tcPr>
          <w:p>
            <w:r/>
            <w:r>
              <w:rPr>
                <w:rFonts w:ascii="Arial" w:hAnsi="Arial"/>
                <w:sz w:val="20"/>
              </w:rPr>
              <w:t>T</w:t>
            </w:r>
          </w:p>
        </w:tc>
        <w:tc>
          <w:tcPr>
            <w:tcW w:type="dxa" w:w="936"/>
          </w:tcPr>
          <w:p>
            <w:r/>
            <w:r>
              <w:rPr>
                <w:rFonts w:ascii="Arial" w:hAnsi="Arial"/>
                <w:sz w:val="20"/>
              </w:rPr>
              <w:t>**VERIFICATION REQUIRED**</w:t>
            </w:r>
          </w:p>
        </w:tc>
      </w:tr>
      <w:tr>
        <w:tc>
          <w:tcPr>
            <w:tcW w:type="dxa" w:w="936"/>
          </w:tcPr>
          <w:p>
            <w:r/>
            <w:r>
              <w:rPr>
                <w:rFonts w:ascii="Arial" w:hAnsi="Arial"/>
                <w:sz w:val="20"/>
              </w:rPr>
              <w:t>FR-T4-008</w:t>
            </w:r>
          </w:p>
        </w:tc>
        <w:tc>
          <w:tcPr>
            <w:tcW w:type="dxa" w:w="936"/>
          </w:tcPr>
          <w:p>
            <w:r/>
            <w:r>
              <w:rPr>
                <w:rFonts w:ascii="Arial" w:hAnsi="Arial"/>
                <w:sz w:val="20"/>
              </w:rPr>
              <w:t>Cycle metrics</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FR-T4-009</w:t>
            </w:r>
          </w:p>
        </w:tc>
        <w:tc>
          <w:tcPr>
            <w:tcW w:type="dxa" w:w="936"/>
          </w:tcPr>
          <w:p>
            <w:r/>
            <w:r>
              <w:rPr>
                <w:rFonts w:ascii="Arial" w:hAnsi="Arial"/>
                <w:sz w:val="20"/>
              </w:rPr>
              <w:t>Cycle listing</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FR-T4-010</w:t>
            </w:r>
          </w:p>
        </w:tc>
        <w:tc>
          <w:tcPr>
            <w:tcW w:type="dxa" w:w="936"/>
          </w:tcPr>
          <w:p>
            <w:r/>
            <w:r>
              <w:rPr>
                <w:rFonts w:ascii="Arial" w:hAnsi="Arial"/>
                <w:sz w:val="20"/>
              </w:rPr>
              <w:t>Per-cycle statistics</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FR-T4-011</w:t>
            </w:r>
          </w:p>
        </w:tc>
        <w:tc>
          <w:tcPr>
            <w:tcW w:type="dxa" w:w="936"/>
          </w:tcPr>
          <w:p>
            <w:r/>
            <w:r>
              <w:rPr>
                <w:rFonts w:ascii="Arial" w:hAnsi="Arial"/>
                <w:sz w:val="20"/>
              </w:rPr>
              <w:t>New submissions surfaced</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FR-T4-012</w:t>
            </w:r>
          </w:p>
        </w:tc>
        <w:tc>
          <w:tcPr>
            <w:tcW w:type="dxa" w:w="936"/>
          </w:tcPr>
          <w:p>
            <w:r/>
            <w:r>
              <w:rPr>
                <w:rFonts w:ascii="Arial" w:hAnsi="Arial"/>
                <w:sz w:val="20"/>
              </w:rPr>
              <w:t>Entity version history</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4.2</w:t>
            </w:r>
          </w:p>
        </w:tc>
        <w:tc>
          <w:tcPr>
            <w:tcW w:type="dxa" w:w="936"/>
          </w:tcPr>
          <w:p>
            <w:r/>
            <w:r>
              <w:rPr>
                <w:rFonts w:ascii="Arial" w:hAnsi="Arial"/>
                <w:sz w:val="20"/>
              </w:rPr>
              <w:t>Database Design</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FR-T5-001</w:t>
            </w:r>
          </w:p>
        </w:tc>
        <w:tc>
          <w:tcPr>
            <w:tcW w:type="dxa" w:w="936"/>
          </w:tcPr>
          <w:p>
            <w:r/>
            <w:r>
              <w:rPr>
                <w:rFonts w:ascii="Arial" w:hAnsi="Arial"/>
                <w:sz w:val="20"/>
              </w:rPr>
              <w:t>Ad-hoc priority verification</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FR-T5-002</w:t>
            </w:r>
          </w:p>
        </w:tc>
        <w:tc>
          <w:tcPr>
            <w:tcW w:type="dxa" w:w="936"/>
          </w:tcPr>
          <w:p>
            <w:r/>
            <w:r>
              <w:rPr>
                <w:rFonts w:ascii="Arial" w:hAnsi="Arial"/>
                <w:sz w:val="20"/>
              </w:rPr>
              <w:t>TASK5_PRIORITY cycle type</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FR-T5-003</w:t>
            </w:r>
          </w:p>
        </w:tc>
        <w:tc>
          <w:tcPr>
            <w:tcW w:type="dxa" w:w="936"/>
          </w:tcPr>
          <w:p>
            <w:r/>
            <w:r>
              <w:rPr>
                <w:rFonts w:ascii="Arial" w:hAnsi="Arial"/>
                <w:sz w:val="20"/>
              </w:rPr>
              <w:t>Severity assessment</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FR-T5-004</w:t>
            </w:r>
          </w:p>
        </w:tc>
        <w:tc>
          <w:tcPr>
            <w:tcW w:type="dxa" w:w="936"/>
          </w:tcPr>
          <w:p>
            <w:r/>
            <w:r>
              <w:rPr>
                <w:rFonts w:ascii="Arial" w:hAnsi="Arial"/>
                <w:sz w:val="20"/>
              </w:rPr>
              <w:t>Full-pipeline execution</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FR-T5-005</w:t>
            </w:r>
          </w:p>
        </w:tc>
        <w:tc>
          <w:tcPr>
            <w:tcW w:type="dxa" w:w="936"/>
          </w:tcPr>
          <w:p>
            <w:r/>
            <w:r>
              <w:rPr>
                <w:rFonts w:ascii="Arial" w:hAnsi="Arial"/>
                <w:sz w:val="20"/>
              </w:rPr>
              <w:t>Review due dates</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FR-T5-006</w:t>
            </w:r>
          </w:p>
        </w:tc>
        <w:tc>
          <w:tcPr>
            <w:tcW w:type="dxa" w:w="936"/>
          </w:tcPr>
          <w:p>
            <w:r/>
            <w:r>
              <w:rPr>
                <w:rFonts w:ascii="Arial" w:hAnsi="Arial"/>
                <w:sz w:val="20"/>
              </w:rPr>
              <w:t>Overdue classification</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FR-T5-007</w:t>
            </w:r>
          </w:p>
        </w:tc>
        <w:tc>
          <w:tcPr>
            <w:tcW w:type="dxa" w:w="936"/>
          </w:tcPr>
          <w:p>
            <w:r/>
            <w:r>
              <w:rPr>
                <w:rFonts w:ascii="Arial" w:hAnsi="Arial"/>
                <w:sz w:val="20"/>
              </w:rPr>
              <w:t>At-risk classification (≤2 days)</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FR-T5-008</w:t>
            </w:r>
          </w:p>
        </w:tc>
        <w:tc>
          <w:tcPr>
            <w:tcW w:type="dxa" w:w="936"/>
          </w:tcPr>
          <w:p>
            <w:r/>
            <w:r>
              <w:rPr>
                <w:rFonts w:ascii="Arial" w:hAnsi="Arial"/>
                <w:sz w:val="20"/>
              </w:rPr>
              <w:t>Priority dashboard with SLA bands</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4.5</w:t>
            </w:r>
          </w:p>
        </w:tc>
        <w:tc>
          <w:tcPr>
            <w:tcW w:type="dxa" w:w="936"/>
          </w:tcPr>
          <w:p>
            <w:r/>
            <w:r>
              <w:rPr>
                <w:rFonts w:ascii="Arial" w:hAnsi="Arial"/>
                <w:sz w:val="20"/>
              </w:rPr>
              <w:t>Frontend</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FR-T5-009</w:t>
            </w:r>
          </w:p>
        </w:tc>
        <w:tc>
          <w:tcPr>
            <w:tcW w:type="dxa" w:w="936"/>
          </w:tcPr>
          <w:p>
            <w:r/>
            <w:r>
              <w:rPr>
                <w:rFonts w:ascii="Arial" w:hAnsi="Arial"/>
                <w:sz w:val="20"/>
              </w:rPr>
              <w:t>Per-case priority report</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FR-T5-010</w:t>
            </w:r>
          </w:p>
        </w:tc>
        <w:tc>
          <w:tcPr>
            <w:tcW w:type="dxa" w:w="936"/>
          </w:tcPr>
          <w:p>
            <w:r/>
            <w:r>
              <w:rPr>
                <w:rFonts w:ascii="Arial" w:hAnsi="Arial"/>
                <w:sz w:val="20"/>
              </w:rPr>
              <w:t>Root cause analysis</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D</w:t>
            </w:r>
          </w:p>
        </w:tc>
        <w:tc>
          <w:tcPr>
            <w:tcW w:type="dxa" w:w="936"/>
          </w:tcPr>
          <w:p>
            <w:r/>
            <w:r>
              <w:rPr>
                <w:rFonts w:ascii="Arial" w:hAnsi="Arial"/>
                <w:sz w:val="20"/>
              </w:rPr>
              <w:t>CURRENT</w:t>
            </w:r>
          </w:p>
        </w:tc>
      </w:tr>
      <w:tr>
        <w:tc>
          <w:tcPr>
            <w:tcW w:type="dxa" w:w="936"/>
          </w:tcPr>
          <w:p>
            <w:r/>
            <w:r>
              <w:rPr>
                <w:rFonts w:ascii="Arial" w:hAnsi="Arial"/>
                <w:sz w:val="20"/>
              </w:rPr>
              <w:t>FR-T5-011</w:t>
            </w:r>
          </w:p>
        </w:tc>
        <w:tc>
          <w:tcPr>
            <w:tcW w:type="dxa" w:w="936"/>
          </w:tcPr>
          <w:p>
            <w:r/>
            <w:r>
              <w:rPr>
                <w:rFonts w:ascii="Arial" w:hAnsi="Arial"/>
                <w:sz w:val="20"/>
              </w:rPr>
              <w:t>Creation/execution role split</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FR-T6-001</w:t>
            </w:r>
          </w:p>
        </w:tc>
        <w:tc>
          <w:tcPr>
            <w:tcW w:type="dxa" w:w="936"/>
          </w:tcPr>
          <w:p>
            <w:r/>
            <w:r>
              <w:rPr>
                <w:rFonts w:ascii="Arial" w:hAnsi="Arial"/>
                <w:sz w:val="20"/>
              </w:rPr>
              <w:t>Final comprehensive report</w:t>
            </w:r>
          </w:p>
        </w:tc>
        <w:tc>
          <w:tcPr>
            <w:tcW w:type="dxa" w:w="936"/>
          </w:tcPr>
          <w:p>
            <w:r/>
            <w:r>
              <w:rPr>
                <w:rFonts w:ascii="Arial" w:hAnsi="Arial"/>
                <w:sz w:val="20"/>
              </w:rPr>
              <w:t>T6</w:t>
            </w:r>
          </w:p>
        </w:tc>
        <w:tc>
          <w:tcPr>
            <w:tcW w:type="dxa" w:w="936"/>
          </w:tcPr>
          <w:p>
            <w:r/>
            <w:r>
              <w:rPr>
                <w:rFonts w:ascii="Arial" w:hAnsi="Arial"/>
                <w:sz w:val="20"/>
              </w:rPr>
              <w:t>6.1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FR-T6-002</w:t>
            </w:r>
          </w:p>
        </w:tc>
        <w:tc>
          <w:tcPr>
            <w:tcW w:type="dxa" w:w="936"/>
          </w:tcPr>
          <w:p>
            <w:r/>
            <w:r>
              <w:rPr>
                <w:rFonts w:ascii="Arial" w:hAnsi="Arial"/>
                <w:sz w:val="20"/>
              </w:rPr>
              <w:t>Quarterly reports</w:t>
            </w:r>
          </w:p>
        </w:tc>
        <w:tc>
          <w:tcPr>
            <w:tcW w:type="dxa" w:w="936"/>
          </w:tcPr>
          <w:p>
            <w:r/>
            <w:r>
              <w:rPr>
                <w:rFonts w:ascii="Arial" w:hAnsi="Arial"/>
                <w:sz w:val="20"/>
              </w:rPr>
              <w:t>T6</w:t>
            </w:r>
          </w:p>
        </w:tc>
        <w:tc>
          <w:tcPr>
            <w:tcW w:type="dxa" w:w="936"/>
          </w:tcPr>
          <w:p>
            <w:r/>
            <w:r>
              <w:rPr>
                <w:rFonts w:ascii="Arial" w:hAnsi="Arial"/>
                <w:sz w:val="20"/>
              </w:rPr>
              <w:t>6.1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FR-T6-003</w:t>
            </w:r>
          </w:p>
        </w:tc>
        <w:tc>
          <w:tcPr>
            <w:tcW w:type="dxa" w:w="936"/>
          </w:tcPr>
          <w:p>
            <w:r/>
            <w:r>
              <w:rPr>
                <w:rFonts w:ascii="Arial" w:hAnsi="Arial"/>
                <w:sz w:val="20"/>
              </w:rPr>
              <w:t>Final/quarterly gated to PM</w:t>
            </w:r>
          </w:p>
        </w:tc>
        <w:tc>
          <w:tcPr>
            <w:tcW w:type="dxa" w:w="936"/>
          </w:tcPr>
          <w:p>
            <w:r/>
            <w:r>
              <w:rPr>
                <w:rFonts w:ascii="Arial" w:hAnsi="Arial"/>
                <w:sz w:val="20"/>
              </w:rPr>
              <w:t>T6</w:t>
            </w:r>
          </w:p>
        </w:tc>
        <w:tc>
          <w:tcPr>
            <w:tcW w:type="dxa" w:w="936"/>
          </w:tcPr>
          <w:p>
            <w:r/>
            <w:r>
              <w:rPr>
                <w:rFonts w:ascii="Arial" w:hAnsi="Arial"/>
                <w:sz w:val="20"/>
              </w:rPr>
              <w:t>6.1</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FR-T6-004</w:t>
            </w:r>
          </w:p>
        </w:tc>
        <w:tc>
          <w:tcPr>
            <w:tcW w:type="dxa" w:w="936"/>
          </w:tcPr>
          <w:p>
            <w:r/>
            <w:r>
              <w:rPr>
                <w:rFonts w:ascii="Arial" w:hAnsi="Arial"/>
                <w:sz w:val="20"/>
              </w:rPr>
              <w:t>Audit trail export</w:t>
            </w:r>
          </w:p>
        </w:tc>
        <w:tc>
          <w:tcPr>
            <w:tcW w:type="dxa" w:w="936"/>
          </w:tcPr>
          <w:p>
            <w:r/>
            <w:r>
              <w:rPr>
                <w:rFonts w:ascii="Arial" w:hAnsi="Arial"/>
                <w:sz w:val="20"/>
              </w:rPr>
              <w:t>T6</w:t>
            </w:r>
          </w:p>
        </w:tc>
        <w:tc>
          <w:tcPr>
            <w:tcW w:type="dxa" w:w="936"/>
          </w:tcPr>
          <w:p>
            <w:r/>
            <w:r>
              <w:rPr>
                <w:rFonts w:ascii="Arial" w:hAnsi="Arial"/>
                <w:sz w:val="20"/>
              </w:rPr>
              <w:t>6.2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FR-T6-005</w:t>
            </w:r>
          </w:p>
        </w:tc>
        <w:tc>
          <w:tcPr>
            <w:tcW w:type="dxa" w:w="936"/>
          </w:tcPr>
          <w:p>
            <w:r/>
            <w:r>
              <w:rPr>
                <w:rFonts w:ascii="Arial" w:hAnsi="Arial"/>
                <w:sz w:val="20"/>
              </w:rPr>
              <w:t>Machine-readable review export</w:t>
            </w:r>
          </w:p>
        </w:tc>
        <w:tc>
          <w:tcPr>
            <w:tcW w:type="dxa" w:w="936"/>
          </w:tcPr>
          <w:p>
            <w:r/>
            <w:r>
              <w:rPr>
                <w:rFonts w:ascii="Arial" w:hAnsi="Arial"/>
                <w:sz w:val="20"/>
              </w:rPr>
              <w:t>T6</w:t>
            </w:r>
          </w:p>
        </w:tc>
        <w:tc>
          <w:tcPr>
            <w:tcW w:type="dxa" w:w="936"/>
          </w:tcPr>
          <w:p>
            <w:r/>
            <w:r>
              <w:rPr>
                <w:rFonts w:ascii="Arial" w:hAnsi="Arial"/>
                <w:sz w:val="20"/>
              </w:rPr>
              <w:t>6.2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FR-T6-006</w:t>
            </w:r>
          </w:p>
        </w:tc>
        <w:tc>
          <w:tcPr>
            <w:tcW w:type="dxa" w:w="936"/>
          </w:tcPr>
          <w:p>
            <w:r/>
            <w:r>
              <w:rPr>
                <w:rFonts w:ascii="Arial" w:hAnsi="Arial"/>
                <w:sz w:val="20"/>
              </w:rPr>
              <w:t>Retention period</w:t>
            </w:r>
          </w:p>
        </w:tc>
        <w:tc>
          <w:tcPr>
            <w:tcW w:type="dxa" w:w="936"/>
          </w:tcPr>
          <w:p>
            <w:r/>
            <w:r>
              <w:rPr>
                <w:rFonts w:ascii="Arial" w:hAnsi="Arial"/>
                <w:sz w:val="20"/>
              </w:rPr>
              <w:t>T6</w:t>
            </w:r>
          </w:p>
        </w:tc>
        <w:tc>
          <w:tcPr>
            <w:tcW w:type="dxa" w:w="936"/>
          </w:tcPr>
          <w:p>
            <w:r/>
            <w:r>
              <w:rPr>
                <w:rFonts w:ascii="Arial" w:hAnsi="Arial"/>
                <w:sz w:val="20"/>
              </w:rPr>
              <w:t>6.2</w:t>
            </w:r>
          </w:p>
        </w:tc>
        <w:tc>
          <w:tcPr>
            <w:tcW w:type="dxa" w:w="936"/>
          </w:tcPr>
          <w:p>
            <w:r/>
            <w:r>
              <w:rPr>
                <w:rFonts w:ascii="Arial" w:hAnsi="Arial"/>
                <w:sz w:val="20"/>
              </w:rPr>
              <w:t>NF-Comp</w:t>
            </w:r>
          </w:p>
        </w:tc>
        <w:tc>
          <w:tcPr>
            <w:tcW w:type="dxa" w:w="936"/>
          </w:tcPr>
          <w:p>
            <w:r/>
            <w:r>
              <w:rPr>
                <w:rFonts w:ascii="Arial" w:hAnsi="Arial"/>
                <w:sz w:val="20"/>
              </w:rPr>
              <w:t>Med</w:t>
            </w:r>
          </w:p>
        </w:tc>
        <w:tc>
          <w:tcPr>
            <w:tcW w:type="dxa" w:w="936"/>
          </w:tcPr>
          <w:p>
            <w:r/>
            <w:r>
              <w:rPr>
                <w:rFonts w:ascii="Arial" w:hAnsi="Arial"/>
                <w:sz w:val="20"/>
              </w:rPr>
              <w:t>6.3</w:t>
            </w:r>
          </w:p>
        </w:tc>
        <w:tc>
          <w:tcPr>
            <w:tcW w:type="dxa" w:w="936"/>
          </w:tcPr>
          <w:p>
            <w:r/>
            <w:r>
              <w:rPr>
                <w:rFonts w:ascii="Arial" w:hAnsi="Arial"/>
                <w:sz w:val="20"/>
              </w:rPr>
              <w:t>Configuration</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FR-T6-007</w:t>
            </w:r>
          </w:p>
        </w:tc>
        <w:tc>
          <w:tcPr>
            <w:tcW w:type="dxa" w:w="936"/>
          </w:tcPr>
          <w:p>
            <w:r/>
            <w:r>
              <w:rPr>
                <w:rFonts w:ascii="Arial" w:hAnsi="Arial"/>
                <w:sz w:val="20"/>
              </w:rPr>
              <w:t>Report artifact download</w:t>
            </w:r>
          </w:p>
        </w:tc>
        <w:tc>
          <w:tcPr>
            <w:tcW w:type="dxa" w:w="936"/>
          </w:tcPr>
          <w:p>
            <w:r/>
            <w:r>
              <w:rPr>
                <w:rFonts w:ascii="Arial" w:hAnsi="Arial"/>
                <w:sz w:val="20"/>
              </w:rPr>
              <w:t>T6</w:t>
            </w:r>
          </w:p>
        </w:tc>
        <w:tc>
          <w:tcPr>
            <w:tcW w:type="dxa" w:w="936"/>
          </w:tcPr>
          <w:p>
            <w:r/>
            <w:r>
              <w:rPr>
                <w:rFonts w:ascii="Arial" w:hAnsi="Arial"/>
                <w:sz w:val="20"/>
              </w:rPr>
              <w:t>6.2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FR-T6-008</w:t>
            </w:r>
          </w:p>
        </w:tc>
        <w:tc>
          <w:tcPr>
            <w:tcW w:type="dxa" w:w="936"/>
          </w:tcPr>
          <w:p>
            <w:r/>
            <w:r>
              <w:rPr>
                <w:rFonts w:ascii="Arial" w:hAnsi="Arial"/>
                <w:sz w:val="20"/>
              </w:rPr>
              <w:t>Per-user activity trail</w:t>
            </w:r>
          </w:p>
        </w:tc>
        <w:tc>
          <w:tcPr>
            <w:tcW w:type="dxa" w:w="936"/>
          </w:tcPr>
          <w:p>
            <w:r/>
            <w:r>
              <w:rPr>
                <w:rFonts w:ascii="Arial" w:hAnsi="Arial"/>
                <w:sz w:val="20"/>
              </w:rPr>
              <w:t>T6</w:t>
            </w:r>
          </w:p>
        </w:tc>
        <w:tc>
          <w:tcPr>
            <w:tcW w:type="dxa" w:w="936"/>
          </w:tcPr>
          <w:p>
            <w:r/>
            <w:r>
              <w:rPr>
                <w:rFonts w:ascii="Arial" w:hAnsi="Arial"/>
                <w:sz w:val="20"/>
              </w:rPr>
              <w:t>6.2</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FR-CC-001</w:t>
            </w:r>
          </w:p>
        </w:tc>
        <w:tc>
          <w:tcPr>
            <w:tcW w:type="dxa" w:w="936"/>
          </w:tcPr>
          <w:p>
            <w:r/>
            <w:r>
              <w:rPr>
                <w:rFonts w:ascii="Arial" w:hAnsi="Arial"/>
                <w:sz w:val="20"/>
              </w:rPr>
              <w:t>JWT authentication</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FR-CC-002</w:t>
            </w:r>
          </w:p>
        </w:tc>
        <w:tc>
          <w:tcPr>
            <w:tcW w:type="dxa" w:w="936"/>
          </w:tcPr>
          <w:p>
            <w:r/>
            <w:r>
              <w:rPr>
                <w:rFonts w:ascii="Arial" w:hAnsi="Arial"/>
                <w:sz w:val="20"/>
              </w:rPr>
              <w:t>Level-based 8-role RBAC</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FR-CC-003</w:t>
            </w:r>
          </w:p>
        </w:tc>
        <w:tc>
          <w:tcPr>
            <w:tcW w:type="dxa" w:w="936"/>
          </w:tcPr>
          <w:p>
            <w:r/>
            <w:r>
              <w:rPr>
                <w:rFonts w:ascii="Arial" w:hAnsi="Arial"/>
                <w:sz w:val="20"/>
              </w:rPr>
              <w:t>24h admin / 15min user tokens</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FR-CC-004</w:t>
            </w:r>
          </w:p>
        </w:tc>
        <w:tc>
          <w:tcPr>
            <w:tcW w:type="dxa" w:w="936"/>
          </w:tcPr>
          <w:p>
            <w:r/>
            <w:r>
              <w:rPr>
                <w:rFonts w:ascii="Arial" w:hAnsi="Arial"/>
                <w:sz w:val="20"/>
              </w:rPr>
              <w:t>7-day refresh tokens</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Med</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FR-CC-005</w:t>
            </w:r>
          </w:p>
        </w:tc>
        <w:tc>
          <w:tcPr>
            <w:tcW w:type="dxa" w:w="936"/>
          </w:tcPr>
          <w:p>
            <w:r/>
            <w:r>
              <w:rPr>
                <w:rFonts w:ascii="Arial" w:hAnsi="Arial"/>
                <w:sz w:val="20"/>
              </w:rPr>
              <w:t>Revocation-epoch rejection</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FR-CC-006</w:t>
            </w:r>
          </w:p>
        </w:tc>
        <w:tc>
          <w:tcPr>
            <w:tcW w:type="dxa" w:w="936"/>
          </w:tcPr>
          <w:p>
            <w:r/>
            <w:r>
              <w:rPr>
                <w:rFonts w:ascii="Arial" w:hAnsi="Arial"/>
                <w:sz w:val="20"/>
              </w:rPr>
              <w:t>Session termination on change</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FR-CC-007</w:t>
            </w:r>
          </w:p>
        </w:tc>
        <w:tc>
          <w:tcPr>
            <w:tcW w:type="dxa" w:w="936"/>
          </w:tcPr>
          <w:p>
            <w:r/>
            <w:r>
              <w:rPr>
                <w:rFonts w:ascii="Arial" w:hAnsi="Arial"/>
                <w:sz w:val="20"/>
              </w:rPr>
              <w:t>Account state on every request</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FR-CC-008</w:t>
            </w:r>
          </w:p>
        </w:tc>
        <w:tc>
          <w:tcPr>
            <w:tcW w:type="dxa" w:w="936"/>
          </w:tcPr>
          <w:p>
            <w:r/>
            <w:r>
              <w:rPr>
                <w:rFonts w:ascii="Arial" w:hAnsi="Arial"/>
                <w:sz w:val="20"/>
              </w:rPr>
              <w:t>Email verification gate</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FR-CC-009</w:t>
            </w:r>
          </w:p>
        </w:tc>
        <w:tc>
          <w:tcPr>
            <w:tcW w:type="dxa" w:w="936"/>
          </w:tcPr>
          <w:p>
            <w:r/>
            <w:r>
              <w:rPr>
                <w:rFonts w:ascii="Arial" w:hAnsi="Arial"/>
                <w:sz w:val="20"/>
              </w:rPr>
              <w:t>Admin approval gate</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FR-CC-010</w:t>
            </w:r>
          </w:p>
        </w:tc>
        <w:tc>
          <w:tcPr>
            <w:tcW w:type="dxa" w:w="936"/>
          </w:tcPr>
          <w:p>
            <w:r/>
            <w:r>
              <w:rPr>
                <w:rFonts w:ascii="Arial" w:hAnsi="Arial"/>
                <w:sz w:val="20"/>
              </w:rPr>
              <w:t>Login throttle &amp; lockout</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FR-CC-011</w:t>
            </w:r>
          </w:p>
        </w:tc>
        <w:tc>
          <w:tcPr>
            <w:tcW w:type="dxa" w:w="936"/>
          </w:tcPr>
          <w:p>
            <w:r/>
            <w:r>
              <w:rPr>
                <w:rFonts w:ascii="Arial" w:hAnsi="Arial"/>
                <w:sz w:val="20"/>
              </w:rPr>
              <w:t>Constant-time login path</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FR-CC-012</w:t>
            </w:r>
          </w:p>
        </w:tc>
        <w:tc>
          <w:tcPr>
            <w:tcW w:type="dxa" w:w="936"/>
          </w:tcPr>
          <w:p>
            <w:r/>
            <w:r>
              <w:rPr>
                <w:rFonts w:ascii="Arial" w:hAnsi="Arial"/>
                <w:sz w:val="20"/>
              </w:rPr>
              <w:t>User mgmt admin-only</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FR-CC-013</w:t>
            </w:r>
          </w:p>
        </w:tc>
        <w:tc>
          <w:tcPr>
            <w:tcW w:type="dxa" w:w="936"/>
          </w:tcPr>
          <w:p>
            <w:r/>
            <w:r>
              <w:rPr>
                <w:rFonts w:ascii="Arial" w:hAnsi="Arial"/>
                <w:sz w:val="20"/>
              </w:rPr>
              <w:t>Super-admin gate on admin role</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FR-CC-014</w:t>
            </w:r>
          </w:p>
        </w:tc>
        <w:tc>
          <w:tcPr>
            <w:tcW w:type="dxa" w:w="936"/>
          </w:tcPr>
          <w:p>
            <w:r/>
            <w:r>
              <w:rPr>
                <w:rFonts w:ascii="Arial" w:hAnsi="Arial"/>
                <w:sz w:val="20"/>
              </w:rPr>
              <w:t>All 8 roles assignable</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FR-CC-015</w:t>
            </w:r>
          </w:p>
        </w:tc>
        <w:tc>
          <w:tcPr>
            <w:tcW w:type="dxa" w:w="936"/>
          </w:tcPr>
          <w:p>
            <w:r/>
            <w:r>
              <w:rPr>
                <w:rFonts w:ascii="Arial" w:hAnsi="Arial"/>
                <w:sz w:val="20"/>
              </w:rPr>
              <w:t>Audited bulk role assignment</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FR-CC-016</w:t>
            </w:r>
          </w:p>
        </w:tc>
        <w:tc>
          <w:tcPr>
            <w:tcW w:type="dxa" w:w="936"/>
          </w:tcPr>
          <w:p>
            <w:r/>
            <w:r>
              <w:rPr>
                <w:rFonts w:ascii="Arial" w:hAnsi="Arial"/>
                <w:sz w:val="20"/>
              </w:rPr>
              <w:t>No privilege from email domain</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 I</w:t>
            </w:r>
          </w:p>
        </w:tc>
        <w:tc>
          <w:tcPr>
            <w:tcW w:type="dxa" w:w="936"/>
          </w:tcPr>
          <w:p>
            <w:r/>
            <w:r>
              <w:rPr>
                <w:rFonts w:ascii="Arial" w:hAnsi="Arial"/>
                <w:sz w:val="20"/>
              </w:rPr>
              <w:t>CURRENT</w:t>
            </w:r>
          </w:p>
        </w:tc>
      </w:tr>
      <w:tr>
        <w:tc>
          <w:tcPr>
            <w:tcW w:type="dxa" w:w="936"/>
          </w:tcPr>
          <w:p>
            <w:r/>
            <w:r>
              <w:rPr>
                <w:rFonts w:ascii="Arial" w:hAnsi="Arial"/>
                <w:sz w:val="20"/>
              </w:rPr>
              <w:t>FR-CC-017</w:t>
            </w:r>
          </w:p>
        </w:tc>
        <w:tc>
          <w:tcPr>
            <w:tcW w:type="dxa" w:w="936"/>
          </w:tcPr>
          <w:p>
            <w:r/>
            <w:r>
              <w:rPr>
                <w:rFonts w:ascii="Arial" w:hAnsi="Arial"/>
                <w:sz w:val="20"/>
              </w:rPr>
              <w:t>Role-based default modules</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FR-CC-018</w:t>
            </w:r>
          </w:p>
        </w:tc>
        <w:tc>
          <w:tcPr>
            <w:tcW w:type="dxa" w:w="936"/>
          </w:tcPr>
          <w:p>
            <w:r/>
            <w:r>
              <w:rPr>
                <w:rFonts w:ascii="Arial" w:hAnsi="Arial"/>
                <w:sz w:val="20"/>
              </w:rPr>
              <w:t>15-module per-user access</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FR-CC-019</w:t>
            </w:r>
          </w:p>
        </w:tc>
        <w:tc>
          <w:tcPr>
            <w:tcW w:type="dxa" w:w="936"/>
          </w:tcPr>
          <w:p>
            <w:r/>
            <w:r>
              <w:rPr>
                <w:rFonts w:ascii="Arial" w:hAnsi="Arial"/>
                <w:sz w:val="20"/>
              </w:rPr>
              <w:t>Entra ID SSO (optional)</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Low</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FR-CC-020</w:t>
            </w:r>
          </w:p>
        </w:tc>
        <w:tc>
          <w:tcPr>
            <w:tcW w:type="dxa" w:w="936"/>
          </w:tcPr>
          <w:p>
            <w:r/>
            <w:r>
              <w:rPr>
                <w:rFonts w:ascii="Arial" w:hAnsi="Arial"/>
                <w:sz w:val="20"/>
              </w:rPr>
              <w:t>Entra group→role mapping</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Low</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FR-CC-021</w:t>
            </w:r>
          </w:p>
        </w:tc>
        <w:tc>
          <w:tcPr>
            <w:tcW w:type="dxa" w:w="936"/>
          </w:tcPr>
          <w:p>
            <w:r/>
            <w:r>
              <w:rPr>
                <w:rFonts w:ascii="Arial" w:hAnsi="Arial"/>
                <w:sz w:val="20"/>
              </w:rPr>
              <w:t>Append-only admin audit log</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FR-CC-022</w:t>
            </w:r>
          </w:p>
        </w:tc>
        <w:tc>
          <w:tcPr>
            <w:tcW w:type="dxa" w:w="936"/>
          </w:tcPr>
          <w:p>
            <w:r/>
            <w:r>
              <w:rPr>
                <w:rFonts w:ascii="Arial" w:hAnsi="Arial"/>
                <w:sz w:val="20"/>
              </w:rPr>
              <w:t>Actor/target/action/timestamp</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FR-CC-023</w:t>
            </w:r>
          </w:p>
        </w:tc>
        <w:tc>
          <w:tcPr>
            <w:tcW w:type="dxa" w:w="936"/>
          </w:tcPr>
          <w:p>
            <w:r/>
            <w:r>
              <w:rPr>
                <w:rFonts w:ascii="Arial" w:hAnsi="Arial"/>
                <w:sz w:val="20"/>
              </w:rPr>
              <w:t>Entity lifecycle state machine</w:t>
            </w:r>
          </w:p>
        </w:tc>
        <w:tc>
          <w:tcPr>
            <w:tcW w:type="dxa" w:w="936"/>
          </w:tcPr>
          <w:p>
            <w:r/>
            <w:r>
              <w:rPr>
                <w:rFonts w:ascii="Arial" w:hAnsi="Arial"/>
                <w:sz w:val="20"/>
              </w:rPr>
              <w:t>T3, T4</w:t>
            </w:r>
          </w:p>
        </w:tc>
        <w:tc>
          <w:tcPr>
            <w:tcW w:type="dxa" w:w="936"/>
          </w:tcPr>
          <w:p>
            <w:r/>
            <w:r>
              <w:rPr>
                <w:rFonts w:ascii="Arial" w:hAnsi="Arial"/>
                <w:sz w:val="20"/>
              </w:rPr>
              <w:t>—</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3.3.11</w:t>
            </w:r>
          </w:p>
        </w:tc>
        <w:tc>
          <w:tcPr>
            <w:tcW w:type="dxa" w:w="936"/>
          </w:tcPr>
          <w:p>
            <w:r/>
            <w:r>
              <w:rPr>
                <w:rFonts w:ascii="Arial" w:hAnsi="Arial"/>
                <w:sz w:val="20"/>
              </w:rPr>
              <w:t>State Machine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FR-CC-024</w:t>
            </w:r>
          </w:p>
        </w:tc>
        <w:tc>
          <w:tcPr>
            <w:tcW w:type="dxa" w:w="936"/>
          </w:tcPr>
          <w:p>
            <w:r/>
            <w:r>
              <w:rPr>
                <w:rFonts w:ascii="Arial" w:hAnsi="Arial"/>
                <w:sz w:val="20"/>
              </w:rPr>
              <w:t>Review status enumeration</w:t>
            </w:r>
          </w:p>
        </w:tc>
        <w:tc>
          <w:tcPr>
            <w:tcW w:type="dxa" w:w="936"/>
          </w:tcPr>
          <w:p>
            <w:r/>
            <w:r>
              <w:rPr>
                <w:rFonts w:ascii="Arial" w:hAnsi="Arial"/>
                <w:sz w:val="20"/>
              </w:rPr>
              <w:t>T3–T5</w:t>
            </w:r>
          </w:p>
        </w:tc>
        <w:tc>
          <w:tcPr>
            <w:tcW w:type="dxa" w:w="936"/>
          </w:tcPr>
          <w:p>
            <w:r/>
            <w:r>
              <w:rPr>
                <w:rFonts w:ascii="Arial" w:hAnsi="Arial"/>
                <w:sz w:val="20"/>
              </w:rPr>
              <w:t>—</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3.3.11</w:t>
            </w:r>
          </w:p>
        </w:tc>
        <w:tc>
          <w:tcPr>
            <w:tcW w:type="dxa" w:w="936"/>
          </w:tcPr>
          <w:p>
            <w:r/>
            <w:r>
              <w:rPr>
                <w:rFonts w:ascii="Arial" w:hAnsi="Arial"/>
                <w:sz w:val="20"/>
              </w:rPr>
              <w:t>State Machine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FR-CC-025</w:t>
            </w:r>
          </w:p>
        </w:tc>
        <w:tc>
          <w:tcPr>
            <w:tcW w:type="dxa" w:w="936"/>
          </w:tcPr>
          <w:p>
            <w:r/>
            <w:r>
              <w:rPr>
                <w:rFonts w:ascii="Arial" w:hAnsi="Arial"/>
                <w:sz w:val="20"/>
              </w:rPr>
              <w:t>Illegal transitions rejected</w:t>
            </w:r>
          </w:p>
        </w:tc>
        <w:tc>
          <w:tcPr>
            <w:tcW w:type="dxa" w:w="936"/>
          </w:tcPr>
          <w:p>
            <w:r/>
            <w:r>
              <w:rPr>
                <w:rFonts w:ascii="Arial" w:hAnsi="Arial"/>
                <w:sz w:val="20"/>
              </w:rPr>
              <w:t>T3, T4</w:t>
            </w:r>
          </w:p>
        </w:tc>
        <w:tc>
          <w:tcPr>
            <w:tcW w:type="dxa" w:w="936"/>
          </w:tcPr>
          <w:p>
            <w:r/>
            <w:r>
              <w:rPr>
                <w:rFonts w:ascii="Arial" w:hAnsi="Arial"/>
                <w:sz w:val="20"/>
              </w:rPr>
              <w:t>—</w:t>
            </w:r>
          </w:p>
        </w:tc>
        <w:tc>
          <w:tcPr>
            <w:tcW w:type="dxa" w:w="936"/>
          </w:tcPr>
          <w:p>
            <w:r/>
            <w:r>
              <w:rPr>
                <w:rFonts w:ascii="Arial" w:hAnsi="Arial"/>
                <w:sz w:val="20"/>
              </w:rPr>
              <w:t>NF-Rel</w:t>
            </w:r>
          </w:p>
        </w:tc>
        <w:tc>
          <w:tcPr>
            <w:tcW w:type="dxa" w:w="936"/>
          </w:tcPr>
          <w:p>
            <w:r/>
            <w:r>
              <w:rPr>
                <w:rFonts w:ascii="Arial" w:hAnsi="Arial"/>
                <w:sz w:val="20"/>
              </w:rPr>
              <w:t>High</w:t>
            </w:r>
          </w:p>
        </w:tc>
        <w:tc>
          <w:tcPr>
            <w:tcW w:type="dxa" w:w="936"/>
          </w:tcPr>
          <w:p>
            <w:r/>
            <w:r>
              <w:rPr>
                <w:rFonts w:ascii="Arial" w:hAnsi="Arial"/>
                <w:sz w:val="20"/>
              </w:rPr>
              <w:t>3.3.11</w:t>
            </w:r>
          </w:p>
        </w:tc>
        <w:tc>
          <w:tcPr>
            <w:tcW w:type="dxa" w:w="936"/>
          </w:tcPr>
          <w:p>
            <w:r/>
            <w:r>
              <w:rPr>
                <w:rFonts w:ascii="Arial" w:hAnsi="Arial"/>
                <w:sz w:val="20"/>
              </w:rPr>
              <w:t>State Machine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FR-CC-026</w:t>
            </w:r>
          </w:p>
        </w:tc>
        <w:tc>
          <w:tcPr>
            <w:tcW w:type="dxa" w:w="936"/>
          </w:tcPr>
          <w:p>
            <w:r/>
            <w:r>
              <w:rPr>
                <w:rFonts w:ascii="Arial" w:hAnsi="Arial"/>
                <w:sz w:val="20"/>
              </w:rPr>
              <w:t>AI advisory, disabled default</w:t>
            </w:r>
          </w:p>
        </w:tc>
        <w:tc>
          <w:tcPr>
            <w:tcW w:type="dxa" w:w="936"/>
          </w:tcPr>
          <w:p>
            <w:r/>
            <w:r>
              <w:rPr>
                <w:rFonts w:ascii="Arial" w:hAnsi="Arial"/>
                <w:sz w:val="20"/>
              </w:rPr>
              <w:t>T3</w:t>
            </w:r>
          </w:p>
        </w:tc>
        <w:tc>
          <w:tcPr>
            <w:tcW w:type="dxa" w:w="936"/>
          </w:tcPr>
          <w:p>
            <w:r/>
            <w:r>
              <w:rPr>
                <w:rFonts w:ascii="Arial" w:hAnsi="Arial"/>
                <w:sz w:val="20"/>
              </w:rPr>
              <w:t>—</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3.3.14</w:t>
            </w:r>
          </w:p>
        </w:tc>
        <w:tc>
          <w:tcPr>
            <w:tcW w:type="dxa" w:w="936"/>
          </w:tcPr>
          <w:p>
            <w:r/>
            <w:r>
              <w:rPr>
                <w:rFonts w:ascii="Arial" w:hAnsi="Arial"/>
                <w:sz w:val="20"/>
              </w:rPr>
              <w:t>AI Entity Resolution</w:t>
            </w:r>
          </w:p>
        </w:tc>
        <w:tc>
          <w:tcPr>
            <w:tcW w:type="dxa" w:w="936"/>
          </w:tcPr>
          <w:p>
            <w:r/>
            <w:r>
              <w:rPr>
                <w:rFonts w:ascii="Arial" w:hAnsi="Arial"/>
                <w:sz w:val="20"/>
              </w:rPr>
              <w:t>T</w:t>
            </w:r>
          </w:p>
        </w:tc>
        <w:tc>
          <w:tcPr>
            <w:tcW w:type="dxa" w:w="936"/>
          </w:tcPr>
          <w:p>
            <w:r/>
            <w:r>
              <w:rPr>
                <w:rFonts w:ascii="Arial" w:hAnsi="Arial"/>
                <w:sz w:val="20"/>
              </w:rPr>
              <w:t>CURRENT (disabled)</w:t>
            </w:r>
          </w:p>
        </w:tc>
      </w:tr>
      <w:tr>
        <w:tc>
          <w:tcPr>
            <w:tcW w:type="dxa" w:w="936"/>
          </w:tcPr>
          <w:p>
            <w:r/>
            <w:r>
              <w:rPr>
                <w:rFonts w:ascii="Arial" w:hAnsi="Arial"/>
                <w:sz w:val="20"/>
              </w:rPr>
              <w:t>FR-CC-027</w:t>
            </w:r>
          </w:p>
        </w:tc>
        <w:tc>
          <w:tcPr>
            <w:tcW w:type="dxa" w:w="936"/>
          </w:tcPr>
          <w:p>
            <w:r/>
            <w:r>
              <w:rPr>
                <w:rFonts w:ascii="Arial" w:hAnsi="Arial"/>
                <w:sz w:val="20"/>
              </w:rPr>
              <w:t>AI egress field allowlist</w:t>
            </w:r>
          </w:p>
        </w:tc>
        <w:tc>
          <w:tcPr>
            <w:tcW w:type="dxa" w:w="936"/>
          </w:tcPr>
          <w:p>
            <w:r/>
            <w:r>
              <w:rPr>
                <w:rFonts w:ascii="Arial" w:hAnsi="Arial"/>
                <w:sz w:val="20"/>
              </w:rPr>
              <w:t>T3</w:t>
            </w:r>
          </w:p>
        </w:tc>
        <w:tc>
          <w:tcPr>
            <w:tcW w:type="dxa" w:w="936"/>
          </w:tcPr>
          <w:p>
            <w:r/>
            <w:r>
              <w:rPr>
                <w:rFonts w:ascii="Arial" w:hAnsi="Arial"/>
                <w:sz w:val="20"/>
              </w:rPr>
              <w:t>—</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3.6.6</w:t>
            </w:r>
          </w:p>
        </w:tc>
        <w:tc>
          <w:tcPr>
            <w:tcW w:type="dxa" w:w="936"/>
          </w:tcPr>
          <w:p>
            <w:r/>
            <w:r>
              <w:rPr>
                <w:rFonts w:ascii="Arial" w:hAnsi="Arial"/>
                <w:sz w:val="20"/>
              </w:rPr>
              <w:t>AI Security Controls</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FR-CC-028</w:t>
            </w:r>
          </w:p>
        </w:tc>
        <w:tc>
          <w:tcPr>
            <w:tcW w:type="dxa" w:w="936"/>
          </w:tcPr>
          <w:p>
            <w:r/>
            <w:r>
              <w:rPr>
                <w:rFonts w:ascii="Arial" w:hAnsi="Arial"/>
                <w:sz w:val="20"/>
              </w:rPr>
              <w:t>Human review always required</w:t>
            </w:r>
          </w:p>
        </w:tc>
        <w:tc>
          <w:tcPr>
            <w:tcW w:type="dxa" w:w="936"/>
          </w:tcPr>
          <w:p>
            <w:r/>
            <w:r>
              <w:rPr>
                <w:rFonts w:ascii="Arial" w:hAnsi="Arial"/>
                <w:sz w:val="20"/>
              </w:rPr>
              <w:t>T3</w:t>
            </w:r>
          </w:p>
        </w:tc>
        <w:tc>
          <w:tcPr>
            <w:tcW w:type="dxa" w:w="936"/>
          </w:tcPr>
          <w:p>
            <w:r/>
            <w:r>
              <w:rPr>
                <w:rFonts w:ascii="Arial" w:hAnsi="Arial"/>
                <w:sz w:val="20"/>
              </w:rPr>
              <w:t>—</w:t>
            </w:r>
          </w:p>
        </w:tc>
        <w:tc>
          <w:tcPr>
            <w:tcW w:type="dxa" w:w="936"/>
          </w:tcPr>
          <w:p>
            <w:r/>
            <w:r>
              <w:rPr>
                <w:rFonts w:ascii="Arial" w:hAnsi="Arial"/>
                <w:sz w:val="20"/>
              </w:rPr>
              <w:t>NF-Rel</w:t>
            </w:r>
          </w:p>
        </w:tc>
        <w:tc>
          <w:tcPr>
            <w:tcW w:type="dxa" w:w="936"/>
          </w:tcPr>
          <w:p>
            <w:r/>
            <w:r>
              <w:rPr>
                <w:rFonts w:ascii="Arial" w:hAnsi="Arial"/>
                <w:sz w:val="20"/>
              </w:rPr>
              <w:t>High</w:t>
            </w:r>
          </w:p>
        </w:tc>
        <w:tc>
          <w:tcPr>
            <w:tcW w:type="dxa" w:w="936"/>
          </w:tcPr>
          <w:p>
            <w:r/>
            <w:r>
              <w:rPr>
                <w:rFonts w:ascii="Arial" w:hAnsi="Arial"/>
                <w:sz w:val="20"/>
              </w:rPr>
              <w:t>3.6.6</w:t>
            </w:r>
          </w:p>
        </w:tc>
        <w:tc>
          <w:tcPr>
            <w:tcW w:type="dxa" w:w="936"/>
          </w:tcPr>
          <w:p>
            <w:r/>
            <w:r>
              <w:rPr>
                <w:rFonts w:ascii="Arial" w:hAnsi="Arial"/>
                <w:sz w:val="20"/>
              </w:rPr>
              <w:t>AI Security Controls</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FR-CC-029</w:t>
            </w:r>
          </w:p>
        </w:tc>
        <w:tc>
          <w:tcPr>
            <w:tcW w:type="dxa" w:w="936"/>
          </w:tcPr>
          <w:p>
            <w:r/>
            <w:r>
              <w:rPr>
                <w:rFonts w:ascii="Arial" w:hAnsi="Arial"/>
                <w:sz w:val="20"/>
              </w:rPr>
              <w:t>Deterministic AI fallback</w:t>
            </w:r>
          </w:p>
        </w:tc>
        <w:tc>
          <w:tcPr>
            <w:tcW w:type="dxa" w:w="936"/>
          </w:tcPr>
          <w:p>
            <w:r/>
            <w:r>
              <w:rPr>
                <w:rFonts w:ascii="Arial" w:hAnsi="Arial"/>
                <w:sz w:val="20"/>
              </w:rPr>
              <w:t>T3</w:t>
            </w:r>
          </w:p>
        </w:tc>
        <w:tc>
          <w:tcPr>
            <w:tcW w:type="dxa" w:w="936"/>
          </w:tcPr>
          <w:p>
            <w:r/>
            <w:r>
              <w:rPr>
                <w:rFonts w:ascii="Arial" w:hAnsi="Arial"/>
                <w:sz w:val="20"/>
              </w:rPr>
              <w:t>—</w:t>
            </w:r>
          </w:p>
        </w:tc>
        <w:tc>
          <w:tcPr>
            <w:tcW w:type="dxa" w:w="936"/>
          </w:tcPr>
          <w:p>
            <w:r/>
            <w:r>
              <w:rPr>
                <w:rFonts w:ascii="Arial" w:hAnsi="Arial"/>
                <w:sz w:val="20"/>
              </w:rPr>
              <w:t>NF-Rel</w:t>
            </w:r>
          </w:p>
        </w:tc>
        <w:tc>
          <w:tcPr>
            <w:tcW w:type="dxa" w:w="936"/>
          </w:tcPr>
          <w:p>
            <w:r/>
            <w:r>
              <w:rPr>
                <w:rFonts w:ascii="Arial" w:hAnsi="Arial"/>
                <w:sz w:val="20"/>
              </w:rPr>
              <w:t>High</w:t>
            </w:r>
          </w:p>
        </w:tc>
        <w:tc>
          <w:tcPr>
            <w:tcW w:type="dxa" w:w="936"/>
          </w:tcPr>
          <w:p>
            <w:r/>
            <w:r>
              <w:rPr>
                <w:rFonts w:ascii="Arial" w:hAnsi="Arial"/>
                <w:sz w:val="20"/>
              </w:rPr>
              <w:t>3.3.14</w:t>
            </w:r>
          </w:p>
        </w:tc>
        <w:tc>
          <w:tcPr>
            <w:tcW w:type="dxa" w:w="936"/>
          </w:tcPr>
          <w:p>
            <w:r/>
            <w:r>
              <w:rPr>
                <w:rFonts w:ascii="Arial" w:hAnsi="Arial"/>
                <w:sz w:val="20"/>
              </w:rPr>
              <w:t>AI Entity Resolution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FR-CC-030</w:t>
            </w:r>
          </w:p>
        </w:tc>
        <w:tc>
          <w:tcPr>
            <w:tcW w:type="dxa" w:w="936"/>
          </w:tcPr>
          <w:p>
            <w:r/>
            <w:r>
              <w:rPr>
                <w:rFonts w:ascii="Arial" w:hAnsi="Arial"/>
                <w:sz w:val="20"/>
              </w:rPr>
              <w:t>Null-byte rejection</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3.6.5</w:t>
            </w:r>
          </w:p>
        </w:tc>
        <w:tc>
          <w:tcPr>
            <w:tcW w:type="dxa" w:w="936"/>
          </w:tcPr>
          <w:p>
            <w:r/>
            <w:r>
              <w:rPr>
                <w:rFonts w:ascii="Arial" w:hAnsi="Arial"/>
                <w:sz w:val="20"/>
              </w:rPr>
              <w:t>Input Validation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FR-CC-031</w:t>
            </w:r>
          </w:p>
        </w:tc>
        <w:tc>
          <w:tcPr>
            <w:tcW w:type="dxa" w:w="936"/>
          </w:tcPr>
          <w:p>
            <w:r/>
            <w:r>
              <w:rPr>
                <w:rFonts w:ascii="Arial" w:hAnsi="Arial"/>
                <w:sz w:val="20"/>
              </w:rPr>
              <w:t>Role-filtered navigation</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4.5</w:t>
            </w:r>
          </w:p>
        </w:tc>
        <w:tc>
          <w:tcPr>
            <w:tcW w:type="dxa" w:w="936"/>
          </w:tcPr>
          <w:p>
            <w:r/>
            <w:r>
              <w:rPr>
                <w:rFonts w:ascii="Arial" w:hAnsi="Arial"/>
                <w:sz w:val="20"/>
              </w:rPr>
              <w:t>Frontend</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FR-CC-032</w:t>
            </w:r>
          </w:p>
        </w:tc>
        <w:tc>
          <w:tcPr>
            <w:tcW w:type="dxa" w:w="936"/>
          </w:tcPr>
          <w:p>
            <w:r/>
            <w:r>
              <w:rPr>
                <w:rFonts w:ascii="Arial" w:hAnsi="Arial"/>
                <w:sz w:val="20"/>
              </w:rPr>
              <w:t>Registry entity search</w:t>
            </w:r>
          </w:p>
        </w:tc>
        <w:tc>
          <w:tcPr>
            <w:tcW w:type="dxa" w:w="936"/>
          </w:tcPr>
          <w:p>
            <w:r/>
            <w:r>
              <w:rPr>
                <w:rFonts w:ascii="Arial" w:hAnsi="Arial"/>
                <w:sz w:val="20"/>
              </w:rPr>
              <w:t>T3, T4</w:t>
            </w:r>
          </w:p>
        </w:tc>
        <w:tc>
          <w:tcPr>
            <w:tcW w:type="dxa" w:w="936"/>
          </w:tcPr>
          <w:p>
            <w:r/>
            <w:r>
              <w:rPr>
                <w:rFonts w:ascii="Arial" w:hAnsi="Arial"/>
                <w:sz w:val="20"/>
              </w:rPr>
              <w:t>—</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3.3.12</w:t>
            </w:r>
          </w:p>
        </w:tc>
        <w:tc>
          <w:tcPr>
            <w:tcW w:type="dxa" w:w="936"/>
          </w:tcPr>
          <w:p>
            <w:r/>
            <w:r>
              <w:rPr>
                <w:rFonts w:ascii="Arial" w:hAnsi="Arial"/>
                <w:sz w:val="20"/>
              </w:rPr>
              <w:t>Registry Module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FR-CC-033</w:t>
            </w:r>
          </w:p>
        </w:tc>
        <w:tc>
          <w:tcPr>
            <w:tcW w:type="dxa" w:w="936"/>
          </w:tcPr>
          <w:p>
            <w:r/>
            <w:r>
              <w:rPr>
                <w:rFonts w:ascii="Arial" w:hAnsi="Arial"/>
                <w:sz w:val="20"/>
              </w:rPr>
              <w:t>Bulletin briefings</w:t>
            </w:r>
          </w:p>
        </w:tc>
        <w:tc>
          <w:tcPr>
            <w:tcW w:type="dxa" w:w="936"/>
          </w:tcPr>
          <w:p>
            <w:r/>
            <w:r>
              <w:rPr>
                <w:rFonts w:ascii="Arial" w:hAnsi="Arial"/>
                <w:sz w:val="20"/>
              </w:rPr>
              <w:t>Cross</w:t>
            </w:r>
          </w:p>
        </w:tc>
        <w:tc>
          <w:tcPr>
            <w:tcW w:type="dxa" w:w="936"/>
          </w:tcPr>
          <w:p>
            <w:r/>
            <w:r>
              <w:rPr>
                <w:rFonts w:ascii="Arial" w:hAnsi="Arial"/>
                <w:sz w:val="20"/>
              </w:rPr>
              <w:t>—</w:t>
            </w:r>
          </w:p>
        </w:tc>
        <w:tc>
          <w:tcPr>
            <w:tcW w:type="dxa" w:w="936"/>
          </w:tcPr>
          <w:p>
            <w:r/>
            <w:r>
              <w:rPr>
                <w:rFonts w:ascii="Arial" w:hAnsi="Arial"/>
                <w:sz w:val="20"/>
              </w:rPr>
              <w:t>Func</w:t>
            </w:r>
          </w:p>
        </w:tc>
        <w:tc>
          <w:tcPr>
            <w:tcW w:type="dxa" w:w="936"/>
          </w:tcPr>
          <w:p>
            <w:r/>
            <w:r>
              <w:rPr>
                <w:rFonts w:ascii="Arial" w:hAnsi="Arial"/>
                <w:sz w:val="20"/>
              </w:rPr>
              <w:t>Low</w:t>
            </w:r>
          </w:p>
        </w:tc>
        <w:tc>
          <w:tcPr>
            <w:tcW w:type="dxa" w:w="936"/>
          </w:tcPr>
          <w:p>
            <w:r/>
            <w:r>
              <w:rPr>
                <w:rFonts w:ascii="Arial" w:hAnsi="Arial"/>
                <w:sz w:val="20"/>
              </w:rPr>
              <w:t>3.3.13</w:t>
            </w:r>
          </w:p>
        </w:tc>
        <w:tc>
          <w:tcPr>
            <w:tcW w:type="dxa" w:w="936"/>
          </w:tcPr>
          <w:p>
            <w:r/>
            <w:r>
              <w:rPr>
                <w:rFonts w:ascii="Arial" w:hAnsi="Arial"/>
                <w:sz w:val="20"/>
              </w:rPr>
              <w:t>Bulletin Module</w:t>
            </w:r>
          </w:p>
        </w:tc>
        <w:tc>
          <w:tcPr>
            <w:tcW w:type="dxa" w:w="936"/>
          </w:tcPr>
          <w:p>
            <w:r/>
            <w:r>
              <w:rPr>
                <w:rFonts w:ascii="Arial" w:hAnsi="Arial"/>
                <w:sz w:val="20"/>
              </w:rPr>
              <w:t>T</w:t>
            </w:r>
          </w:p>
        </w:tc>
        <w:tc>
          <w:tcPr>
            <w:tcW w:type="dxa" w:w="936"/>
          </w:tcPr>
          <w:p>
            <w:r/>
            <w:r>
              <w:rPr>
                <w:rFonts w:ascii="Arial" w:hAnsi="Arial"/>
                <w:sz w:val="20"/>
              </w:rPr>
              <w:t>CURRENT</w:t>
            </w:r>
          </w:p>
        </w:tc>
      </w:tr>
    </w:tbl>
    <w:p/>
    <w:p>
      <w:r>
        <w:rPr>
          <w:rFonts w:ascii="Arial" w:hAnsi="Arial"/>
          <w:b/>
        </w:rPr>
        <w:t>Non-functional requirements</w:t>
      </w:r>
      <w:r>
        <w:rPr>
          <w:rFonts w:ascii="Arial" w:hAnsi="Arial"/>
        </w:rPr>
        <w:t xml:space="preserve"> trace as follows: NFR-DC-001…005 → SDD §3.4/§3.5 (all tasks, infrastructure); NFR-PR-001…007 → SDD §3.8 (T3, T4 throughput); NFR-SP-001…014 → SDD §3.6 (all tasks); NFR-RL-001…006 → SDD §3.3.4, §6.2 (T3–T5); NFR-IR-001…007 → SDD §3.7, Appendix F (T3–T5); NFR-CS-001…006 → SDD §2.1 (all tasks); NFR-508-001…003 → SDD §4.7 (all tasks).</w:t>
      </w:r>
    </w:p>
    <w:p>
      <w:pPr>
        <w:pStyle w:val="Heading2"/>
      </w:pPr>
      <w:r>
        <w:t>Appendix F — Production Delta (Deployment Backlog)</w:t>
      </w:r>
    </w:p>
    <w:p>
      <w:r>
        <w:rPr>
          <w:rFonts w:ascii="Arial" w:hAnsi="Arial"/>
        </w:rPr>
        <w:t xml:space="preserve">This document describes the system </w:t>
      </w:r>
      <w:r>
        <w:rPr>
          <w:rFonts w:ascii="Arial" w:hAnsi="Arial"/>
          <w:b/>
        </w:rPr>
        <w:t>as built</w:t>
      </w:r>
      <w:r>
        <w:rPr>
          <w:rFonts w:ascii="Arial" w:hAnsi="Arial"/>
        </w:rPr>
        <w:t xml:space="preserve"> in the development/main codebase. The production environment currently runs an earlier build. The following differences are outstanding.</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Area</w:t>
            </w:r>
          </w:p>
        </w:tc>
        <w:tc>
          <w:tcPr>
            <w:tcW w:type="dxa" w:w="2340"/>
            <w:shd w:val="clear" w:fill="003087"/>
          </w:tcPr>
          <w:p>
            <w:r/>
            <w:r>
              <w:rPr>
                <w:rFonts w:ascii="Arial" w:hAnsi="Arial"/>
                <w:b/>
                <w:color w:val="FFFFFF"/>
                <w:sz w:val="20"/>
              </w:rPr>
              <w:t>Development / main (as documented)</w:t>
            </w:r>
          </w:p>
        </w:tc>
        <w:tc>
          <w:tcPr>
            <w:tcW w:type="dxa" w:w="2340"/>
            <w:shd w:val="clear" w:fill="003087"/>
          </w:tcPr>
          <w:p>
            <w:r/>
            <w:r>
              <w:rPr>
                <w:rFonts w:ascii="Arial" w:hAnsi="Arial"/>
                <w:b/>
                <w:color w:val="FFFFFF"/>
                <w:sz w:val="20"/>
              </w:rPr>
              <w:t>Production (as deployed)</w:t>
            </w:r>
          </w:p>
        </w:tc>
        <w:tc>
          <w:tcPr>
            <w:tcW w:type="dxa" w:w="2340"/>
            <w:shd w:val="clear" w:fill="003087"/>
          </w:tcPr>
          <w:p>
            <w:r/>
            <w:r>
              <w:rPr>
                <w:rFonts w:ascii="Arial" w:hAnsi="Arial"/>
                <w:b/>
                <w:color w:val="FFFFFF"/>
                <w:sz w:val="20"/>
              </w:rPr>
              <w:t>Requirement affected</w:t>
            </w:r>
          </w:p>
        </w:tc>
      </w:tr>
      <w:tr>
        <w:tc>
          <w:tcPr>
            <w:tcW w:type="dxa" w:w="2340"/>
          </w:tcPr>
          <w:p>
            <w:r/>
            <w:r>
              <w:rPr>
                <w:rFonts w:ascii="Arial" w:hAnsi="Arial"/>
                <w:sz w:val="20"/>
              </w:rPr>
              <w:t>TEFCA read access floor</w:t>
            </w:r>
          </w:p>
        </w:tc>
        <w:tc>
          <w:tcPr>
            <w:tcW w:type="dxa" w:w="2340"/>
          </w:tcPr>
          <w:p>
            <w:r/>
            <w:r>
              <w:rPr>
                <w:rFonts w:ascii="Arial" w:hAnsi="Arial"/>
                <w:sz w:val="20"/>
              </w:rPr>
              <w:t>`viewer` (level 1) may read TEFCA dashboards, reports, reviews, findings</w:t>
            </w:r>
          </w:p>
        </w:tc>
        <w:tc>
          <w:tcPr>
            <w:tcW w:type="dxa" w:w="2340"/>
          </w:tcPr>
          <w:p>
            <w:r/>
            <w:r>
              <w:rPr>
                <w:rFonts w:ascii="Arial" w:hAnsi="Arial"/>
                <w:sz w:val="20"/>
              </w:rPr>
              <w:t>`reviewer` (level 4) required for all TEFCA reads</w:t>
            </w:r>
          </w:p>
        </w:tc>
        <w:tc>
          <w:tcPr>
            <w:tcW w:type="dxa" w:w="2340"/>
          </w:tcPr>
          <w:p>
            <w:r/>
            <w:r>
              <w:rPr>
                <w:rFonts w:ascii="Arial" w:hAnsi="Arial"/>
                <w:sz w:val="20"/>
              </w:rPr>
              <w:t>FR-CC-002, §2.3 user classes</w:t>
            </w:r>
          </w:p>
        </w:tc>
      </w:tr>
      <w:tr>
        <w:tc>
          <w:tcPr>
            <w:tcW w:type="dxa" w:w="2340"/>
          </w:tcPr>
          <w:p>
            <w:r/>
            <w:r>
              <w:rPr>
                <w:rFonts w:ascii="Arial" w:hAnsi="Arial"/>
                <w:sz w:val="20"/>
              </w:rPr>
              <w:t>Role assignability</w:t>
            </w:r>
          </w:p>
        </w:tc>
        <w:tc>
          <w:tcPr>
            <w:tcW w:type="dxa" w:w="2340"/>
          </w:tcPr>
          <w:p>
            <w:r/>
            <w:r>
              <w:rPr>
                <w:rFonts w:ascii="Arial" w:hAnsi="Arial"/>
                <w:sz w:val="20"/>
              </w:rPr>
              <w:t>All 8 roles assignable</w:t>
            </w:r>
          </w:p>
        </w:tc>
        <w:tc>
          <w:tcPr>
            <w:tcW w:type="dxa" w:w="2340"/>
          </w:tcPr>
          <w:p>
            <w:r/>
            <w:r>
              <w:rPr>
                <w:rFonts w:ascii="Arial" w:hAnsi="Arial"/>
                <w:sz w:val="20"/>
              </w:rPr>
              <w:t>All 8 roles assignable (deployed)</w:t>
            </w:r>
          </w:p>
        </w:tc>
        <w:tc>
          <w:tcPr>
            <w:tcW w:type="dxa" w:w="2340"/>
          </w:tcPr>
          <w:p>
            <w:r/>
            <w:r>
              <w:rPr>
                <w:rFonts w:ascii="Arial" w:hAnsi="Arial"/>
                <w:sz w:val="20"/>
              </w:rPr>
              <w:t>FR-CC-014 — **parity**</w:t>
            </w:r>
          </w:p>
        </w:tc>
      </w:tr>
      <w:tr>
        <w:tc>
          <w:tcPr>
            <w:tcW w:type="dxa" w:w="2340"/>
          </w:tcPr>
          <w:p>
            <w:r/>
            <w:r>
              <w:rPr>
                <w:rFonts w:ascii="Arial" w:hAnsi="Arial"/>
                <w:sz w:val="20"/>
              </w:rPr>
              <w:t>Role default modules</w:t>
            </w:r>
          </w:p>
        </w:tc>
        <w:tc>
          <w:tcPr>
            <w:tcW w:type="dxa" w:w="2340"/>
          </w:tcPr>
          <w:p>
            <w:r/>
            <w:r>
              <w:rPr>
                <w:rFonts w:ascii="Arial" w:hAnsi="Arial"/>
                <w:sz w:val="20"/>
              </w:rPr>
              <w:t>Implemented</w:t>
            </w:r>
          </w:p>
        </w:tc>
        <w:tc>
          <w:tcPr>
            <w:tcW w:type="dxa" w:w="2340"/>
          </w:tcPr>
          <w:p>
            <w:r/>
            <w:r>
              <w:rPr>
                <w:rFonts w:ascii="Arial" w:hAnsi="Arial"/>
                <w:sz w:val="20"/>
              </w:rPr>
              <w:t>Implemented (deployed)</w:t>
            </w:r>
          </w:p>
        </w:tc>
        <w:tc>
          <w:tcPr>
            <w:tcW w:type="dxa" w:w="2340"/>
          </w:tcPr>
          <w:p>
            <w:r/>
            <w:r>
              <w:rPr>
                <w:rFonts w:ascii="Arial" w:hAnsi="Arial"/>
                <w:sz w:val="20"/>
              </w:rPr>
              <w:t>FR-CC-017 — **parity**</w:t>
            </w:r>
          </w:p>
        </w:tc>
      </w:tr>
      <w:tr>
        <w:tc>
          <w:tcPr>
            <w:tcW w:type="dxa" w:w="2340"/>
          </w:tcPr>
          <w:p>
            <w:r/>
            <w:r>
              <w:rPr>
                <w:rFonts w:ascii="Arial" w:hAnsi="Arial"/>
                <w:sz w:val="20"/>
              </w:rPr>
              <w:t>Bulk role assignment</w:t>
            </w:r>
          </w:p>
        </w:tc>
        <w:tc>
          <w:tcPr>
            <w:tcW w:type="dxa" w:w="2340"/>
          </w:tcPr>
          <w:p>
            <w:r/>
            <w:r>
              <w:rPr>
                <w:rFonts w:ascii="Arial" w:hAnsi="Arial"/>
                <w:sz w:val="20"/>
              </w:rPr>
              <w:t>Implemented</w:t>
            </w:r>
          </w:p>
        </w:tc>
        <w:tc>
          <w:tcPr>
            <w:tcW w:type="dxa" w:w="2340"/>
          </w:tcPr>
          <w:p>
            <w:r/>
            <w:r>
              <w:rPr>
                <w:rFonts w:ascii="Arial" w:hAnsi="Arial"/>
                <w:sz w:val="20"/>
              </w:rPr>
              <w:t>Implemented (deployed)</w:t>
            </w:r>
          </w:p>
        </w:tc>
        <w:tc>
          <w:tcPr>
            <w:tcW w:type="dxa" w:w="2340"/>
          </w:tcPr>
          <w:p>
            <w:r/>
            <w:r>
              <w:rPr>
                <w:rFonts w:ascii="Arial" w:hAnsi="Arial"/>
                <w:sz w:val="20"/>
              </w:rPr>
              <w:t>FR-CC-015 — **parity**</w:t>
            </w:r>
          </w:p>
        </w:tc>
      </w:tr>
      <w:tr>
        <w:tc>
          <w:tcPr>
            <w:tcW w:type="dxa" w:w="2340"/>
          </w:tcPr>
          <w:p>
            <w:r/>
            <w:r>
              <w:rPr>
                <w:rFonts w:ascii="Arial" w:hAnsi="Arial"/>
                <w:sz w:val="20"/>
              </w:rPr>
              <w:t>Bulletin navigation</w:t>
            </w:r>
          </w:p>
        </w:tc>
        <w:tc>
          <w:tcPr>
            <w:tcW w:type="dxa" w:w="2340"/>
          </w:tcPr>
          <w:p>
            <w:r/>
            <w:r>
              <w:rPr>
                <w:rFonts w:ascii="Arial" w:hAnsi="Arial"/>
                <w:sz w:val="20"/>
              </w:rPr>
              <w:t>Visible to all authenticated users</w:t>
            </w:r>
          </w:p>
        </w:tc>
        <w:tc>
          <w:tcPr>
            <w:tcW w:type="dxa" w:w="2340"/>
          </w:tcPr>
          <w:p>
            <w:r/>
            <w:r>
              <w:rPr>
                <w:rFonts w:ascii="Arial" w:hAnsi="Arial"/>
                <w:sz w:val="20"/>
              </w:rPr>
              <w:t>Visible to all authenticated users (deployed)</w:t>
            </w:r>
          </w:p>
        </w:tc>
        <w:tc>
          <w:tcPr>
            <w:tcW w:type="dxa" w:w="2340"/>
          </w:tcPr>
          <w:p>
            <w:r/>
            <w:r>
              <w:rPr>
                <w:rFonts w:ascii="Arial" w:hAnsi="Arial"/>
                <w:sz w:val="20"/>
              </w:rPr>
              <w:t>FR-CC-031 — **parity**</w:t>
            </w:r>
          </w:p>
        </w:tc>
      </w:tr>
      <w:tr>
        <w:tc>
          <w:tcPr>
            <w:tcW w:type="dxa" w:w="2340"/>
          </w:tcPr>
          <w:p>
            <w:r/>
            <w:r>
              <w:rPr>
                <w:rFonts w:ascii="Arial" w:hAnsi="Arial"/>
                <w:sz w:val="20"/>
              </w:rPr>
              <w:t>Upload security scanning on ARC upload</w:t>
            </w:r>
          </w:p>
        </w:tc>
        <w:tc>
          <w:tcPr>
            <w:tcW w:type="dxa" w:w="2340"/>
          </w:tcPr>
          <w:p>
            <w:r/>
            <w:r>
              <w:rPr>
                <w:rFonts w:ascii="Arial" w:hAnsi="Arial"/>
                <w:sz w:val="20"/>
              </w:rPr>
              <w:t>Present</w:t>
            </w:r>
          </w:p>
        </w:tc>
        <w:tc>
          <w:tcPr>
            <w:tcW w:type="dxa" w:w="2340"/>
          </w:tcPr>
          <w:p>
            <w:r/>
            <w:r>
              <w:rPr>
                <w:rFonts w:ascii="Arial" w:hAnsi="Arial"/>
                <w:sz w:val="20"/>
              </w:rPr>
              <w:t>Absent</w:t>
            </w:r>
          </w:p>
        </w:tc>
        <w:tc>
          <w:tcPr>
            <w:tcW w:type="dxa" w:w="2340"/>
          </w:tcPr>
          <w:p>
            <w:r/>
            <w:r>
              <w:rPr>
                <w:rFonts w:ascii="Arial" w:hAnsi="Arial"/>
                <w:sz w:val="20"/>
              </w:rPr>
              <w:t>FR-T3-005 (registry path only in prod)</w:t>
            </w:r>
          </w:p>
        </w:tc>
      </w:tr>
      <w:tr>
        <w:tc>
          <w:tcPr>
            <w:tcW w:type="dxa" w:w="2340"/>
          </w:tcPr>
          <w:p>
            <w:r/>
            <w:r>
              <w:rPr>
                <w:rFonts w:ascii="Arial" w:hAnsi="Arial"/>
                <w:sz w:val="20"/>
              </w:rPr>
              <w:t>USPS address verification module</w:t>
            </w:r>
          </w:p>
        </w:tc>
        <w:tc>
          <w:tcPr>
            <w:tcW w:type="dxa" w:w="2340"/>
          </w:tcPr>
          <w:p>
            <w:r/>
            <w:r>
              <w:rPr>
                <w:rFonts w:ascii="Arial" w:hAnsi="Arial"/>
                <w:sz w:val="20"/>
              </w:rPr>
              <w:t>Present (`usps_client.py`, `usps_routes.py`)</w:t>
            </w:r>
          </w:p>
        </w:tc>
        <w:tc>
          <w:tcPr>
            <w:tcW w:type="dxa" w:w="2340"/>
          </w:tcPr>
          <w:p>
            <w:r/>
            <w:r>
              <w:rPr>
                <w:rFonts w:ascii="Arial" w:hAnsi="Arial"/>
                <w:sz w:val="20"/>
              </w:rPr>
              <w:t>Absent</w:t>
            </w:r>
          </w:p>
        </w:tc>
        <w:tc>
          <w:tcPr>
            <w:tcW w:type="dxa" w:w="2340"/>
          </w:tcPr>
          <w:p>
            <w:r/>
            <w:r>
              <w:rPr>
                <w:rFonts w:ascii="Arial" w:hAnsi="Arial"/>
                <w:sz w:val="20"/>
              </w:rPr>
              <w:t>FR-T3-014</w:t>
            </w:r>
          </w:p>
        </w:tc>
      </w:tr>
      <w:tr>
        <w:tc>
          <w:tcPr>
            <w:tcW w:type="dxa" w:w="2340"/>
          </w:tcPr>
          <w:p>
            <w:r/>
            <w:r>
              <w:rPr>
                <w:rFonts w:ascii="Arial" w:hAnsi="Arial"/>
                <w:sz w:val="20"/>
              </w:rPr>
              <w:t>Review SLA module</w:t>
            </w:r>
          </w:p>
        </w:tc>
        <w:tc>
          <w:tcPr>
            <w:tcW w:type="dxa" w:w="2340"/>
          </w:tcPr>
          <w:p>
            <w:r/>
            <w:r>
              <w:rPr>
                <w:rFonts w:ascii="Arial" w:hAnsi="Arial"/>
                <w:sz w:val="20"/>
              </w:rPr>
              <w:t>Present (`sla.py`)</w:t>
            </w:r>
          </w:p>
        </w:tc>
        <w:tc>
          <w:tcPr>
            <w:tcW w:type="dxa" w:w="2340"/>
          </w:tcPr>
          <w:p>
            <w:r/>
            <w:r>
              <w:rPr>
                <w:rFonts w:ascii="Arial" w:hAnsi="Arial"/>
                <w:sz w:val="20"/>
              </w:rPr>
              <w:t>Absent</w:t>
            </w:r>
          </w:p>
        </w:tc>
        <w:tc>
          <w:tcPr>
            <w:tcW w:type="dxa" w:w="2340"/>
          </w:tcPr>
          <w:p>
            <w:r/>
            <w:r>
              <w:rPr>
                <w:rFonts w:ascii="Arial" w:hAnsi="Arial"/>
                <w:sz w:val="20"/>
              </w:rPr>
              <w:t>FR-T5-005…008</w:t>
            </w:r>
          </w:p>
        </w:tc>
      </w:tr>
      <w:tr>
        <w:tc>
          <w:tcPr>
            <w:tcW w:type="dxa" w:w="2340"/>
          </w:tcPr>
          <w:p>
            <w:r/>
            <w:r>
              <w:rPr>
                <w:rFonts w:ascii="Arial" w:hAnsi="Arial"/>
                <w:sz w:val="20"/>
              </w:rPr>
              <w:t>Import bridge</w:t>
            </w:r>
          </w:p>
        </w:tc>
        <w:tc>
          <w:tcPr>
            <w:tcW w:type="dxa" w:w="2340"/>
          </w:tcPr>
          <w:p>
            <w:r/>
            <w:r>
              <w:rPr>
                <w:rFonts w:ascii="Arial" w:hAnsi="Arial"/>
                <w:sz w:val="20"/>
              </w:rPr>
              <w:t>Present (`import_bridge.py`)</w:t>
            </w:r>
          </w:p>
        </w:tc>
        <w:tc>
          <w:tcPr>
            <w:tcW w:type="dxa" w:w="2340"/>
          </w:tcPr>
          <w:p>
            <w:r/>
            <w:r>
              <w:rPr>
                <w:rFonts w:ascii="Arial" w:hAnsi="Arial"/>
                <w:sz w:val="20"/>
              </w:rPr>
              <w:t>Absent</w:t>
            </w:r>
          </w:p>
        </w:tc>
        <w:tc>
          <w:tcPr>
            <w:tcW w:type="dxa" w:w="2340"/>
          </w:tcPr>
          <w:p>
            <w:r/>
            <w:r>
              <w:rPr>
                <w:rFonts w:ascii="Arial" w:hAnsi="Arial"/>
                <w:sz w:val="20"/>
              </w:rPr>
              <w:t>FR-T3-001 (bridge behaviour)</w:t>
            </w:r>
          </w:p>
        </w:tc>
      </w:tr>
      <w:tr>
        <w:tc>
          <w:tcPr>
            <w:tcW w:type="dxa" w:w="2340"/>
          </w:tcPr>
          <w:p>
            <w:r/>
            <w:r>
              <w:rPr>
                <w:rFonts w:ascii="Arial" w:hAnsi="Arial"/>
                <w:sz w:val="20"/>
              </w:rPr>
              <w:t>Bulletin document generation</w:t>
            </w:r>
          </w:p>
        </w:tc>
        <w:tc>
          <w:tcPr>
            <w:tcW w:type="dxa" w:w="2340"/>
          </w:tcPr>
          <w:p>
            <w:r/>
            <w:r>
              <w:rPr>
                <w:rFonts w:ascii="Arial" w:hAnsi="Arial"/>
                <w:sz w:val="20"/>
              </w:rPr>
              <w:t>Present (`word_generator.py`, `email_template.py`, `reviewed_upload.py`)</w:t>
            </w:r>
          </w:p>
        </w:tc>
        <w:tc>
          <w:tcPr>
            <w:tcW w:type="dxa" w:w="2340"/>
          </w:tcPr>
          <w:p>
            <w:r/>
            <w:r>
              <w:rPr>
                <w:rFonts w:ascii="Arial" w:hAnsi="Arial"/>
                <w:sz w:val="20"/>
              </w:rPr>
              <w:t>Absent</w:t>
            </w:r>
          </w:p>
        </w:tc>
        <w:tc>
          <w:tcPr>
            <w:tcW w:type="dxa" w:w="2340"/>
          </w:tcPr>
          <w:p>
            <w:r/>
            <w:r>
              <w:rPr>
                <w:rFonts w:ascii="Arial" w:hAnsi="Arial"/>
                <w:sz w:val="20"/>
              </w:rPr>
              <w:t>FR-CC-033</w:t>
            </w:r>
          </w:p>
        </w:tc>
      </w:tr>
      <w:tr>
        <w:tc>
          <w:tcPr>
            <w:tcW w:type="dxa" w:w="2340"/>
          </w:tcPr>
          <w:p>
            <w:r/>
            <w:r>
              <w:rPr>
                <w:rFonts w:ascii="Arial" w:hAnsi="Arial"/>
                <w:sz w:val="20"/>
              </w:rPr>
              <w:t>Application startup DDL</w:t>
            </w:r>
          </w:p>
        </w:tc>
        <w:tc>
          <w:tcPr>
            <w:tcW w:type="dxa" w:w="2340"/>
          </w:tcPr>
          <w:p>
            <w:r/>
            <w:r>
              <w:rPr>
                <w:rFonts w:ascii="Arial" w:hAnsi="Arial"/>
                <w:sz w:val="20"/>
              </w:rPr>
              <w:t>Includes one additional `ALTER TABLE`</w:t>
            </w:r>
          </w:p>
        </w:tc>
        <w:tc>
          <w:tcPr>
            <w:tcW w:type="dxa" w:w="2340"/>
          </w:tcPr>
          <w:p>
            <w:r/>
            <w:r>
              <w:rPr>
                <w:rFonts w:ascii="Arial" w:hAnsi="Arial"/>
                <w:sz w:val="20"/>
              </w:rPr>
              <w:t>Not applied</w:t>
            </w:r>
          </w:p>
        </w:tc>
        <w:tc>
          <w:tcPr>
            <w:tcW w:type="dxa" w:w="2340"/>
          </w:tcPr>
          <w:p>
            <w:r/>
            <w:r>
              <w:rPr>
                <w:rFonts w:ascii="Arial" w:hAnsi="Arial"/>
                <w:sz w:val="20"/>
              </w:rPr>
              <w:t>§4.2 schema</w:t>
            </w:r>
          </w:p>
        </w:tc>
      </w:tr>
    </w:tbl>
    <w:p/>
    <w:p>
      <w:r>
        <w:rPr>
          <w:rFonts w:ascii="Arial" w:hAnsi="Arial"/>
          <w:b/>
        </w:rPr>
        <w:t>Scale of delta:</w:t>
      </w:r>
      <w:r>
        <w:rPr>
          <w:rFonts w:ascii="Arial" w:hAnsi="Arial"/>
        </w:rPr>
        <w:t xml:space="preserve"> 29 modified application files and 7 files absent from production, of which the RBAC-critical subset (2 files) has been deployed. Deploying the remainder requires independent review of the non-RBAC changes and is tracked as contract technical debt.</w:t>
      </w:r>
    </w:p>
    <w:p>
      <w:pPr>
        <w:pStyle w:val="Heading2"/>
      </w:pPr>
      <w:r>
        <w:t>Appendix G — Discovery Provenance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Artifact</w:t>
            </w:r>
          </w:p>
        </w:tc>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Result</w:t>
            </w:r>
          </w:p>
        </w:tc>
      </w:tr>
      <w:tr>
        <w:tc>
          <w:tcPr>
            <w:tcW w:type="dxa" w:w="3120"/>
          </w:tcPr>
          <w:p>
            <w:r/>
            <w:r>
              <w:rPr>
                <w:rFonts w:ascii="Arial" w:hAnsi="Arial"/>
                <w:sz w:val="20"/>
              </w:rPr>
              <w:t>API endpoints</w:t>
            </w:r>
          </w:p>
        </w:tc>
        <w:tc>
          <w:tcPr>
            <w:tcW w:type="dxa" w:w="3120"/>
          </w:tcPr>
          <w:p>
            <w:r/>
            <w:r>
              <w:rPr>
                <w:rFonts w:ascii="Arial" w:hAnsi="Arial"/>
                <w:sz w:val="20"/>
              </w:rPr>
              <w:t>Walked every mounted router in the live FastAPI app; resolved each route's full dependency tree for its effective role floor</w:t>
            </w:r>
          </w:p>
        </w:tc>
        <w:tc>
          <w:tcPr>
            <w:tcW w:type="dxa" w:w="3120"/>
          </w:tcPr>
          <w:p>
            <w:r/>
            <w:r>
              <w:rPr>
                <w:rFonts w:ascii="Arial" w:hAnsi="Arial"/>
                <w:sz w:val="20"/>
              </w:rPr>
              <w:t>325 endpoints across 15 modules</w:t>
            </w:r>
          </w:p>
        </w:tc>
      </w:tr>
      <w:tr>
        <w:tc>
          <w:tcPr>
            <w:tcW w:type="dxa" w:w="3120"/>
          </w:tcPr>
          <w:p>
            <w:r/>
            <w:r>
              <w:rPr>
                <w:rFonts w:ascii="Arial" w:hAnsi="Arial"/>
                <w:sz w:val="20"/>
              </w:rPr>
              <w:t>Database tables</w:t>
            </w:r>
          </w:p>
        </w:tc>
        <w:tc>
          <w:tcPr>
            <w:tcW w:type="dxa" w:w="3120"/>
          </w:tcPr>
          <w:p>
            <w:r/>
            <w:r>
              <w:rPr>
                <w:rFonts w:ascii="Arial" w:hAnsi="Arial"/>
                <w:sz w:val="20"/>
              </w:rPr>
              <w:t>Scanned all `__tablename__` declarations across `app/`</w:t>
            </w:r>
          </w:p>
        </w:tc>
        <w:tc>
          <w:tcPr>
            <w:tcW w:type="dxa" w:w="3120"/>
          </w:tcPr>
          <w:p>
            <w:r/>
            <w:r>
              <w:rPr>
                <w:rFonts w:ascii="Arial" w:hAnsi="Arial"/>
                <w:sz w:val="20"/>
              </w:rPr>
              <w:t>120 tables (45 contract-relevant, ~75 non-contract legacy)</w:t>
            </w:r>
          </w:p>
        </w:tc>
      </w:tr>
      <w:tr>
        <w:tc>
          <w:tcPr>
            <w:tcW w:type="dxa" w:w="3120"/>
          </w:tcPr>
          <w:p>
            <w:r/>
            <w:r>
              <w:rPr>
                <w:rFonts w:ascii="Arial" w:hAnsi="Arial"/>
                <w:sz w:val="20"/>
              </w:rPr>
              <w:t>Roles</w:t>
            </w:r>
          </w:p>
        </w:tc>
        <w:tc>
          <w:tcPr>
            <w:tcW w:type="dxa" w:w="3120"/>
          </w:tcPr>
          <w:p>
            <w:r/>
            <w:r>
              <w:rPr>
                <w:rFonts w:ascii="Arial" w:hAnsi="Arial"/>
                <w:sz w:val="20"/>
              </w:rPr>
              <w:t>Read `ROLE_HIERARCHY` from `app/core/security.py`</w:t>
            </w:r>
          </w:p>
        </w:tc>
        <w:tc>
          <w:tcPr>
            <w:tcW w:type="dxa" w:w="3120"/>
          </w:tcPr>
          <w:p>
            <w:r/>
            <w:r>
              <w:rPr>
                <w:rFonts w:ascii="Arial" w:hAnsi="Arial"/>
                <w:sz w:val="20"/>
              </w:rPr>
              <w:t>8 roles, levels 1–8</w:t>
            </w:r>
          </w:p>
        </w:tc>
      </w:tr>
      <w:tr>
        <w:tc>
          <w:tcPr>
            <w:tcW w:type="dxa" w:w="3120"/>
          </w:tcPr>
          <w:p>
            <w:r/>
            <w:r>
              <w:rPr>
                <w:rFonts w:ascii="Arial" w:hAnsi="Arial"/>
                <w:sz w:val="20"/>
              </w:rPr>
              <w:t>Connectors</w:t>
            </w:r>
          </w:p>
        </w:tc>
        <w:tc>
          <w:tcPr>
            <w:tcW w:type="dxa" w:w="3120"/>
          </w:tcPr>
          <w:p>
            <w:r/>
            <w:r>
              <w:rPr>
                <w:rFonts w:ascii="Arial" w:hAnsi="Arial"/>
                <w:sz w:val="20"/>
              </w:rPr>
              <w:t>Enumerated classes in `app/Tefca/connectors.py`</w:t>
            </w:r>
          </w:p>
        </w:tc>
        <w:tc>
          <w:tcPr>
            <w:tcW w:type="dxa" w:w="3120"/>
          </w:tcPr>
          <w:p>
            <w:r/>
            <w:r>
              <w:rPr>
                <w:rFonts w:ascii="Arial" w:hAnsi="Arial"/>
                <w:sz w:val="20"/>
              </w:rPr>
              <w:t>6 source connectors + manager</w:t>
            </w:r>
          </w:p>
        </w:tc>
      </w:tr>
      <w:tr>
        <w:tc>
          <w:tcPr>
            <w:tcW w:type="dxa" w:w="3120"/>
          </w:tcPr>
          <w:p>
            <w:r/>
            <w:r>
              <w:rPr>
                <w:rFonts w:ascii="Arial" w:hAnsi="Arial"/>
                <w:sz w:val="20"/>
              </w:rPr>
              <w:t>Configuration</w:t>
            </w:r>
          </w:p>
        </w:tc>
        <w:tc>
          <w:tcPr>
            <w:tcW w:type="dxa" w:w="3120"/>
          </w:tcPr>
          <w:p>
            <w:r/>
            <w:r>
              <w:rPr>
                <w:rFonts w:ascii="Arial" w:hAnsi="Arial"/>
                <w:sz w:val="20"/>
              </w:rPr>
              <w:t>Scanned `os.getenv` / `os.environ` references</w:t>
            </w:r>
          </w:p>
        </w:tc>
        <w:tc>
          <w:tcPr>
            <w:tcW w:type="dxa" w:w="3120"/>
          </w:tcPr>
          <w:p>
            <w:r/>
            <w:r>
              <w:rPr>
                <w:rFonts w:ascii="Arial" w:hAnsi="Arial"/>
                <w:sz w:val="20"/>
              </w:rPr>
              <w:t>96 environment variables</w:t>
            </w:r>
          </w:p>
        </w:tc>
      </w:tr>
      <w:tr>
        <w:tc>
          <w:tcPr>
            <w:tcW w:type="dxa" w:w="3120"/>
          </w:tcPr>
          <w:p>
            <w:r/>
            <w:r>
              <w:rPr>
                <w:rFonts w:ascii="Arial" w:hAnsi="Arial"/>
                <w:sz w:val="20"/>
              </w:rPr>
              <w:t>Frontend pages</w:t>
            </w:r>
          </w:p>
        </w:tc>
        <w:tc>
          <w:tcPr>
            <w:tcW w:type="dxa" w:w="3120"/>
          </w:tcPr>
          <w:p>
            <w:r/>
            <w:r>
              <w:rPr>
                <w:rFonts w:ascii="Arial" w:hAnsi="Arial"/>
                <w:sz w:val="20"/>
              </w:rPr>
              <w:t>Counted `page.js` / `page.tsx` under `frontend/src/app`</w:t>
            </w:r>
          </w:p>
        </w:tc>
        <w:tc>
          <w:tcPr>
            <w:tcW w:type="dxa" w:w="3120"/>
          </w:tcPr>
          <w:p>
            <w:r/>
            <w:r>
              <w:rPr>
                <w:rFonts w:ascii="Arial" w:hAnsi="Arial"/>
                <w:sz w:val="20"/>
              </w:rPr>
              <w:t>75 total; 26 TEFCA; 1 Bulletin</w:t>
            </w:r>
          </w:p>
        </w:tc>
      </w:tr>
      <w:tr>
        <w:tc>
          <w:tcPr>
            <w:tcW w:type="dxa" w:w="3120"/>
          </w:tcPr>
          <w:p>
            <w:r/>
            <w:r>
              <w:rPr>
                <w:rFonts w:ascii="Arial" w:hAnsi="Arial"/>
                <w:sz w:val="20"/>
              </w:rPr>
              <w:t>Test suite</w:t>
            </w:r>
          </w:p>
        </w:tc>
        <w:tc>
          <w:tcPr>
            <w:tcW w:type="dxa" w:w="3120"/>
          </w:tcPr>
          <w:p>
            <w:r/>
            <w:r>
              <w:rPr>
                <w:rFonts w:ascii="Arial" w:hAnsi="Arial"/>
                <w:sz w:val="20"/>
              </w:rPr>
              <w:t>Executed the full suite</w:t>
            </w:r>
          </w:p>
        </w:tc>
        <w:tc>
          <w:tcPr>
            <w:tcW w:type="dxa" w:w="3120"/>
          </w:tcPr>
          <w:p>
            <w:r/>
            <w:r>
              <w:rPr>
                <w:rFonts w:ascii="Arial" w:hAnsi="Arial"/>
                <w:sz w:val="20"/>
              </w:rPr>
              <w:t>804 passed, 24 skipped, 0 failed</w:t>
            </w:r>
          </w:p>
        </w:tc>
      </w:tr>
    </w:tbl>
    <w:p/>
    <w:p>
      <w:r>
        <w:rPr>
          <w:rFonts w:ascii="Arial" w:hAnsi="Arial"/>
        </w:rPr>
        <w:t>*End of Requirements Document.*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Alliance Global Tech, Inc.  |  Contract 7571MN26F80064  |  CONFIDENTIAL  |  Page </w:t>
    </w:r>
    <w:r>
      <w:rPr>
        <w:rFonts w:ascii="Arial" w:hAnsi="Arial"/>
        <w:sz w:val="18"/>
      </w:rPr>
      <w:fldChar w:fldCharType="begin"/>
      <w:instrText xml:space="preserve"> PAGE </w:instrText>
      <w:fldChar w:fldCharType="separate"/>
      <w:t>Update field (F9) to populate.</w:t>
      <w:fldChar w:fldCharType="end"/>
    </w:r>
    <w:r>
      <w:rPr>
        <w:rFonts w:ascii="Arial" w:hAnsi="Arial"/>
        <w:sz w:val="18"/>
      </w:rPr>
      <w:t xml:space="preserve"> of </w:t>
    </w:r>
    <w:r>
      <w:rPr>
        <w:rFonts w:ascii="Arial" w:hAnsi="Arial"/>
        <w:sz w:val="18"/>
      </w:rPr>
      <w:fldChar w:fldCharType="begin"/>
      <w:instrText xml:space="preserve"> NUMPAGES </w:instrText>
      <w:fldChar w:fldCharType="separate"/>
      <w:t>Update field (F9) to populate.</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3087"/>
        <w:sz w:val="18"/>
      </w:rPr>
      <w:t>DocuAction TEFCA ARC Platform - Requirements Document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0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0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08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3087"/>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