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0B3C5D"/>
          </w:tcPr>
          <w:p>
            <w:pPr>
              <w:jc w:val="center"/>
            </w:pPr>
            <w:r>
              <w:rPr>
                <w:rFonts w:ascii="Segoe UI" w:hAnsi="Segoe UI"/>
                <w:b/>
                <w:color w:val="FFFFFF"/>
                <w:sz w:val="48"/>
              </w:rPr>
              <w:t>DocuAction AI</w:t>
            </w:r>
          </w:p>
          <w:p>
            <w:pPr>
              <w:jc w:val="center"/>
            </w:pPr>
            <w:r>
              <w:rPr>
                <w:rFonts w:ascii="Segoe UI" w:hAnsi="Segoe UI"/>
                <w:color w:val="FFFFFF"/>
                <w:sz w:val="22"/>
              </w:rPr>
              <w:t>Enterprise Intelligence Platform — HHS/TEFCA</w:t>
            </w:r>
          </w:p>
          <w:p/>
        </w:tc>
      </w:tr>
    </w:tbl>
    <w:p/>
    <w:p>
      <w:pPr>
        <w:jc w:val="center"/>
      </w:pPr>
      <w:r>
        <w:rPr>
          <w:rFonts w:ascii="Segoe UI" w:hAnsi="Segoe UI"/>
          <w:b/>
          <w:color w:val="0B3C5D"/>
          <w:sz w:val="40"/>
        </w:rPr>
        <w:t>Contingency Plan</w:t>
      </w:r>
    </w:p>
    <w:p>
      <w:pPr>
        <w:jc w:val="center"/>
      </w:pPr>
      <w:r>
        <w:rPr>
          <w:rFonts w:ascii="Segoe UI" w:hAnsi="Segoe UI"/>
          <w:color w:val="2A7FFF"/>
          <w:sz w:val="22"/>
        </w:rPr>
        <w:t>NIST SP 800-34 Rev 1 — Information System Contingency Plan</w:t>
      </w:r>
    </w:p>
    <w:p/>
    <w:tbl>
      <w:tblPr>
        <w:tblStyle w:val="TableGrid"/>
        <w:tblW w:type="auto" w:w="0"/>
        <w:jc w:val="center"/>
        <w:tblLook w:firstColumn="1" w:firstRow="1" w:lastColumn="0" w:lastRow="0" w:noHBand="0" w:noVBand="1" w:val="04A0"/>
      </w:tblPr>
      <w:tblGrid>
        <w:gridCol w:w="4320"/>
        <w:gridCol w:w="4320"/>
      </w:tblGrid>
      <w:tr>
        <w:tc>
          <w:tcPr>
            <w:tcW w:type="dxa" w:w="4320"/>
            <w:shd w:val="clear" w:fill="F2F6FB"/>
          </w:tcPr>
          <w:p>
            <w:r>
              <w:rPr>
                <w:rFonts w:ascii="Segoe UI" w:hAnsi="Segoe UI"/>
                <w:b/>
                <w:color w:val="0B3C5D"/>
                <w:sz w:val="20"/>
              </w:rPr>
              <w:t>System Name</w:t>
            </w:r>
          </w:p>
        </w:tc>
        <w:tc>
          <w:tcPr>
            <w:tcW w:type="dxa" w:w="4320"/>
          </w:tcPr>
          <w:p>
            <w:r>
              <w:rPr>
                <w:rFonts w:ascii="Segoe UI" w:hAnsi="Segoe UI"/>
                <w:sz w:val="20"/>
              </w:rPr>
              <w:t>DocuAction AI (Enterprise Intelligence / TEFCA ARC)</w:t>
            </w:r>
          </w:p>
        </w:tc>
      </w:tr>
      <w:tr>
        <w:tc>
          <w:tcPr>
            <w:tcW w:type="dxa" w:w="4320"/>
            <w:shd w:val="clear" w:fill="F2F6FB"/>
          </w:tcPr>
          <w:p>
            <w:r>
              <w:rPr>
                <w:rFonts w:ascii="Segoe UI" w:hAnsi="Segoe UI"/>
                <w:b/>
                <w:color w:val="0B3C5D"/>
                <w:sz w:val="20"/>
              </w:rPr>
              <w:t>Version</w:t>
            </w:r>
          </w:p>
        </w:tc>
        <w:tc>
          <w:tcPr>
            <w:tcW w:type="dxa" w:w="4320"/>
          </w:tcPr>
          <w:p>
            <w:r>
              <w:rPr>
                <w:rFonts w:ascii="Segoe UI" w:hAnsi="Segoe UI"/>
                <w:sz w:val="20"/>
              </w:rPr>
              <w:t>1.0</w:t>
            </w:r>
          </w:p>
        </w:tc>
      </w:tr>
      <w:tr>
        <w:tc>
          <w:tcPr>
            <w:tcW w:type="dxa" w:w="4320"/>
            <w:shd w:val="clear" w:fill="F2F6FB"/>
          </w:tcPr>
          <w:p>
            <w:r>
              <w:rPr>
                <w:rFonts w:ascii="Segoe UI" w:hAnsi="Segoe UI"/>
                <w:b/>
                <w:color w:val="0B3C5D"/>
                <w:sz w:val="20"/>
              </w:rPr>
              <w:t>Date</w:t>
            </w:r>
          </w:p>
        </w:tc>
        <w:tc>
          <w:tcPr>
            <w:tcW w:type="dxa" w:w="4320"/>
          </w:tcPr>
          <w:p>
            <w:r>
              <w:rPr>
                <w:rFonts w:ascii="Segoe UI" w:hAnsi="Segoe UI"/>
                <w:sz w:val="20"/>
              </w:rPr>
              <w:t>July 20, 2026</w:t>
            </w:r>
          </w:p>
        </w:tc>
      </w:tr>
      <w:tr>
        <w:tc>
          <w:tcPr>
            <w:tcW w:type="dxa" w:w="4320"/>
            <w:shd w:val="clear" w:fill="F2F6FB"/>
          </w:tcPr>
          <w:p>
            <w:r>
              <w:rPr>
                <w:rFonts w:ascii="Segoe UI" w:hAnsi="Segoe UI"/>
                <w:b/>
                <w:color w:val="0B3C5D"/>
                <w:sz w:val="20"/>
              </w:rPr>
              <w:t>Prepared For</w:t>
            </w:r>
          </w:p>
        </w:tc>
        <w:tc>
          <w:tcPr>
            <w:tcW w:type="dxa" w:w="4320"/>
          </w:tcPr>
          <w:p>
            <w:r>
              <w:rPr>
                <w:rFonts w:ascii="Segoe UI" w:hAnsi="Segoe UI"/>
                <w:sz w:val="20"/>
              </w:rPr>
              <w:t>U.S. Department of Health &amp; Human Services (HHS)</w:t>
            </w:r>
          </w:p>
        </w:tc>
      </w:tr>
      <w:tr>
        <w:tc>
          <w:tcPr>
            <w:tcW w:type="dxa" w:w="4320"/>
            <w:shd w:val="clear" w:fill="F2F6FB"/>
          </w:tcPr>
          <w:p>
            <w:r>
              <w:rPr>
                <w:rFonts w:ascii="Segoe UI" w:hAnsi="Segoe UI"/>
                <w:b/>
                <w:color w:val="0B3C5D"/>
                <w:sz w:val="20"/>
              </w:rPr>
              <w:t>Classification</w:t>
            </w:r>
          </w:p>
        </w:tc>
        <w:tc>
          <w:tcPr>
            <w:tcW w:type="dxa" w:w="4320"/>
          </w:tcPr>
          <w:p>
            <w:r>
              <w:rPr>
                <w:rFonts w:ascii="Segoe UI" w:hAnsi="Segoe UI"/>
                <w:sz w:val="20"/>
              </w:rPr>
              <w:t>Controlled Unclassified Information (CUI)</w:t>
            </w:r>
          </w:p>
        </w:tc>
      </w:tr>
    </w:tbl>
    <w:p>
      <w:r>
        <w:br w:type="page"/>
      </w:r>
    </w:p>
    <w:p>
      <w:pPr>
        <w:pStyle w:val="Heading1"/>
      </w:pPr>
      <w:r>
        <w:t>1. Purpose</w:t>
      </w:r>
    </w:p>
    <w:p>
      <w:r>
        <w:rPr>
          <w:rFonts w:ascii="Segoe UI" w:hAnsi="Segoe UI"/>
          <w:sz w:val="21"/>
        </w:rPr>
        <w:t>This Contingency Plan (CP) establishes procedures to recover the DocuAction AI platform following a disruption, minimizing downtime and data loss and preserving the confidentiality, integrity, and availability of protected data.</w:t>
      </w:r>
    </w:p>
    <w:p>
      <w:pPr>
        <w:pStyle w:val="Heading1"/>
      </w:pPr>
      <w:r>
        <w:t>2. System Description</w:t>
      </w:r>
    </w:p>
    <w:p>
      <w:r>
        <w:rPr>
          <w:rFonts w:ascii="Segoe UI" w:hAnsi="Segoe UI"/>
          <w:sz w:val="21"/>
        </w:rPr>
        <w:t>DocuAction AI runs on Azure App Service with an Azure PostgreSQL Flexible Server data tier, Azure Key Vault for secrets, and Azure Static Web Apps for the frontend, in the East US 2 region. Full system detail is maintained in the SSP.</w:t>
      </w:r>
    </w:p>
    <w:p>
      <w:pPr>
        <w:pStyle w:val="Heading1"/>
      </w:pPr>
      <w:r>
        <w:t>3. Roles and Responsibilities</w:t>
      </w:r>
    </w:p>
    <w:tbl>
      <w:tblPr>
        <w:tblStyle w:val="TableGrid"/>
        <w:tblW w:type="auto" w:w="0"/>
        <w:tblLook w:firstColumn="1" w:firstRow="1" w:lastColumn="0" w:lastRow="0" w:noHBand="0" w:noVBand="1" w:val="04A0"/>
      </w:tblPr>
      <w:tblGrid>
        <w:gridCol w:w="4320"/>
        <w:gridCol w:w="4320"/>
      </w:tblGrid>
      <w:tr>
        <w:tc>
          <w:tcPr>
            <w:tcW w:type="dxa" w:w="4320"/>
            <w:shd w:val="clear" w:fill="0B3C5D"/>
          </w:tcPr>
          <w:p>
            <w:r>
              <w:rPr>
                <w:rFonts w:ascii="Segoe UI" w:hAnsi="Segoe UI"/>
                <w:b/>
                <w:color w:val="FFFFFF"/>
                <w:sz w:val="19"/>
              </w:rPr>
              <w:t>Role</w:t>
            </w:r>
          </w:p>
        </w:tc>
        <w:tc>
          <w:tcPr>
            <w:tcW w:type="dxa" w:w="4320"/>
            <w:shd w:val="clear" w:fill="0B3C5D"/>
          </w:tcPr>
          <w:p>
            <w:r>
              <w:rPr>
                <w:rFonts w:ascii="Segoe UI" w:hAnsi="Segoe UI"/>
                <w:b/>
                <w:color w:val="FFFFFF"/>
                <w:sz w:val="19"/>
              </w:rPr>
              <w:t>Contingency Responsibility</w:t>
            </w:r>
          </w:p>
        </w:tc>
      </w:tr>
      <w:tr>
        <w:tc>
          <w:tcPr>
            <w:tcW w:type="dxa" w:w="4320"/>
          </w:tcPr>
          <w:p>
            <w:r>
              <w:rPr>
                <w:rFonts w:ascii="Segoe UI" w:hAnsi="Segoe UI"/>
                <w:sz w:val="19"/>
              </w:rPr>
              <w:t>System Owner</w:t>
            </w:r>
          </w:p>
        </w:tc>
        <w:tc>
          <w:tcPr>
            <w:tcW w:type="dxa" w:w="4320"/>
          </w:tcPr>
          <w:p>
            <w:r>
              <w:rPr>
                <w:rFonts w:ascii="Segoe UI" w:hAnsi="Segoe UI"/>
                <w:sz w:val="19"/>
              </w:rPr>
              <w:t>Declares a disaster; authorizes recovery and communications.</w:t>
            </w:r>
          </w:p>
        </w:tc>
      </w:tr>
      <w:tr>
        <w:tc>
          <w:tcPr>
            <w:tcW w:type="dxa" w:w="4320"/>
            <w:shd w:val="clear" w:fill="F2F6FB"/>
          </w:tcPr>
          <w:p>
            <w:r>
              <w:rPr>
                <w:rFonts w:ascii="Segoe UI" w:hAnsi="Segoe UI"/>
                <w:sz w:val="19"/>
              </w:rPr>
              <w:t>ISSO</w:t>
            </w:r>
          </w:p>
        </w:tc>
        <w:tc>
          <w:tcPr>
            <w:tcW w:type="dxa" w:w="4320"/>
            <w:shd w:val="clear" w:fill="F2F6FB"/>
          </w:tcPr>
          <w:p>
            <w:r>
              <w:rPr>
                <w:rFonts w:ascii="Segoe UI" w:hAnsi="Segoe UI"/>
                <w:sz w:val="19"/>
              </w:rPr>
              <w:t>Coordinates recovery; verifies security posture post-recovery.</w:t>
            </w:r>
          </w:p>
        </w:tc>
      </w:tr>
      <w:tr>
        <w:tc>
          <w:tcPr>
            <w:tcW w:type="dxa" w:w="4320"/>
          </w:tcPr>
          <w:p>
            <w:r>
              <w:rPr>
                <w:rFonts w:ascii="Segoe UI" w:hAnsi="Segoe UI"/>
                <w:sz w:val="19"/>
              </w:rPr>
              <w:t>Cloud Administrator</w:t>
            </w:r>
          </w:p>
        </w:tc>
        <w:tc>
          <w:tcPr>
            <w:tcW w:type="dxa" w:w="4320"/>
          </w:tcPr>
          <w:p>
            <w:r>
              <w:rPr>
                <w:rFonts w:ascii="Segoe UI" w:hAnsi="Segoe UI"/>
                <w:sz w:val="19"/>
              </w:rPr>
              <w:t>Executes Azure recovery (redeploy, PITR restore, region rebuild).</w:t>
            </w:r>
          </w:p>
        </w:tc>
      </w:tr>
      <w:tr>
        <w:tc>
          <w:tcPr>
            <w:tcW w:type="dxa" w:w="4320"/>
            <w:shd w:val="clear" w:fill="F2F6FB"/>
          </w:tcPr>
          <w:p>
            <w:r>
              <w:rPr>
                <w:rFonts w:ascii="Segoe UI" w:hAnsi="Segoe UI"/>
                <w:sz w:val="19"/>
              </w:rPr>
              <w:t>COR / HHS POC</w:t>
            </w:r>
          </w:p>
        </w:tc>
        <w:tc>
          <w:tcPr>
            <w:tcW w:type="dxa" w:w="4320"/>
            <w:shd w:val="clear" w:fill="F2F6FB"/>
          </w:tcPr>
          <w:p>
            <w:r>
              <w:rPr>
                <w:rFonts w:ascii="Segoe UI" w:hAnsi="Segoe UI"/>
                <w:sz w:val="19"/>
              </w:rPr>
              <w:t>Receives notifications per the communication plan.</w:t>
            </w:r>
          </w:p>
        </w:tc>
      </w:tr>
    </w:tbl>
    <w:p/>
    <w:p>
      <w:pPr>
        <w:pStyle w:val="Heading1"/>
      </w:pPr>
      <w:r>
        <w:t>4. Recovery Objectives</w:t>
      </w:r>
    </w:p>
    <w:tbl>
      <w:tblPr>
        <w:tblW w:type="auto" w:w="0"/>
        <w:jc w:val="center"/>
        <w:tblLook w:firstColumn="1" w:firstRow="1" w:lastColumn="0" w:lastRow="0" w:noHBand="0" w:noVBand="1" w:val="04A0"/>
      </w:tblPr>
      <w:tblGrid>
        <w:gridCol w:w="8640"/>
      </w:tblGrid>
      <w:tr>
        <w:tc>
          <w:tcPr>
            <w:tcW w:type="dxa" w:w="8640"/>
            <w:shd w:val="clear" w:fill="EAF1F8"/>
          </w:tcPr>
          <w:p>
            <w:r>
              <w:rPr>
                <w:rFonts w:ascii="Segoe UI" w:hAnsi="Segoe UI"/>
                <w:b/>
                <w:color w:val="0B3C5D"/>
                <w:sz w:val="20"/>
              </w:rPr>
              <w:t xml:space="preserve">RTO / RPO.  </w:t>
            </w:r>
            <w:r>
              <w:rPr>
                <w:rFonts w:ascii="Segoe UI" w:hAnsi="Segoe UI"/>
                <w:sz w:val="20"/>
              </w:rPr>
              <w:t>Recovery Time Objective (RTO): 4 hours.  Recovery Point Objective (RPO): 5 minutes.</w:t>
            </w:r>
          </w:p>
        </w:tc>
      </w:tr>
    </w:tbl>
    <w:p/>
    <w:p>
      <w:pPr>
        <w:pStyle w:val="Heading1"/>
      </w:pPr>
      <w:r>
        <w:t>5. Backup Strategy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B3C5D"/>
          </w:tcPr>
          <w:p>
            <w:r>
              <w:rPr>
                <w:rFonts w:ascii="Segoe UI" w:hAnsi="Segoe UI"/>
                <w:b/>
                <w:color w:val="FFFFFF"/>
                <w:sz w:val="19"/>
              </w:rPr>
              <w:t>Asset</w:t>
            </w:r>
          </w:p>
        </w:tc>
        <w:tc>
          <w:tcPr>
            <w:tcW w:type="dxa" w:w="2880"/>
            <w:shd w:val="clear" w:fill="0B3C5D"/>
          </w:tcPr>
          <w:p>
            <w:r>
              <w:rPr>
                <w:rFonts w:ascii="Segoe UI" w:hAnsi="Segoe UI"/>
                <w:b/>
                <w:color w:val="FFFFFF"/>
                <w:sz w:val="19"/>
              </w:rPr>
              <w:t>Mechanism</w:t>
            </w:r>
          </w:p>
        </w:tc>
        <w:tc>
          <w:tcPr>
            <w:tcW w:type="dxa" w:w="2880"/>
            <w:shd w:val="clear" w:fill="0B3C5D"/>
          </w:tcPr>
          <w:p>
            <w:r>
              <w:rPr>
                <w:rFonts w:ascii="Segoe UI" w:hAnsi="Segoe UI"/>
                <w:b/>
                <w:color w:val="FFFFFF"/>
                <w:sz w:val="19"/>
              </w:rPr>
              <w:t>Coverage</w:t>
            </w:r>
          </w:p>
        </w:tc>
      </w:tr>
      <w:tr>
        <w:tc>
          <w:tcPr>
            <w:tcW w:type="dxa" w:w="2880"/>
          </w:tcPr>
          <w:p>
            <w:r>
              <w:rPr>
                <w:rFonts w:ascii="Segoe UI" w:hAnsi="Segoe UI"/>
                <w:sz w:val="19"/>
              </w:rPr>
              <w:t>Database</w:t>
            </w:r>
          </w:p>
        </w:tc>
        <w:tc>
          <w:tcPr>
            <w:tcW w:type="dxa" w:w="2880"/>
          </w:tcPr>
          <w:p>
            <w:r>
              <w:rPr>
                <w:rFonts w:ascii="Segoe UI" w:hAnsi="Segoe UI"/>
                <w:sz w:val="19"/>
              </w:rPr>
              <w:t>Azure PostgreSQL Point-in-Time Restore</w:t>
            </w:r>
          </w:p>
        </w:tc>
        <w:tc>
          <w:tcPr>
            <w:tcW w:type="dxa" w:w="2880"/>
          </w:tcPr>
          <w:p>
            <w:r>
              <w:rPr>
                <w:rFonts w:ascii="Segoe UI" w:hAnsi="Segoe UI"/>
                <w:sz w:val="19"/>
              </w:rPr>
              <w:t>7-day PITR window; RPO ≈ 5 min</w:t>
            </w:r>
          </w:p>
        </w:tc>
      </w:tr>
      <w:tr>
        <w:tc>
          <w:tcPr>
            <w:tcW w:type="dxa" w:w="2880"/>
            <w:shd w:val="clear" w:fill="F2F6FB"/>
          </w:tcPr>
          <w:p>
            <w:r>
              <w:rPr>
                <w:rFonts w:ascii="Segoe UI" w:hAnsi="Segoe UI"/>
                <w:sz w:val="19"/>
              </w:rPr>
              <w:t>Application code</w:t>
            </w:r>
          </w:p>
        </w:tc>
        <w:tc>
          <w:tcPr>
            <w:tcW w:type="dxa" w:w="2880"/>
            <w:shd w:val="clear" w:fill="F2F6FB"/>
          </w:tcPr>
          <w:p>
            <w:r>
              <w:rPr>
                <w:rFonts w:ascii="Segoe UI" w:hAnsi="Segoe UI"/>
                <w:sz w:val="19"/>
              </w:rPr>
              <w:t>GitHub (origin/main)</w:t>
            </w:r>
          </w:p>
        </w:tc>
        <w:tc>
          <w:tcPr>
            <w:tcW w:type="dxa" w:w="2880"/>
            <w:shd w:val="clear" w:fill="F2F6FB"/>
          </w:tcPr>
          <w:p>
            <w:r>
              <w:rPr>
                <w:rFonts w:ascii="Segoe UI" w:hAnsi="Segoe UI"/>
                <w:sz w:val="19"/>
              </w:rPr>
              <w:t>Full version history; redeployable</w:t>
            </w:r>
          </w:p>
        </w:tc>
      </w:tr>
      <w:tr>
        <w:tc>
          <w:tcPr>
            <w:tcW w:type="dxa" w:w="2880"/>
          </w:tcPr>
          <w:p>
            <w:r>
              <w:rPr>
                <w:rFonts w:ascii="Segoe UI" w:hAnsi="Segoe UI"/>
                <w:sz w:val="19"/>
              </w:rPr>
              <w:t>Secrets</w:t>
            </w:r>
          </w:p>
        </w:tc>
        <w:tc>
          <w:tcPr>
            <w:tcW w:type="dxa" w:w="2880"/>
          </w:tcPr>
          <w:p>
            <w:r>
              <w:rPr>
                <w:rFonts w:ascii="Segoe UI" w:hAnsi="Segoe UI"/>
                <w:sz w:val="19"/>
              </w:rPr>
              <w:t>Azure Key Vault soft-delete + purge protection</w:t>
            </w:r>
          </w:p>
        </w:tc>
        <w:tc>
          <w:tcPr>
            <w:tcW w:type="dxa" w:w="2880"/>
          </w:tcPr>
          <w:p>
            <w:r>
              <w:rPr>
                <w:rFonts w:ascii="Segoe UI" w:hAnsi="Segoe UI"/>
                <w:sz w:val="19"/>
              </w:rPr>
              <w:t>90-day recoverable; purge-proof</w:t>
            </w:r>
          </w:p>
        </w:tc>
      </w:tr>
      <w:tr>
        <w:tc>
          <w:tcPr>
            <w:tcW w:type="dxa" w:w="2880"/>
            <w:shd w:val="clear" w:fill="F2F6FB"/>
          </w:tcPr>
          <w:p>
            <w:r>
              <w:rPr>
                <w:rFonts w:ascii="Segoe UI" w:hAnsi="Segoe UI"/>
                <w:sz w:val="19"/>
              </w:rPr>
              <w:t>Infrastructure</w:t>
            </w:r>
          </w:p>
        </w:tc>
        <w:tc>
          <w:tcPr>
            <w:tcW w:type="dxa" w:w="2880"/>
            <w:shd w:val="clear" w:fill="F2F6FB"/>
          </w:tcPr>
          <w:p>
            <w:r>
              <w:rPr>
                <w:rFonts w:ascii="Segoe UI" w:hAnsi="Segoe UI"/>
                <w:sz w:val="19"/>
              </w:rPr>
              <w:t>Documented, repeatable Azure CLI provisioning</w:t>
            </w:r>
          </w:p>
        </w:tc>
        <w:tc>
          <w:tcPr>
            <w:tcW w:type="dxa" w:w="2880"/>
            <w:shd w:val="clear" w:fill="F2F6FB"/>
          </w:tcPr>
          <w:p>
            <w:r>
              <w:rPr>
                <w:rFonts w:ascii="Segoe UI" w:hAnsi="Segoe UI"/>
                <w:sz w:val="19"/>
              </w:rPr>
              <w:t>Rebuildable in an alternate region</w:t>
            </w:r>
          </w:p>
        </w:tc>
      </w:tr>
    </w:tbl>
    <w:p/>
    <w:p>
      <w:pPr>
        <w:pStyle w:val="Heading1"/>
      </w:pPr>
      <w:r>
        <w:t>6. Recovery Procedures</w:t>
      </w:r>
    </w:p>
    <w:p>
      <w:pPr>
        <w:pStyle w:val="Heading2"/>
      </w:pPr>
      <w:r>
        <w:t>6.1 App Service failure</w:t>
      </w:r>
    </w:p>
    <w:p>
      <w:r>
        <w:rPr>
          <w:rFonts w:ascii="Segoe UI" w:hAnsi="Segoe UI"/>
          <w:sz w:val="21"/>
        </w:rPr>
        <w:t>Redeploy the application from GitHub origin/main to the App Service; confirm /health returns 200 and Key Vault references resolve.</w:t>
      </w:r>
    </w:p>
    <w:p>
      <w:pPr>
        <w:pStyle w:val="Heading2"/>
      </w:pPr>
      <w:r>
        <w:t>6.2 Database failure or corruption</w:t>
      </w:r>
    </w:p>
    <w:p>
      <w:r>
        <w:rPr>
          <w:rFonts w:ascii="Segoe UI" w:hAnsi="Segoe UI"/>
          <w:sz w:val="21"/>
        </w:rPr>
        <w:t>Perform an Azure PostgreSQL Point-in-Time Restore to the latest healthy timestamp; repoint DATABASE_URL; validate connectivity via an authenticated request.</w:t>
      </w:r>
    </w:p>
    <w:p>
      <w:pPr>
        <w:pStyle w:val="Heading2"/>
      </w:pPr>
      <w:r>
        <w:t>6.3 Regional failure</w:t>
      </w:r>
    </w:p>
    <w:p>
      <w:r>
        <w:rPr>
          <w:rFonts w:ascii="Segoe UI" w:hAnsi="Segoe UI"/>
          <w:sz w:val="21"/>
        </w:rPr>
        <w:t>Provision the App Service, PostgreSQL, and Key Vault in an alternate Azure region from the documented CLI baseline; restore data from the most recent geo-redundant backup; update DNS.</w:t>
      </w:r>
    </w:p>
    <w:p>
      <w:pPr>
        <w:pStyle w:val="Heading2"/>
      </w:pPr>
      <w:r>
        <w:t>6.4 Key or credential compromise</w:t>
      </w:r>
    </w:p>
    <w:p>
      <w:r>
        <w:rPr>
          <w:rFonts w:ascii="Segoe UI" w:hAnsi="Segoe UI"/>
          <w:sz w:val="21"/>
        </w:rPr>
        <w:t>Rotate affected secrets in Key Vault (new version); revoke outstanding sessions (bump the token revocation epoch); rotate the App Service SECRET_KEY; review audit logs for misuse.</w:t>
      </w:r>
    </w:p>
    <w:p>
      <w:pPr>
        <w:pStyle w:val="Heading1"/>
      </w:pPr>
      <w:r>
        <w:t>7. Communication Plan</w:t>
      </w:r>
    </w:p>
    <w:tbl>
      <w:tblPr>
        <w:tblW w:type="auto" w:w="0"/>
        <w:jc w:val="center"/>
        <w:tblLook w:firstColumn="1" w:firstRow="1" w:lastColumn="0" w:lastRow="0" w:noHBand="0" w:noVBand="1" w:val="04A0"/>
      </w:tblPr>
      <w:tblGrid>
        <w:gridCol w:w="8640"/>
      </w:tblGrid>
      <w:tr>
        <w:tc>
          <w:tcPr>
            <w:tcW w:type="dxa" w:w="8640"/>
            <w:shd w:val="clear" w:fill="EAF1F8"/>
          </w:tcPr>
          <w:p>
            <w:r>
              <w:rPr>
                <w:rFonts w:ascii="Segoe UI" w:hAnsi="Segoe UI"/>
                <w:b/>
                <w:color w:val="0B3C5D"/>
                <w:sz w:val="20"/>
              </w:rPr>
              <w:t xml:space="preserve">Notification.  </w:t>
            </w:r>
            <w:r>
              <w:rPr>
                <w:rFonts w:ascii="Segoe UI" w:hAnsi="Segoe UI"/>
                <w:sz w:val="20"/>
              </w:rPr>
              <w:t>The COR is notified within 1 hour of a confirmed contingency event, per HHSAR 352.239-72, with status updates until recovery is confirmed.</w:t>
            </w:r>
          </w:p>
        </w:tc>
      </w:tr>
    </w:tbl>
    <w:p/>
    <w:p>
      <w:pPr>
        <w:pStyle w:val="Heading1"/>
      </w:pPr>
      <w:r>
        <w:t>8. Plan Testing</w:t>
      </w:r>
    </w:p>
    <w:p>
      <w:r>
        <w:rPr>
          <w:rFonts w:ascii="Segoe UI" w:hAnsi="Segoe UI"/>
          <w:sz w:val="21"/>
        </w:rPr>
        <w:t>This plan is exercised annually via a tabletop exercise covering at least one database-restore and one credential-compromise scenario. Results and lessons learned are recorded.</w:t>
      </w:r>
    </w:p>
    <w:p>
      <w:pPr>
        <w:pStyle w:val="Heading1"/>
      </w:pPr>
      <w:r>
        <w:t>9. Plan Maintenance</w:t>
      </w:r>
    </w:p>
    <w:p>
      <w:r>
        <w:rPr>
          <w:rFonts w:ascii="Segoe UI" w:hAnsi="Segoe UI"/>
          <w:sz w:val="21"/>
        </w:rPr>
        <w:t>The CP is reviewed at least annually and after any significant architecture change or incident, and re-approved by the System Owner.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05E5C"/>
        <w:sz w:val="15"/>
      </w:rPr>
      <w:t xml:space="preserve">DocuAction AI  |  Contingency Plan  |  Controlled Unclassified Information (CUI)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3C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B3C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