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B3C5D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48"/>
              </w:rPr>
              <w:t>DocuAction AI</w:t>
            </w:r>
          </w:p>
          <w:p>
            <w:pPr>
              <w:jc w:val="center"/>
            </w:pPr>
            <w:r>
              <w:rPr>
                <w:rFonts w:ascii="Segoe UI" w:hAnsi="Segoe UI"/>
                <w:color w:val="FFFFFF"/>
                <w:sz w:val="22"/>
              </w:rPr>
              <w:t>Enterprise Intelligence Platform — HHS/TEFCA</w:t>
            </w:r>
          </w:p>
          <w:p/>
        </w:tc>
      </w:tr>
    </w:tbl>
    <w:p/>
    <w:p>
      <w:pPr>
        <w:jc w:val="center"/>
      </w:pPr>
      <w:r>
        <w:rPr>
          <w:rFonts w:ascii="Segoe UI" w:hAnsi="Segoe UI"/>
          <w:b/>
          <w:color w:val="0B3C5D"/>
          <w:sz w:val="40"/>
        </w:rPr>
        <w:t>Data Flow Diagram</w:t>
      </w:r>
    </w:p>
    <w:p>
      <w:pPr>
        <w:jc w:val="center"/>
      </w:pPr>
      <w:r>
        <w:rPr>
          <w:rFonts w:ascii="Segoe UI" w:hAnsi="Segoe UI"/>
          <w:color w:val="0078D4"/>
          <w:sz w:val="22"/>
        </w:rPr>
        <w:t>System Context, Flows, and Trust Boundaries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DocuAction AI (TEFCA ARC)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July 20, 2026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CUI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rPr>
          <w:rFonts w:ascii="Segoe UI" w:hAnsi="Segoe UI"/>
          <w:sz w:val="21"/>
        </w:rPr>
        <w:t>This document describes the data flows of the DocuAction AI platform, the external entities it communicates with, the protocols and authentication used, and where data crosses trust boundaries.</w:t>
      </w:r>
    </w:p>
    <w:p>
      <w:pPr>
        <w:pStyle w:val="Heading1"/>
      </w:pPr>
      <w:r>
        <w:t>2. System Context</w:t>
      </w:r>
    </w:p>
    <w:p>
      <w:r>
        <w:rPr>
          <w:rFonts w:ascii="Segoe UI" w:hAnsi="Segoe UI"/>
          <w:sz w:val="21"/>
        </w:rPr>
        <w:t>External entities interacting with the system: Users, the COR, NPPES, SAM.gov, OIG LEIE, PECOS, the AI Service (Anthropic), SendGrid, and Microsoft Entra ID. The App Service is the central process; Azure PostgreSQL and Azure Key Vault are the data stores.</w:t>
      </w:r>
    </w:p>
    <w:p>
      <w:pPr>
        <w:pStyle w:val="Heading1"/>
      </w:pPr>
      <w:r>
        <w:t>3. Data Flow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Destination</w:t>
            </w:r>
          </w:p>
        </w:tc>
        <w:tc>
          <w:tcPr>
            <w:tcW w:type="dxa" w:w="172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172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172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App Service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Credentials, CSV files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HTTPS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JWT</w:t>
            </w:r>
          </w:p>
        </w:tc>
      </w:tr>
      <w:tr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App Service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PostgreSQL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Entity data, audit records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TLS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Connection string</w:t>
            </w:r>
          </w:p>
        </w:tc>
      </w:tr>
      <w:tr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App Service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NPPES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NPI query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HTTPS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Public API</w:t>
            </w:r>
          </w:p>
        </w:tc>
      </w:tr>
      <w:tr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App Service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SAM.gov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Entity query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HTTPS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API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App Service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OIG LEIE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Exclusion query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HTTPS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Public API</w:t>
            </w:r>
          </w:p>
        </w:tc>
      </w:tr>
      <w:tr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App Service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PECOS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Enrollment query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HTTPS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API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App Service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AI Service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Entity context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HTTPS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API key</w:t>
            </w:r>
          </w:p>
        </w:tc>
      </w:tr>
      <w:tr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App Service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SendGrid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Email content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HTTPS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API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App Service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Key Vault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Secret retrieval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HTTPS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Managed Identity (private endpoint)</w:t>
            </w:r>
          </w:p>
        </w:tc>
      </w:tr>
      <w:tr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User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Entra ID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SSO authentication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HTTPS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OIDC</w:t>
            </w:r>
          </w:p>
        </w:tc>
      </w:tr>
      <w:tr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Entra ID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App Service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Auth callback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HTTPS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OAuth code</w:t>
            </w:r>
          </w:p>
        </w:tc>
      </w:tr>
      <w:tr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App Service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User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JWT tokens, HTML, reports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HTTPS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4. Trust Boundary Crossings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Data Crossing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Controls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Internet -&gt; App Service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Credentials, uploads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TLS 1.2; JWT; rate limiting; input validation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App Service -&gt; PostgreSQL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PII / CUI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TLS (ssl=require); firewall; parameterized SQL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App Service -&gt; Key Vault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Secrets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Managed Identity; private endpoint (public access disabled)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App Service -&gt; Government APIs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NPI / entity queries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TLS; read-only; API keys in Key Vault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App Service -&gt; AI / SendGrid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Entity context / email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TLS; API keys in Key Vault; no bulk PII</w:t>
            </w:r>
          </w:p>
        </w:tc>
      </w:tr>
    </w:tbl>
    <w:p/>
    <w:p>
      <w:pPr>
        <w:pStyle w:val="Heading1"/>
      </w:pPr>
      <w:r>
        <w:t>5. Data at Rest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Data Stored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Encryption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Access Control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Azure PostgreSQL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Entity data, findings, audit, users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Encryption at rest (platform)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Firewall + app RBAC</w:t>
            </w:r>
          </w:p>
        </w:tc>
      </w:tr>
      <w:tr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Azure Key Vault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Signing key, API keys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Encryption at rest (HSM-backed)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Managed Identity RBAC; private endpoint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GitHub (private)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Source code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Provider encryption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Branch protection; org access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605E5C"/>
        <w:sz w:val="15"/>
      </w:rPr>
      <w:t xml:space="preserve">DocuAction AI  |  Data Flow Diagram  |  CUI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3C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3C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