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B3C5D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48"/>
              </w:rPr>
              <w:t>DocuAction AI</w:t>
            </w:r>
          </w:p>
          <w:p>
            <w:pPr>
              <w:jc w:val="center"/>
            </w:pPr>
            <w:r>
              <w:rPr>
                <w:rFonts w:ascii="Segoe UI" w:hAnsi="Segoe UI"/>
                <w:color w:val="FFFFFF"/>
                <w:sz w:val="22"/>
              </w:rPr>
              <w:t>Enterprise Intelligence Platform — HHS/TEFCA</w:t>
            </w:r>
          </w:p>
          <w:p/>
        </w:tc>
      </w:tr>
    </w:tbl>
    <w:p/>
    <w:p>
      <w:pPr>
        <w:jc w:val="center"/>
      </w:pPr>
      <w:r>
        <w:rPr>
          <w:rFonts w:ascii="Segoe UI" w:hAnsi="Segoe UI"/>
          <w:b/>
          <w:color w:val="0B3C5D"/>
          <w:sz w:val="40"/>
        </w:rPr>
        <w:t>Incident Response Plan</w:t>
      </w:r>
    </w:p>
    <w:p>
      <w:pPr>
        <w:jc w:val="center"/>
      </w:pPr>
      <w:r>
        <w:rPr>
          <w:rFonts w:ascii="Segoe UI" w:hAnsi="Segoe UI"/>
          <w:color w:val="2A7FFF"/>
          <w:sz w:val="22"/>
        </w:rPr>
        <w:t>NIST SP 800-61 Rev 2 — Computer Security Incident Handling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System Name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DocuAction AI (Enterprise Intelligence / TEFCA ARC)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July 20, 2026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Prepared For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U.S. Department of Health &amp; Human Services (HHS)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20"/>
              </w:rPr>
              <w:t>Controlled Unclassified Information (CUI)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rPr>
          <w:rFonts w:ascii="Segoe UI" w:hAnsi="Segoe UI"/>
          <w:sz w:val="21"/>
        </w:rPr>
        <w:t>This Incident Response Plan (IRP) defines how DocuAction AI detects, analyzes, contains, and recovers from security incidents, and the associated federal notification obligations.</w:t>
      </w:r>
    </w:p>
    <w:p>
      <w:pPr>
        <w:pStyle w:val="Heading1"/>
      </w:pPr>
      <w:r>
        <w:t>2. Scope</w:t>
      </w:r>
    </w:p>
    <w:p>
      <w:r>
        <w:rPr>
          <w:rFonts w:ascii="Segoe UI" w:hAnsi="Segoe UI"/>
          <w:sz w:val="21"/>
        </w:rPr>
        <w:t>The IRP applies to all components within the authorization boundary and to any event affecting the confidentiality, integrity, or availability of DocuAction data or services.</w:t>
      </w:r>
    </w:p>
    <w:p>
      <w:pPr>
        <w:pStyle w:val="Heading1"/>
      </w:pPr>
      <w:r>
        <w:t>3. Incident Categories and Severity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288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SEV-1 Critical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Confirmed data breach or full outage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PHI/PII exfiltration; production down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SEV-2 High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Material impact, contained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Credential compromise; auth bypass attempt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SEV-3 Moderate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Limited impact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sz w:val="19"/>
              </w:rPr>
              <w:t>Isolated 5xx spike; single-account misuse</w:t>
            </w:r>
          </w:p>
        </w:tc>
      </w:tr>
      <w:tr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SEV-4 Low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Minimal / informational</w:t>
            </w:r>
          </w:p>
        </w:tc>
        <w:tc>
          <w:tcPr>
            <w:tcW w:type="dxa" w:w="2880"/>
            <w:shd w:val="clear" w:fill="F2F6FB"/>
          </w:tcPr>
          <w:p>
            <w:r>
              <w:rPr>
                <w:rFonts w:ascii="Segoe UI" w:hAnsi="Segoe UI"/>
                <w:sz w:val="19"/>
              </w:rPr>
              <w:t>Failed-auth probing; policy violation</w:t>
            </w:r>
          </w:p>
        </w:tc>
      </w:tr>
    </w:tbl>
    <w:p/>
    <w:p>
      <w:pPr>
        <w:pStyle w:val="Heading1"/>
      </w:pPr>
      <w:r>
        <w:t>4. Incident Response Team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4320"/>
            <w:shd w:val="clear" w:fill="0B3C5D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Incident Commander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Declares severity; directs response; owns comms.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ISSO</w:t>
            </w:r>
          </w:p>
        </w:tc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Technical analysis; evidence integrity; POA&amp;M.</w:t>
            </w:r>
          </w:p>
        </w:tc>
      </w:tr>
      <w:tr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Cloud Administrator</w:t>
            </w:r>
          </w:p>
        </w:tc>
        <w:tc>
          <w:tcPr>
            <w:tcW w:type="dxa" w:w="4320"/>
          </w:tcPr>
          <w:p>
            <w:r>
              <w:rPr>
                <w:rFonts w:ascii="Segoe UI" w:hAnsi="Segoe UI"/>
                <w:sz w:val="19"/>
              </w:rPr>
              <w:t>Containment and recovery actions in Azure.</w:t>
            </w:r>
          </w:p>
        </w:tc>
      </w:tr>
      <w:tr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System Owner / COR liaison</w:t>
            </w:r>
          </w:p>
        </w:tc>
        <w:tc>
          <w:tcPr>
            <w:tcW w:type="dxa" w:w="4320"/>
            <w:shd w:val="clear" w:fill="F2F6FB"/>
          </w:tcPr>
          <w:p>
            <w:r>
              <w:rPr>
                <w:rFonts w:ascii="Segoe UI" w:hAnsi="Segoe UI"/>
                <w:sz w:val="19"/>
              </w:rPr>
              <w:t>Executes federal notification obligations.</w:t>
            </w:r>
          </w:p>
        </w:tc>
      </w:tr>
    </w:tbl>
    <w:p/>
    <w:p>
      <w:pPr>
        <w:pStyle w:val="Heading1"/>
      </w:pPr>
      <w:r>
        <w:t>5. Detection and Analysis</w:t>
      </w:r>
    </w:p>
    <w:p>
      <w:pPr>
        <w:pStyle w:val="ListBullet"/>
      </w:pPr>
      <w:r>
        <w:rPr>
          <w:rFonts w:ascii="Segoe UI" w:hAnsi="Segoe UI"/>
          <w:sz w:val="21"/>
        </w:rPr>
        <w:t>Azure Monitor alerts (availability, HTTP 5xx, CPU, database availability) route to the ISSO.</w:t>
      </w:r>
    </w:p>
    <w:p>
      <w:pPr>
        <w:pStyle w:val="ListBullet"/>
      </w:pPr>
      <w:r>
        <w:rPr>
          <w:rFonts w:ascii="Segoe UI" w:hAnsi="Segoe UI"/>
          <w:sz w:val="21"/>
        </w:rPr>
        <w:t>Application Insights + Log Analytics (90-day retention) provide telemetry and query.</w:t>
      </w:r>
    </w:p>
    <w:p>
      <w:pPr>
        <w:pStyle w:val="ListBullet"/>
      </w:pPr>
      <w:r>
        <w:rPr>
          <w:rFonts w:ascii="Segoe UI" w:hAnsi="Segoe UI"/>
          <w:sz w:val="21"/>
        </w:rPr>
        <w:t>The immutable audit_logs table records auth, authorization-denied, admin, and data events.</w:t>
      </w:r>
    </w:p>
    <w:p>
      <w:pPr>
        <w:pStyle w:val="ListBullet"/>
      </w:pPr>
      <w:r>
        <w:rPr>
          <w:rFonts w:ascii="Segoe UI" w:hAnsi="Segoe UI"/>
          <w:sz w:val="21"/>
        </w:rPr>
        <w:t>Analysts confirm scope, entry vector, and affected data before escalation.</w:t>
      </w:r>
    </w:p>
    <w:p>
      <w:pPr>
        <w:pStyle w:val="Heading1"/>
      </w:pPr>
      <w:r>
        <w:t>6. Containment, Eradication, and Recovery</w:t>
      </w:r>
    </w:p>
    <w:p>
      <w:pPr>
        <w:pStyle w:val="ListBullet"/>
      </w:pPr>
      <w:r>
        <w:rPr>
          <w:rFonts w:ascii="Segoe UI" w:hAnsi="Segoe UI"/>
          <w:sz w:val="21"/>
        </w:rPr>
        <w:t>Containment — revoke sessions/keys, block sources, isolate the affected component.</w:t>
      </w:r>
    </w:p>
    <w:p>
      <w:pPr>
        <w:pStyle w:val="ListBullet"/>
      </w:pPr>
      <w:r>
        <w:rPr>
          <w:rFonts w:ascii="Segoe UI" w:hAnsi="Segoe UI"/>
          <w:sz w:val="21"/>
        </w:rPr>
        <w:t>Eradication — remove the root cause; patch or reconfigure; rotate secrets in Key Vault.</w:t>
      </w:r>
    </w:p>
    <w:p>
      <w:pPr>
        <w:pStyle w:val="ListBullet"/>
      </w:pPr>
      <w:r>
        <w:rPr>
          <w:rFonts w:ascii="Segoe UI" w:hAnsi="Segoe UI"/>
          <w:sz w:val="21"/>
        </w:rPr>
        <w:t>Recovery — restore from PITR/GitHub per the Contingency Plan; verify /health and integrity before return to service.</w:t>
      </w:r>
    </w:p>
    <w:p>
      <w:pPr>
        <w:pStyle w:val="Heading1"/>
      </w:pPr>
      <w:r>
        <w:t>7. Notification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8"/>
          </w:tcPr>
          <w:p>
            <w:r>
              <w:rPr>
                <w:rFonts w:ascii="Segoe UI" w:hAnsi="Segoe UI"/>
                <w:b/>
                <w:color w:val="0B3C5D"/>
                <w:sz w:val="20"/>
              </w:rPr>
              <w:t xml:space="preserve">Federal Notification.  </w:t>
            </w:r>
            <w:r>
              <w:rPr>
                <w:rFonts w:ascii="Segoe UI" w:hAnsi="Segoe UI"/>
                <w:sz w:val="20"/>
              </w:rPr>
              <w:t>Confirmed incidents are reported to the COR within 1 hour per HHSAR 352.239-72. Breaches of PHI follow HHS/HIPAA breach-notification timelines.</w:t>
            </w:r>
          </w:p>
        </w:tc>
      </w:tr>
    </w:tbl>
    <w:p/>
    <w:p>
      <w:pPr>
        <w:pStyle w:val="Heading1"/>
      </w:pPr>
      <w:r>
        <w:t>8. Evidence Preservation</w:t>
      </w:r>
    </w:p>
    <w:p>
      <w:r>
        <w:rPr>
          <w:rFonts w:ascii="Segoe UI" w:hAnsi="Segoe UI"/>
          <w:sz w:val="21"/>
        </w:rPr>
        <w:t>Logs, audit records, and Azure activity data are preserved in a read-only manner with chain-of-custody notes. The audit table is append-only; Log Analytics retention safeguards telemetry for the investigation window.</w:t>
      </w:r>
    </w:p>
    <w:p>
      <w:pPr>
        <w:pStyle w:val="Heading1"/>
      </w:pPr>
      <w:r>
        <w:t>9. Post-Incident Review</w:t>
      </w:r>
    </w:p>
    <w:p>
      <w:r>
        <w:rPr>
          <w:rFonts w:ascii="Segoe UI" w:hAnsi="Segoe UI"/>
          <w:sz w:val="21"/>
        </w:rPr>
        <w:t>Within 10 business days of closure, the team conducts a lessons-learned review, updates controls and this plan, and records corrective actions as POA&amp;M items.</w:t>
      </w:r>
    </w:p>
    <w:p>
      <w:pPr>
        <w:pStyle w:val="Heading1"/>
      </w:pPr>
      <w:r>
        <w:t>10. Plan Testing and Maintenance</w:t>
      </w:r>
    </w:p>
    <w:p>
      <w:r>
        <w:rPr>
          <w:rFonts w:ascii="Segoe UI" w:hAnsi="Segoe UI"/>
          <w:sz w:val="21"/>
        </w:rPr>
        <w:t>The IRP is tested annually (tabletop) and updated after any significant incident or architecture change, then re-approved by the System Owner.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05E5C"/>
        <w:sz w:val="15"/>
      </w:rPr>
      <w:t xml:space="preserve">DocuAction AI  |  Incident Response Plan  |  Controlled Unclassified Information (CUI)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3C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3C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B3C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