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B3C5D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48"/>
              </w:rPr>
              <w:t>DocuAction AI</w:t>
            </w:r>
          </w:p>
          <w:p>
            <w:pPr>
              <w:jc w:val="center"/>
            </w:pPr>
            <w:r>
              <w:rPr>
                <w:rFonts w:ascii="Segoe UI" w:hAnsi="Segoe UI"/>
                <w:color w:val="FFFFFF"/>
                <w:sz w:val="22"/>
              </w:rPr>
              <w:t>Enterprise Intelligence Platform — HHS/TEFCA</w:t>
            </w:r>
          </w:p>
          <w:p/>
        </w:tc>
      </w:tr>
    </w:tbl>
    <w:p/>
    <w:p>
      <w:pPr>
        <w:jc w:val="center"/>
      </w:pPr>
      <w:r>
        <w:rPr>
          <w:rFonts w:ascii="Segoe UI" w:hAnsi="Segoe UI"/>
          <w:b/>
          <w:color w:val="0B3C5D"/>
          <w:sz w:val="40"/>
        </w:rPr>
        <w:t>Threat Model</w:t>
      </w:r>
    </w:p>
    <w:p>
      <w:pPr>
        <w:jc w:val="center"/>
      </w:pPr>
      <w:r>
        <w:rPr>
          <w:rFonts w:ascii="Segoe UI" w:hAnsi="Segoe UI"/>
          <w:color w:val="0078D4"/>
          <w:sz w:val="22"/>
        </w:rPr>
        <w:t>NIST SP 800-30 + STRIDE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b/>
                <w:color w:val="0B3C5D"/>
                <w:sz w:val="20"/>
              </w:rPr>
              <w:t>System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20"/>
              </w:rPr>
              <w:t>DocuAction AI (TEFCA ARC)</w:t>
            </w:r>
          </w:p>
        </w:tc>
      </w:tr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b/>
                <w:color w:val="0B3C5D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20"/>
              </w:rPr>
              <w:t>1.0</w:t>
            </w:r>
          </w:p>
        </w:tc>
      </w:tr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b/>
                <w:color w:val="0B3C5D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20"/>
              </w:rPr>
              <w:t>July 20, 2026</w:t>
            </w:r>
          </w:p>
        </w:tc>
      </w:tr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b/>
                <w:color w:val="0B3C5D"/>
                <w:sz w:val="20"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20"/>
              </w:rPr>
              <w:t>CUI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rPr>
          <w:rFonts w:ascii="Segoe UI" w:hAnsi="Segoe UI"/>
          <w:sz w:val="21"/>
        </w:rPr>
        <w:t>This threat model identifies assets, trust boundaries, and threats to the DocuAction AI platform and documents the mitigations in place, following STRIDE and NIST SP 800-30.</w:t>
      </w:r>
    </w:p>
    <w:p>
      <w:pPr>
        <w:pStyle w:val="Heading1"/>
      </w:pPr>
      <w:r>
        <w:t>2. System Overview</w:t>
      </w:r>
    </w:p>
    <w:p>
      <w:r>
        <w:rPr>
          <w:rFonts w:ascii="Segoe UI" w:hAnsi="Segoe UI"/>
          <w:sz w:val="21"/>
        </w:rPr>
        <w:t>DocuAction AI is an Azure-hosted TEFCA review platform. See the SSP for the full description; this document focuses on the security-relevant structure.</w:t>
      </w:r>
    </w:p>
    <w:p>
      <w:pPr>
        <w:pStyle w:val="Heading1"/>
      </w:pPr>
      <w:r>
        <w:t>3.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Asset</w:t>
            </w:r>
          </w:p>
        </w:tc>
        <w:tc>
          <w:tcPr>
            <w:tcW w:type="dxa" w:w="288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Sensitivity</w:t>
            </w:r>
          </w:p>
        </w:tc>
        <w:tc>
          <w:tcPr>
            <w:tcW w:type="dxa" w:w="288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TEFCA entity data (PII)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Azure PostgreSQL</w:t>
            </w:r>
          </w:p>
        </w:tc>
      </w:tr>
      <w:tr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8"/>
              </w:rPr>
              <w:t>Compliance determinations (CUI)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8"/>
              </w:rPr>
              <w:t>High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8"/>
              </w:rPr>
              <w:t>Azure PostgreSQL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Audit records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Azure PostgreSQL (append-only)</w:t>
            </w:r>
          </w:p>
        </w:tc>
      </w:tr>
      <w:tr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8"/>
              </w:rPr>
              <w:t>User credentials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8"/>
              </w:rPr>
              <w:t>High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8"/>
              </w:rPr>
              <w:t>Azure PostgreSQL (bcrypt)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Signing keys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Azure Key Vault</w:t>
            </w:r>
          </w:p>
        </w:tc>
      </w:tr>
      <w:tr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8"/>
              </w:rPr>
              <w:t>API keys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8"/>
              </w:rPr>
              <w:t>High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8"/>
              </w:rPr>
              <w:t>Azure Key Vault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Source code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GitHub (private)</w:t>
            </w:r>
          </w:p>
        </w:tc>
      </w:tr>
    </w:tbl>
    <w:p/>
    <w:p>
      <w:pPr>
        <w:pStyle w:val="Heading1"/>
      </w:pPr>
      <w:r>
        <w:t>4. Trust Boundaries</w:t>
      </w:r>
    </w:p>
    <w:p>
      <w:pPr>
        <w:pStyle w:val="ListBullet"/>
      </w:pPr>
      <w:r>
        <w:rPr>
          <w:rFonts w:ascii="Segoe UI" w:hAnsi="Segoe UI"/>
          <w:sz w:val="21"/>
        </w:rPr>
        <w:t>Internet -&gt; Azure App Service (TLS termination).</w:t>
      </w:r>
    </w:p>
    <w:p>
      <w:pPr>
        <w:pStyle w:val="ListBullet"/>
      </w:pPr>
      <w:r>
        <w:rPr>
          <w:rFonts w:ascii="Segoe UI" w:hAnsi="Segoe UI"/>
          <w:sz w:val="21"/>
        </w:rPr>
        <w:t>App Service -&gt; PostgreSQL (TLS, parameterized SQL).</w:t>
      </w:r>
    </w:p>
    <w:p>
      <w:pPr>
        <w:pStyle w:val="ListBullet"/>
      </w:pPr>
      <w:r>
        <w:rPr>
          <w:rFonts w:ascii="Segoe UI" w:hAnsi="Segoe UI"/>
          <w:sz w:val="21"/>
        </w:rPr>
        <w:t>App Service -&gt; Key Vault (Managed Identity, Private Endpoint).</w:t>
      </w:r>
    </w:p>
    <w:p>
      <w:pPr>
        <w:pStyle w:val="ListBullet"/>
      </w:pPr>
      <w:r>
        <w:rPr>
          <w:rFonts w:ascii="Segoe UI" w:hAnsi="Segoe UI"/>
          <w:sz w:val="21"/>
        </w:rPr>
        <w:t>App Service -&gt; Government APIs (TLS, read-only).</w:t>
      </w:r>
    </w:p>
    <w:p>
      <w:pPr>
        <w:pStyle w:val="ListBullet"/>
      </w:pPr>
      <w:r>
        <w:rPr>
          <w:rFonts w:ascii="Segoe UI" w:hAnsi="Segoe UI"/>
          <w:sz w:val="21"/>
        </w:rPr>
        <w:t>App Service -&gt; AI Service (TLS, API key).</w:t>
      </w:r>
    </w:p>
    <w:p>
      <w:pPr>
        <w:pStyle w:val="ListBullet"/>
      </w:pPr>
      <w:r>
        <w:rPr>
          <w:rFonts w:ascii="Segoe UI" w:hAnsi="Segoe UI"/>
          <w:sz w:val="21"/>
        </w:rPr>
        <w:t>User browser -&gt; Static Web App (TLS, JWT auth).</w:t>
      </w:r>
    </w:p>
    <w:p>
      <w:pPr>
        <w:pStyle w:val="Heading1"/>
      </w:pPr>
      <w:r>
        <w:t>5. STRIDE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Threat</w:t>
            </w:r>
          </w:p>
        </w:tc>
        <w:tc>
          <w:tcPr>
            <w:tcW w:type="dxa" w:w="172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72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Mitigation</w:t>
            </w:r>
          </w:p>
        </w:tc>
        <w:tc>
          <w:tcPr>
            <w:tcW w:type="dxa" w:w="172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Credential theft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Spoofing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Auth system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bcrypt + lockout + MFA (planned)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Mitigated</w:t>
            </w:r>
          </w:p>
        </w:tc>
      </w:tr>
      <w:tr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Token replay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Spoofing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JWT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Fingerprint validation + rotation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Mitigated</w:t>
            </w:r>
          </w:p>
        </w:tc>
      </w:tr>
      <w:tr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Audit tampering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Tampering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Audit log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Append-only table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Mitigated</w:t>
            </w:r>
          </w:p>
        </w:tc>
      </w:tr>
      <w:tr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SQL injection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Tampering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Database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Parameterized SQL via ORM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Mitigated</w:t>
            </w:r>
          </w:p>
        </w:tc>
      </w:tr>
      <w:tr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PII exposure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Info Disclosure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Entity data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RBAC + encryption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Mitigated</w:t>
            </w:r>
          </w:p>
        </w:tc>
      </w:tr>
      <w:tr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Privilege escalation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Elevation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RBAC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Role enforcement + no self-escalation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Mitigated</w:t>
            </w:r>
          </w:p>
        </w:tc>
      </w:tr>
      <w:tr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API abuse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Denial of Service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API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Rate limiting + lockout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Mitigated</w:t>
            </w:r>
          </w:p>
        </w:tc>
      </w:tr>
      <w:tr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Key exposure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Info Disclosure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Secrets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Key Vault + Managed Identity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Mitigated</w:t>
            </w:r>
          </w:p>
        </w:tc>
      </w:tr>
      <w:tr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XSS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Tampering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Frontend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CSP + input validation</w:t>
            </w:r>
          </w:p>
        </w:tc>
        <w:tc>
          <w:tcPr>
            <w:tcW w:type="dxa" w:w="1728"/>
          </w:tcPr>
          <w:p>
            <w:r>
              <w:rPr>
                <w:rFonts w:ascii="Segoe UI" w:hAnsi="Segoe UI"/>
                <w:sz w:val="18"/>
              </w:rPr>
              <w:t>Mitigated</w:t>
            </w:r>
          </w:p>
        </w:tc>
      </w:tr>
      <w:tr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Unauthorized access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Spoofing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SSO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Entra ID + JWT dual auth</w:t>
            </w:r>
          </w:p>
        </w:tc>
        <w:tc>
          <w:tcPr>
            <w:tcW w:type="dxa" w:w="1728"/>
            <w:shd w:val="clear" w:fill="F2F6FB"/>
          </w:tcPr>
          <w:p>
            <w:r>
              <w:rPr>
                <w:rFonts w:ascii="Segoe UI" w:hAnsi="Segoe UI"/>
                <w:sz w:val="18"/>
              </w:rPr>
              <w:t>Mitigated</w:t>
            </w:r>
          </w:p>
        </w:tc>
      </w:tr>
    </w:tbl>
    <w:p/>
    <w:p>
      <w:pPr>
        <w:pStyle w:val="Heading1"/>
      </w:pPr>
      <w:r>
        <w:t>6. Attack Surface</w:t>
      </w:r>
    </w:p>
    <w:p>
      <w:pPr>
        <w:pStyle w:val="ListBullet"/>
      </w:pPr>
      <w:r>
        <w:rPr>
          <w:rFonts w:ascii="Segoe UI" w:hAnsi="Segoe UI"/>
          <w:sz w:val="21"/>
        </w:rPr>
        <w:t>External: HTTPS API + Static Web App.</w:t>
      </w:r>
    </w:p>
    <w:p>
      <w:pPr>
        <w:pStyle w:val="ListBullet"/>
      </w:pPr>
      <w:r>
        <w:rPr>
          <w:rFonts w:ascii="Segoe UI" w:hAnsi="Segoe UI"/>
          <w:sz w:val="21"/>
        </w:rPr>
        <w:t>Internal: PostgreSQL (firewall rules), Key Vault (private endpoint).</w:t>
      </w:r>
    </w:p>
    <w:p>
      <w:pPr>
        <w:pStyle w:val="ListBullet"/>
      </w:pPr>
      <w:r>
        <w:rPr>
          <w:rFonts w:ascii="Segoe UI" w:hAnsi="Segoe UI"/>
          <w:sz w:val="21"/>
        </w:rPr>
        <w:t>Management: Azure Portal (Entra ID RBAC), GitHub (branch protection).</w:t>
      </w:r>
    </w:p>
    <w:p>
      <w:pPr>
        <w:pStyle w:val="Heading1"/>
      </w:pPr>
      <w:r>
        <w:t>7. Residual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288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88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Mitigation Timeline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No MFA yet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Q4 2026 (Entra ID P1)</w:t>
            </w:r>
          </w:p>
        </w:tc>
      </w:tr>
      <w:tr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8"/>
              </w:rPr>
              <w:t>No WAF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8"/>
              </w:rPr>
              <w:t>Medium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8"/>
              </w:rPr>
              <w:t>2027 (Azure Front Door)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No independent pen test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Q4 2026</w:t>
            </w:r>
          </w:p>
        </w:tc>
      </w:tr>
    </w:tbl>
    <w:p/>
    <w:p>
      <w:pPr>
        <w:pStyle w:val="Heading1"/>
      </w:pPr>
      <w:r>
        <w:t>8. References</w:t>
      </w:r>
    </w:p>
    <w:p>
      <w:pPr>
        <w:pStyle w:val="ListBullet"/>
      </w:pPr>
      <w:r>
        <w:rPr>
          <w:rFonts w:ascii="Segoe UI" w:hAnsi="Segoe UI"/>
          <w:sz w:val="21"/>
        </w:rPr>
        <w:t>NIST SP 800-30 (Guide for Conducting Risk Assessments).</w:t>
      </w:r>
    </w:p>
    <w:p>
      <w:pPr>
        <w:pStyle w:val="ListBullet"/>
      </w:pPr>
      <w:r>
        <w:rPr>
          <w:rFonts w:ascii="Segoe UI" w:hAnsi="Segoe UI"/>
          <w:sz w:val="21"/>
        </w:rPr>
        <w:t>STRIDE (Microsoft Threat Modeling).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/>
        <w:color w:val="605E5C"/>
        <w:sz w:val="15"/>
      </w:rPr>
      <w:t xml:space="preserve">DocuAction AI  |  Threat Model  |  CUI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B3C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B3C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