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D4A843"/>
          <w:sz w:val="26"/>
        </w:rPr>
        <w:t>ALLIANCE GLOBAL TECH, INC.</w:t>
      </w:r>
    </w:p>
    <w:p>
      <w:pPr>
        <w:jc w:val="center"/>
      </w:pPr>
      <w:r>
        <w:rPr>
          <w:rFonts w:ascii="Arial" w:hAnsi="Arial"/>
          <w:b/>
          <w:color w:val="0B3C5D"/>
          <w:sz w:val="52"/>
        </w:rPr>
        <w:t>DocuAction TEFCA ARC Platform</w:t>
      </w:r>
    </w:p>
    <w:p>
      <w:pPr>
        <w:jc w:val="center"/>
      </w:pPr>
      <w:r>
        <w:rPr>
          <w:rFonts w:ascii="Arial" w:hAnsi="Arial"/>
          <w:color w:val="0078D4"/>
          <w:sz w:val="32"/>
        </w:rPr>
        <w:t>Volume III — Enterprise Architecture</w:t>
      </w:r>
    </w:p>
    <w:p>
      <w:pPr>
        <w:jc w:val="center"/>
      </w:pPr>
      <w:r>
        <w:rPr>
          <w:color w:val="D4A843"/>
        </w:rPr>
        <w:t>__________________________________________________________</w:t>
      </w:r>
    </w:p>
    <w:p>
      <w:pPr>
        <w:jc w:val="center"/>
      </w:pPr>
      <w:r>
        <w:rPr>
          <w:rFonts w:ascii="Arial" w:hAnsi="Arial"/>
          <w:b w:val="0"/>
          <w:color w:val="333333"/>
          <w:sz w:val="22"/>
        </w:rPr>
        <w:t>Prepared for the Assistant Secretary for Technology Policy / Office of the National Coordinator for Health IT (ASTP/ONC)</w:t>
      </w:r>
    </w:p>
    <w:p>
      <w:pPr>
        <w:jc w:val="center"/>
      </w:pPr>
      <w:r>
        <w:rPr>
          <w:rFonts w:ascii="Arial" w:hAnsi="Arial"/>
          <w:b/>
          <w:color w:val="0B3C5D"/>
          <w:sz w:val="22"/>
        </w:rPr>
        <w:t>Contract 7571MN26F80064</w:t>
      </w:r>
    </w:p>
    <w:p>
      <w:pPr>
        <w:jc w:val="center"/>
      </w:pPr>
      <w:r>
        <w:rPr>
          <w:rFonts w:ascii="Arial" w:hAnsi="Arial"/>
          <w:b w:val="0"/>
          <w:color w:val="333333"/>
          <w:sz w:val="20"/>
        </w:rPr>
        <w:t>CAGE 8ERE8  |  UEI MP2FLV1MAW93</w:t>
      </w:r>
    </w:p>
    <w:p>
      <w:pPr>
        <w:jc w:val="center"/>
      </w:pPr>
      <w:r>
        <w:rPr>
          <w:rFonts w:ascii="Arial" w:hAnsi="Arial"/>
          <w:b w:val="0"/>
          <w:color w:val="333333"/>
          <w:sz w:val="20"/>
        </w:rPr>
      </w:r>
    </w:p>
    <w:p>
      <w:pPr>
        <w:jc w:val="center"/>
      </w:pPr>
      <w:r>
        <w:rPr>
          <w:rFonts w:ascii="Arial" w:hAnsi="Arial"/>
          <w:b w:val="0"/>
          <w:color w:val="333333"/>
          <w:sz w:val="20"/>
        </w:rPr>
        <w:t>Document ID: AGT-EA-001</w:t>
      </w:r>
    </w:p>
    <w:p>
      <w:pPr>
        <w:jc w:val="center"/>
      </w:pPr>
      <w:r>
        <w:rPr>
          <w:rFonts w:ascii="Arial" w:hAnsi="Arial"/>
          <w:b w:val="0"/>
          <w:color w:val="333333"/>
          <w:sz w:val="20"/>
        </w:rPr>
        <w:t>Version 1.0  |  August 2026</w:t>
      </w:r>
    </w:p>
    <w:p/>
    <w:p/>
    <w:p/>
    <w:p/>
    <w:p/>
    <w:p/>
    <w:p>
      <w:pPr>
        <w:jc w:val="center"/>
      </w:pPr>
      <w:r>
        <w:rPr>
          <w:rFonts w:ascii="Arial" w:hAnsi="Arial"/>
          <w:b/>
          <w:color w:val="0B3C5D"/>
          <w:sz w:val="18"/>
        </w:rPr>
        <w:t>CONFIDENTIAL — Contains Controlled Unclassified Information (CUI)</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B3C5D"/>
          </w:tcPr>
          <w:p>
            <w:r/>
            <w:r>
              <w:rPr>
                <w:rFonts w:ascii="Arial" w:hAnsi="Arial"/>
                <w:b/>
                <w:color w:val="FFFFFF"/>
                <w:sz w:val="17"/>
              </w:rPr>
              <w:t>Field</w:t>
            </w:r>
          </w:p>
        </w:tc>
        <w:tc>
          <w:tcPr>
            <w:tcW w:type="dxa" w:w="6192"/>
            <w:shd w:val="clear" w:color="auto" w:fill="0B3C5D"/>
          </w:tcPr>
          <w:p>
            <w:r/>
            <w:r>
              <w:rPr>
                <w:rFonts w:ascii="Arial" w:hAnsi="Arial"/>
                <w:b/>
                <w:color w:val="FFFFFF"/>
                <w:sz w:val="17"/>
              </w:rPr>
              <w:t>Value</w:t>
            </w:r>
          </w:p>
        </w:tc>
      </w:tr>
      <w:tr>
        <w:tc>
          <w:tcPr>
            <w:tcW w:type="dxa" w:w="3168"/>
          </w:tcPr>
          <w:p>
            <w:r/>
            <w:r>
              <w:rPr>
                <w:rFonts w:ascii="Arial" w:hAnsi="Arial"/>
                <w:sz w:val="17"/>
              </w:rPr>
              <w:t>Document ID</w:t>
            </w:r>
          </w:p>
        </w:tc>
        <w:tc>
          <w:tcPr>
            <w:tcW w:type="dxa" w:w="6192"/>
          </w:tcPr>
          <w:p>
            <w:r/>
            <w:r>
              <w:rPr>
                <w:rFonts w:ascii="Arial" w:hAnsi="Arial"/>
                <w:sz w:val="17"/>
              </w:rPr>
              <w:t>AGT-EA-001</w:t>
            </w:r>
          </w:p>
        </w:tc>
      </w:tr>
      <w:tr>
        <w:tc>
          <w:tcPr>
            <w:tcW w:type="dxa" w:w="3168"/>
            <w:shd w:val="clear" w:color="auto" w:fill="F2F4F7"/>
          </w:tcPr>
          <w:p>
            <w:r/>
            <w:r>
              <w:rPr>
                <w:rFonts w:ascii="Arial" w:hAnsi="Arial"/>
                <w:sz w:val="17"/>
              </w:rPr>
              <w:t>Document Title</w:t>
            </w:r>
          </w:p>
        </w:tc>
        <w:tc>
          <w:tcPr>
            <w:tcW w:type="dxa" w:w="6192"/>
            <w:shd w:val="clear" w:color="auto" w:fill="F2F4F7"/>
          </w:tcPr>
          <w:p>
            <w:r/>
            <w:r>
              <w:rPr>
                <w:rFonts w:ascii="Arial" w:hAnsi="Arial"/>
                <w:sz w:val="17"/>
              </w:rPr>
              <w:t>Volume III — Enterprise Architecture</w:t>
            </w:r>
          </w:p>
        </w:tc>
      </w:tr>
      <w:tr>
        <w:tc>
          <w:tcPr>
            <w:tcW w:type="dxa" w:w="3168"/>
          </w:tcPr>
          <w:p>
            <w:r/>
            <w:r>
              <w:rPr>
                <w:rFonts w:ascii="Arial" w:hAnsi="Arial"/>
                <w:sz w:val="17"/>
              </w:rPr>
              <w:t>Version</w:t>
            </w:r>
          </w:p>
        </w:tc>
        <w:tc>
          <w:tcPr>
            <w:tcW w:type="dxa" w:w="6192"/>
          </w:tcPr>
          <w:p>
            <w:r/>
            <w:r>
              <w:rPr>
                <w:rFonts w:ascii="Arial" w:hAnsi="Arial"/>
                <w:sz w:val="17"/>
              </w:rPr>
              <w:t>1.0</w:t>
            </w:r>
          </w:p>
        </w:tc>
      </w:tr>
      <w:tr>
        <w:tc>
          <w:tcPr>
            <w:tcW w:type="dxa" w:w="3168"/>
            <w:shd w:val="clear" w:color="auto" w:fill="F2F4F7"/>
          </w:tcPr>
          <w:p>
            <w:r/>
            <w:r>
              <w:rPr>
                <w:rFonts w:ascii="Arial" w:hAnsi="Arial"/>
                <w:sz w:val="17"/>
              </w:rPr>
              <w:t>Status</w:t>
            </w:r>
          </w:p>
        </w:tc>
        <w:tc>
          <w:tcPr>
            <w:tcW w:type="dxa" w:w="6192"/>
            <w:shd w:val="clear" w:color="auto" w:fill="F2F4F7"/>
          </w:tcPr>
          <w:p>
            <w:r/>
            <w:r>
              <w:rPr>
                <w:rFonts w:ascii="Arial" w:hAnsi="Arial"/>
                <w:sz w:val="17"/>
              </w:rPr>
              <w:t>Released</w:t>
            </w:r>
          </w:p>
        </w:tc>
      </w:tr>
      <w:tr>
        <w:tc>
          <w:tcPr>
            <w:tcW w:type="dxa" w:w="3168"/>
          </w:tcPr>
          <w:p>
            <w:r/>
            <w:r>
              <w:rPr>
                <w:rFonts w:ascii="Arial" w:hAnsi="Arial"/>
                <w:sz w:val="17"/>
              </w:rPr>
              <w:t>Date</w:t>
            </w:r>
          </w:p>
        </w:tc>
        <w:tc>
          <w:tcPr>
            <w:tcW w:type="dxa" w:w="6192"/>
          </w:tcPr>
          <w:p>
            <w:r/>
            <w:r>
              <w:rPr>
                <w:rFonts w:ascii="Arial" w:hAnsi="Arial"/>
                <w:sz w:val="17"/>
              </w:rPr>
              <w:t>August 2026</w:t>
            </w:r>
          </w:p>
        </w:tc>
      </w:tr>
      <w:tr>
        <w:tc>
          <w:tcPr>
            <w:tcW w:type="dxa" w:w="3168"/>
            <w:shd w:val="clear" w:color="auto" w:fill="F2F4F7"/>
          </w:tcPr>
          <w:p>
            <w:r/>
            <w:r>
              <w:rPr>
                <w:rFonts w:ascii="Arial" w:hAnsi="Arial"/>
                <w:sz w:val="17"/>
              </w:rPr>
              <w:t>Contract Number</w:t>
            </w:r>
          </w:p>
        </w:tc>
        <w:tc>
          <w:tcPr>
            <w:tcW w:type="dxa" w:w="6192"/>
            <w:shd w:val="clear" w:color="auto" w:fill="F2F4F7"/>
          </w:tcPr>
          <w:p>
            <w:r/>
            <w:r>
              <w:rPr>
                <w:rFonts w:ascii="Arial" w:hAnsi="Arial"/>
                <w:sz w:val="17"/>
              </w:rPr>
              <w:t>7571MN26F80064</w:t>
            </w:r>
          </w:p>
        </w:tc>
      </w:tr>
      <w:tr>
        <w:tc>
          <w:tcPr>
            <w:tcW w:type="dxa" w:w="3168"/>
          </w:tcPr>
          <w:p>
            <w:r/>
            <w:r>
              <w:rPr>
                <w:rFonts w:ascii="Arial" w:hAnsi="Arial"/>
                <w:sz w:val="17"/>
              </w:rPr>
              <w:t>Contractor</w:t>
            </w:r>
          </w:p>
        </w:tc>
        <w:tc>
          <w:tcPr>
            <w:tcW w:type="dxa" w:w="6192"/>
          </w:tcPr>
          <w:p>
            <w:r/>
            <w:r>
              <w:rPr>
                <w:rFonts w:ascii="Arial" w:hAnsi="Arial"/>
                <w:sz w:val="17"/>
              </w:rPr>
              <w:t>Alliance Global Tech, Inc. (AGT)</w:t>
            </w:r>
          </w:p>
        </w:tc>
      </w:tr>
      <w:tr>
        <w:tc>
          <w:tcPr>
            <w:tcW w:type="dxa" w:w="3168"/>
            <w:shd w:val="clear" w:color="auto" w:fill="F2F4F7"/>
          </w:tcPr>
          <w:p>
            <w:r/>
            <w:r>
              <w:rPr>
                <w:rFonts w:ascii="Arial" w:hAnsi="Arial"/>
                <w:sz w:val="17"/>
              </w:rPr>
              <w:t>CAGE / UEI</w:t>
            </w:r>
          </w:p>
        </w:tc>
        <w:tc>
          <w:tcPr>
            <w:tcW w:type="dxa" w:w="6192"/>
            <w:shd w:val="clear" w:color="auto" w:fill="F2F4F7"/>
          </w:tcPr>
          <w:p>
            <w:r/>
            <w:r>
              <w:rPr>
                <w:rFonts w:ascii="Arial" w:hAnsi="Arial"/>
                <w:sz w:val="17"/>
              </w:rPr>
              <w:t>8ERE8 / MP2FLV1MAW93</w:t>
            </w:r>
          </w:p>
        </w:tc>
      </w:tr>
      <w:tr>
        <w:tc>
          <w:tcPr>
            <w:tcW w:type="dxa" w:w="3168"/>
          </w:tcPr>
          <w:p>
            <w:r/>
            <w:r>
              <w:rPr>
                <w:rFonts w:ascii="Arial" w:hAnsi="Arial"/>
                <w:sz w:val="17"/>
              </w:rPr>
              <w:t>Author</w:t>
            </w:r>
          </w:p>
        </w:tc>
        <w:tc>
          <w:tcPr>
            <w:tcW w:type="dxa" w:w="6192"/>
          </w:tcPr>
          <w:p>
            <w:r/>
            <w:r>
              <w:rPr>
                <w:rFonts w:ascii="Arial" w:hAnsi="Arial"/>
                <w:sz w:val="17"/>
              </w:rPr>
              <w:t>Imran Siddiqui, Chief Executive Officer</w:t>
            </w:r>
          </w:p>
        </w:tc>
      </w:tr>
      <w:tr>
        <w:tc>
          <w:tcPr>
            <w:tcW w:type="dxa" w:w="3168"/>
            <w:shd w:val="clear" w:color="auto" w:fill="F2F4F7"/>
          </w:tcPr>
          <w:p>
            <w:r/>
            <w:r>
              <w:rPr>
                <w:rFonts w:ascii="Arial" w:hAnsi="Arial"/>
                <w:sz w:val="17"/>
              </w:rPr>
              <w:t>Classification</w:t>
            </w:r>
          </w:p>
        </w:tc>
        <w:tc>
          <w:tcPr>
            <w:tcW w:type="dxa" w:w="6192"/>
            <w:shd w:val="clear" w:color="auto" w:fill="F2F4F7"/>
          </w:tcPr>
          <w:p>
            <w:r/>
            <w:r>
              <w:rPr>
                <w:rFonts w:ascii="Arial" w:hAnsi="Arial"/>
                <w:sz w:val="17"/>
              </w:rPr>
              <w:t>CONFIDENTIAL — Controlled Unclassified Information (CUI)</w:t>
            </w:r>
          </w:p>
        </w:tc>
      </w:tr>
      <w:tr>
        <w:tc>
          <w:tcPr>
            <w:tcW w:type="dxa" w:w="3168"/>
          </w:tcPr>
          <w:p>
            <w:r/>
            <w:r>
              <w:rPr>
                <w:rFonts w:ascii="Arial" w:hAnsi="Arial"/>
                <w:sz w:val="17"/>
              </w:rPr>
              <w:t>Related Documents</w:t>
            </w:r>
          </w:p>
        </w:tc>
        <w:tc>
          <w:tcPr>
            <w:tcW w:type="dxa" w:w="6192"/>
          </w:tcPr>
          <w:p>
            <w:r/>
            <w:r>
              <w:rPr>
                <w:rFonts w:ascii="Arial" w:hAnsi="Arial"/>
                <w:sz w:val="17"/>
              </w:rPr>
              <w:t>AGT-EX-001 (Executive), AGT-REQ-001 (Requirements), AGT-DA-001 (Data Architecture), AGT-SD-001 (System and Module Design)</w:t>
            </w:r>
          </w:p>
        </w:tc>
      </w:tr>
    </w:tbl>
    <w:p/>
    <w:p>
      <w:r>
        <w:br w:type="page"/>
      </w:r>
    </w:p>
    <w:p>
      <w:pPr>
        <w:pStyle w:val="Heading1"/>
      </w:pPr>
      <w:r>
        <w:t>Table of Contents</w:t>
      </w:r>
    </w:p>
    <w:p>
      <w:r>
        <w:fldChar w:fldCharType="begin"/>
      </w:r>
      <w:r>
        <w:instrText xml:space="preserve">TOC \o "1-3" \h \z \u</w:instrText>
      </w:r>
      <w:r>
        <w:fldChar w:fldCharType="separate"/>
      </w:r>
      <w:r>
        <w:t>1</w:t>
      </w:r>
      <w:r>
        <w:fldChar w:fldCharType="end"/>
      </w:r>
    </w:p>
    <w:p>
      <w:r>
        <w:rPr>
          <w:i/>
          <w:color w:val="666666"/>
          <w:sz w:val="16"/>
        </w:rPr>
        <w:t>If the contents above appear as a single line, open in Microsoft Word and press Ctrl+A then F9 to populate the table of contents.</w:t>
      </w:r>
    </w:p>
    <w:p>
      <w:r>
        <w:br w:type="page"/>
      </w:r>
    </w:p>
    <w:p>
      <w:pPr>
        <w:pStyle w:val="Heading1"/>
      </w:pPr>
      <w:r>
        <w:t>1. Enterprise Architecture Overview</w:t>
      </w:r>
    </w:p>
    <w:p>
      <w:pPr>
        <w:pStyle w:val="Heading2"/>
      </w:pPr>
      <w:r>
        <w:t>1.1 Purpose</w:t>
      </w:r>
    </w:p>
    <w:p>
      <w:r>
        <w:rPr>
          <w:rFonts w:ascii="Arial" w:hAnsi="Arial"/>
          <w:b w:val="0"/>
          <w:i w:val="0"/>
          <w:sz w:val="20"/>
        </w:rPr>
        <w:t>This volume describes the architecture of the DocuAction platform across the business, application, information, integration, security, infrastructure and operations layers. It states how the platform is organised and why, so that a reviewer can judge whether the structure supports the contractual obligations rather than only whether the individual features exist.</w:t>
      </w:r>
    </w:p>
    <w:p>
      <w:pPr>
        <w:pStyle w:val="Heading2"/>
      </w:pPr>
      <w:r>
        <w:t>1.2 Relationship to the other volumes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0B3C5D"/>
          </w:tcPr>
          <w:p>
            <w:r/>
            <w:r>
              <w:rPr>
                <w:rFonts w:ascii="Arial" w:hAnsi="Arial"/>
                <w:b/>
                <w:color w:val="FFFFFF"/>
                <w:sz w:val="17"/>
              </w:rPr>
              <w:t>Document</w:t>
            </w:r>
          </w:p>
        </w:tc>
        <w:tc>
          <w:tcPr>
            <w:tcW w:type="dxa" w:w="2304"/>
            <w:shd w:val="clear" w:color="auto" w:fill="0B3C5D"/>
          </w:tcPr>
          <w:p>
            <w:r/>
            <w:r>
              <w:rPr>
                <w:rFonts w:ascii="Arial" w:hAnsi="Arial"/>
                <w:b/>
                <w:color w:val="FFFFFF"/>
                <w:sz w:val="17"/>
              </w:rPr>
              <w:t>Title</w:t>
            </w:r>
          </w:p>
        </w:tc>
        <w:tc>
          <w:tcPr>
            <w:tcW w:type="dxa" w:w="5472"/>
            <w:shd w:val="clear" w:color="auto" w:fill="0B3C5D"/>
          </w:tcPr>
          <w:p>
            <w:r/>
            <w:r>
              <w:rPr>
                <w:rFonts w:ascii="Arial" w:hAnsi="Arial"/>
                <w:b/>
                <w:color w:val="FFFFFF"/>
                <w:sz w:val="17"/>
              </w:rPr>
              <w:t>Relationship to this volume</w:t>
            </w:r>
          </w:p>
        </w:tc>
      </w:tr>
      <w:tr>
        <w:tc>
          <w:tcPr>
            <w:tcW w:type="dxa" w:w="1584"/>
          </w:tcPr>
          <w:p>
            <w:r/>
            <w:r>
              <w:rPr>
                <w:rFonts w:ascii="Arial" w:hAnsi="Arial"/>
                <w:sz w:val="17"/>
              </w:rPr>
              <w:t>AGT-EX-001</w:t>
            </w:r>
          </w:p>
        </w:tc>
        <w:tc>
          <w:tcPr>
            <w:tcW w:type="dxa" w:w="2304"/>
          </w:tcPr>
          <w:p>
            <w:r/>
            <w:r>
              <w:rPr>
                <w:rFonts w:ascii="Arial" w:hAnsi="Arial"/>
                <w:sz w:val="17"/>
              </w:rPr>
              <w:t>Executive Documentation</w:t>
            </w:r>
          </w:p>
        </w:tc>
        <w:tc>
          <w:tcPr>
            <w:tcW w:type="dxa" w:w="5472"/>
          </w:tcPr>
          <w:p>
            <w:r/>
            <w:r>
              <w:rPr>
                <w:rFonts w:ascii="Arial" w:hAnsi="Arial"/>
                <w:sz w:val="17"/>
              </w:rPr>
              <w:t>Supplies scope, assumptions, constraints and the risk register that this architecture must operate within. Constraints in §6 of that volume drive the integration design in §5 here.</w:t>
            </w:r>
          </w:p>
        </w:tc>
      </w:tr>
      <w:tr>
        <w:tc>
          <w:tcPr>
            <w:tcW w:type="dxa" w:w="1584"/>
            <w:shd w:val="clear" w:color="auto" w:fill="F2F4F7"/>
          </w:tcPr>
          <w:p>
            <w:r/>
            <w:r>
              <w:rPr>
                <w:rFonts w:ascii="Arial" w:hAnsi="Arial"/>
                <w:sz w:val="17"/>
              </w:rPr>
              <w:t>AGT-REQ-001</w:t>
            </w:r>
          </w:p>
        </w:tc>
        <w:tc>
          <w:tcPr>
            <w:tcW w:type="dxa" w:w="2304"/>
            <w:shd w:val="clear" w:color="auto" w:fill="F2F4F7"/>
          </w:tcPr>
          <w:p>
            <w:r/>
            <w:r>
              <w:rPr>
                <w:rFonts w:ascii="Arial" w:hAnsi="Arial"/>
                <w:sz w:val="17"/>
              </w:rPr>
              <w:t>Requirements Specification</w:t>
            </w:r>
          </w:p>
        </w:tc>
        <w:tc>
          <w:tcPr>
            <w:tcW w:type="dxa" w:w="5472"/>
            <w:shd w:val="clear" w:color="auto" w:fill="F2F4F7"/>
          </w:tcPr>
          <w:p>
            <w:r/>
            <w:r>
              <w:rPr>
                <w:rFonts w:ascii="Arial" w:hAnsi="Arial"/>
                <w:sz w:val="17"/>
              </w:rPr>
              <w:t>Supplies the requirements this architecture satisfies. Control mapping in §6.2 here traces to the cross-cutting requirements BR-090 to BR-109.</w:t>
            </w:r>
          </w:p>
        </w:tc>
      </w:tr>
      <w:tr>
        <w:tc>
          <w:tcPr>
            <w:tcW w:type="dxa" w:w="1584"/>
          </w:tcPr>
          <w:p>
            <w:r/>
            <w:r>
              <w:rPr>
                <w:rFonts w:ascii="Arial" w:hAnsi="Arial"/>
                <w:sz w:val="17"/>
              </w:rPr>
              <w:t>AGT-DA-001</w:t>
            </w:r>
          </w:p>
        </w:tc>
        <w:tc>
          <w:tcPr>
            <w:tcW w:type="dxa" w:w="2304"/>
          </w:tcPr>
          <w:p>
            <w:r/>
            <w:r>
              <w:rPr>
                <w:rFonts w:ascii="Arial" w:hAnsi="Arial"/>
                <w:sz w:val="17"/>
              </w:rPr>
              <w:t>Enterprise Data Architecture</w:t>
            </w:r>
          </w:p>
        </w:tc>
        <w:tc>
          <w:tcPr>
            <w:tcW w:type="dxa" w:w="5472"/>
          </w:tcPr>
          <w:p>
            <w:r/>
            <w:r>
              <w:rPr>
                <w:rFonts w:ascii="Arial" w:hAnsi="Arial"/>
                <w:sz w:val="17"/>
              </w:rPr>
              <w:t>Owns the data model. §4 here summarises and cross-references it rather than restating it, so the two cannot disagree.</w:t>
            </w:r>
          </w:p>
        </w:tc>
      </w:tr>
      <w:tr>
        <w:tc>
          <w:tcPr>
            <w:tcW w:type="dxa" w:w="1584"/>
            <w:shd w:val="clear" w:color="auto" w:fill="F2F4F7"/>
          </w:tcPr>
          <w:p>
            <w:r/>
            <w:r>
              <w:rPr>
                <w:rFonts w:ascii="Arial" w:hAnsi="Arial"/>
                <w:sz w:val="17"/>
              </w:rPr>
              <w:t>AGT-SD-001</w:t>
            </w:r>
          </w:p>
        </w:tc>
        <w:tc>
          <w:tcPr>
            <w:tcW w:type="dxa" w:w="2304"/>
            <w:shd w:val="clear" w:color="auto" w:fill="F2F4F7"/>
          </w:tcPr>
          <w:p>
            <w:r/>
            <w:r>
              <w:rPr>
                <w:rFonts w:ascii="Arial" w:hAnsi="Arial"/>
                <w:sz w:val="17"/>
              </w:rPr>
              <w:t>System and Module Design</w:t>
            </w:r>
          </w:p>
        </w:tc>
        <w:tc>
          <w:tcPr>
            <w:tcW w:type="dxa" w:w="5472"/>
            <w:shd w:val="clear" w:color="auto" w:fill="F2F4F7"/>
          </w:tcPr>
          <w:p>
            <w:r/>
            <w:r>
              <w:rPr>
                <w:rFonts w:ascii="Arial" w:hAnsi="Arial"/>
                <w:sz w:val="17"/>
              </w:rPr>
              <w:t>Specifies the internal design of each module named in §3.2 here. This volume says what the modules are; that one says how each works.</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PRECEDENCE: </w:t>
            </w:r>
            <w:r>
              <w:rPr>
                <w:rFonts w:ascii="Arial" w:hAnsi="Arial"/>
                <w:sz w:val="18"/>
              </w:rPr>
              <w:t>Where this volume and AGT-DA-001 both touch the data model, AGT-DA-001 is authoritative. Where this volume and AGT-SD-001 both touch module internals, AGT-SD-001 is authoritative. Duplicating detail across volumes is how documentation sets start contradicting themselves.</w:t>
            </w:r>
          </w:p>
        </w:tc>
      </w:tr>
    </w:tbl>
    <w:p/>
    <w:p>
      <w:pPr>
        <w:pStyle w:val="Heading2"/>
      </w:pPr>
      <w:r>
        <w:t>1.3 Architecture governance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Aspect</w:t>
            </w:r>
          </w:p>
        </w:tc>
        <w:tc>
          <w:tcPr>
            <w:tcW w:type="dxa" w:w="7200"/>
            <w:shd w:val="clear" w:color="auto" w:fill="0B3C5D"/>
          </w:tcPr>
          <w:p>
            <w:r/>
            <w:r>
              <w:rPr>
                <w:rFonts w:ascii="Arial" w:hAnsi="Arial"/>
                <w:b/>
                <w:color w:val="FFFFFF"/>
                <w:sz w:val="17"/>
              </w:rPr>
              <w:t>Approach</w:t>
            </w:r>
          </w:p>
        </w:tc>
      </w:tr>
      <w:tr>
        <w:tc>
          <w:tcPr>
            <w:tcW w:type="dxa" w:w="2160"/>
          </w:tcPr>
          <w:p>
            <w:r/>
            <w:r>
              <w:rPr>
                <w:rFonts w:ascii="Arial" w:hAnsi="Arial"/>
                <w:sz w:val="17"/>
              </w:rPr>
              <w:t>Decision record</w:t>
            </w:r>
          </w:p>
        </w:tc>
        <w:tc>
          <w:tcPr>
            <w:tcW w:type="dxa" w:w="7200"/>
          </w:tcPr>
          <w:p>
            <w:r/>
            <w:r>
              <w:rPr>
                <w:rFonts w:ascii="Arial" w:hAnsi="Arial"/>
                <w:sz w:val="17"/>
              </w:rPr>
              <w:t>Architecturally significant decisions are recorded with the reasoning and the rejected alternative, not only the outcome</w:t>
            </w:r>
          </w:p>
        </w:tc>
      </w:tr>
      <w:tr>
        <w:tc>
          <w:tcPr>
            <w:tcW w:type="dxa" w:w="2160"/>
            <w:shd w:val="clear" w:color="auto" w:fill="F2F4F7"/>
          </w:tcPr>
          <w:p>
            <w:r/>
            <w:r>
              <w:rPr>
                <w:rFonts w:ascii="Arial" w:hAnsi="Arial"/>
                <w:sz w:val="17"/>
              </w:rPr>
              <w:t>Change control</w:t>
            </w:r>
          </w:p>
        </w:tc>
        <w:tc>
          <w:tcPr>
            <w:tcW w:type="dxa" w:w="7200"/>
            <w:shd w:val="clear" w:color="auto" w:fill="F2F4F7"/>
          </w:tcPr>
          <w:p>
            <w:r/>
            <w:r>
              <w:rPr>
                <w:rFonts w:ascii="Arial" w:hAnsi="Arial"/>
                <w:sz w:val="17"/>
              </w:rPr>
              <w:t>Contract-affecting changes require ONC concurrence; internal changes follow the deployment gate</w:t>
            </w:r>
          </w:p>
        </w:tc>
      </w:tr>
      <w:tr>
        <w:tc>
          <w:tcPr>
            <w:tcW w:type="dxa" w:w="2160"/>
          </w:tcPr>
          <w:p>
            <w:r/>
            <w:r>
              <w:rPr>
                <w:rFonts w:ascii="Arial" w:hAnsi="Arial"/>
                <w:sz w:val="17"/>
              </w:rPr>
              <w:t>Deployment gate</w:t>
            </w:r>
          </w:p>
        </w:tc>
        <w:tc>
          <w:tcPr>
            <w:tcW w:type="dxa" w:w="7200"/>
          </w:tcPr>
          <w:p>
            <w:r/>
            <w:r>
              <w:rPr>
                <w:rFonts w:ascii="Arial" w:hAnsi="Arial"/>
                <w:sz w:val="17"/>
              </w:rPr>
              <w:t>Tests pass and /health returns 200 before any environment is promoted</w:t>
            </w:r>
          </w:p>
        </w:tc>
      </w:tr>
      <w:tr>
        <w:tc>
          <w:tcPr>
            <w:tcW w:type="dxa" w:w="2160"/>
            <w:shd w:val="clear" w:color="auto" w:fill="F2F4F7"/>
          </w:tcPr>
          <w:p>
            <w:r/>
            <w:r>
              <w:rPr>
                <w:rFonts w:ascii="Arial" w:hAnsi="Arial"/>
                <w:sz w:val="17"/>
              </w:rPr>
              <w:t>Methodology change</w:t>
            </w:r>
          </w:p>
        </w:tc>
        <w:tc>
          <w:tcPr>
            <w:tcW w:type="dxa" w:w="7200"/>
            <w:shd w:val="clear" w:color="auto" w:fill="F2F4F7"/>
          </w:tcPr>
          <w:p>
            <w:r/>
            <w:r>
              <w:rPr>
                <w:rFonts w:ascii="Arial" w:hAnsi="Arial"/>
                <w:sz w:val="17"/>
              </w:rPr>
              <w:t>Handled as data — a new rule version with an effective date; the prior version is retired, never deleted</w:t>
            </w:r>
          </w:p>
        </w:tc>
      </w:tr>
      <w:tr>
        <w:tc>
          <w:tcPr>
            <w:tcW w:type="dxa" w:w="2160"/>
          </w:tcPr>
          <w:p>
            <w:r/>
            <w:r>
              <w:rPr>
                <w:rFonts w:ascii="Arial" w:hAnsi="Arial"/>
                <w:sz w:val="17"/>
              </w:rPr>
              <w:t>API contract</w:t>
            </w:r>
          </w:p>
        </w:tc>
        <w:tc>
          <w:tcPr>
            <w:tcW w:type="dxa" w:w="7200"/>
          </w:tcPr>
          <w:p>
            <w:r/>
            <w:r>
              <w:rPr>
                <w:rFonts w:ascii="Arial" w:hAnsi="Arial"/>
                <w:sz w:val="17"/>
              </w:rPr>
              <w:t>Frozen as version 1.0 with a documented breaking-change policy (docs/API_VERSION_1.0_BASELINE.md)</w:t>
            </w:r>
          </w:p>
        </w:tc>
      </w:tr>
      <w:tr>
        <w:tc>
          <w:tcPr>
            <w:tcW w:type="dxa" w:w="2160"/>
            <w:shd w:val="clear" w:color="auto" w:fill="F2F4F7"/>
          </w:tcPr>
          <w:p>
            <w:r/>
            <w:r>
              <w:rPr>
                <w:rFonts w:ascii="Arial" w:hAnsi="Arial"/>
                <w:sz w:val="17"/>
              </w:rPr>
              <w:t>Security review</w:t>
            </w:r>
          </w:p>
        </w:tc>
        <w:tc>
          <w:tcPr>
            <w:tcW w:type="dxa" w:w="7200"/>
            <w:shd w:val="clear" w:color="auto" w:fill="F2F4F7"/>
          </w:tcPr>
          <w:p>
            <w:r/>
            <w:r>
              <w:rPr>
                <w:rFonts w:ascii="Arial" w:hAnsi="Arial"/>
                <w:sz w:val="17"/>
              </w:rPr>
              <w:t>Static analysis on every push; dynamic testing scheduled weekly against development only</w:t>
            </w:r>
          </w:p>
        </w:tc>
      </w:tr>
      <w:tr>
        <w:tc>
          <w:tcPr>
            <w:tcW w:type="dxa" w:w="2160"/>
          </w:tcPr>
          <w:p>
            <w:r/>
            <w:r>
              <w:rPr>
                <w:rFonts w:ascii="Arial" w:hAnsi="Arial"/>
                <w:sz w:val="17"/>
              </w:rPr>
              <w:t>Risk acceptance</w:t>
            </w:r>
          </w:p>
        </w:tc>
        <w:tc>
          <w:tcPr>
            <w:tcW w:type="dxa" w:w="7200"/>
          </w:tcPr>
          <w:p>
            <w:r/>
            <w:r>
              <w:rPr>
                <w:rFonts w:ascii="Arial" w:hAnsi="Arial"/>
                <w:sz w:val="17"/>
              </w:rPr>
              <w:t>Recorded formally with rationale, compensating controls and a review date</w:t>
            </w:r>
          </w:p>
        </w:tc>
      </w:tr>
    </w:tbl>
    <w:p/>
    <w:p>
      <w:r>
        <w:br w:type="page"/>
      </w:r>
    </w:p>
    <w:p>
      <w:pPr>
        <w:pStyle w:val="Heading1"/>
      </w:pPr>
      <w:r>
        <w:t>2. Business Architecture</w:t>
      </w:r>
    </w:p>
    <w:p>
      <w:pPr>
        <w:pStyle w:val="Heading2"/>
      </w:pPr>
      <w:r>
        <w:t>2.1 Business Capability 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shd w:val="clear" w:color="auto" w:fill="0B3C5D"/>
          </w:tcPr>
          <w:p>
            <w:r/>
            <w:r>
              <w:rPr>
                <w:rFonts w:ascii="Arial" w:hAnsi="Arial"/>
                <w:b/>
                <w:color w:val="FFFFFF"/>
                <w:sz w:val="17"/>
              </w:rPr>
              <w:t>Domain</w:t>
            </w:r>
          </w:p>
        </w:tc>
        <w:tc>
          <w:tcPr>
            <w:tcW w:type="dxa" w:w="3600"/>
            <w:shd w:val="clear" w:color="auto" w:fill="0B3C5D"/>
          </w:tcPr>
          <w:p>
            <w:r/>
            <w:r>
              <w:rPr>
                <w:rFonts w:ascii="Arial" w:hAnsi="Arial"/>
                <w:b/>
                <w:color w:val="FFFFFF"/>
                <w:sz w:val="17"/>
              </w:rPr>
              <w:t>Capabilities</w:t>
            </w:r>
          </w:p>
        </w:tc>
        <w:tc>
          <w:tcPr>
            <w:tcW w:type="dxa" w:w="1512"/>
            <w:shd w:val="clear" w:color="auto" w:fill="0B3C5D"/>
          </w:tcPr>
          <w:p>
            <w:r/>
            <w:r>
              <w:rPr>
                <w:rFonts w:ascii="Arial" w:hAnsi="Arial"/>
                <w:b/>
                <w:color w:val="FFFFFF"/>
                <w:sz w:val="17"/>
              </w:rPr>
              <w:t>Module</w:t>
            </w:r>
          </w:p>
        </w:tc>
        <w:tc>
          <w:tcPr>
            <w:tcW w:type="dxa" w:w="1728"/>
            <w:shd w:val="clear" w:color="auto" w:fill="0B3C5D"/>
          </w:tcPr>
          <w:p>
            <w:r/>
            <w:r>
              <w:rPr>
                <w:rFonts w:ascii="Arial" w:hAnsi="Arial"/>
                <w:b/>
                <w:color w:val="FFFFFF"/>
                <w:sz w:val="17"/>
              </w:rPr>
              <w:t>Contract Task</w:t>
            </w:r>
          </w:p>
        </w:tc>
      </w:tr>
      <w:tr>
        <w:tc>
          <w:tcPr>
            <w:tcW w:type="dxa" w:w="1800"/>
          </w:tcPr>
          <w:p>
            <w:r/>
            <w:r>
              <w:rPr>
                <w:rFonts w:ascii="Arial" w:hAnsi="Arial"/>
                <w:sz w:val="17"/>
              </w:rPr>
              <w:t>Entity Verification</w:t>
            </w:r>
          </w:p>
        </w:tc>
        <w:tc>
          <w:tcPr>
            <w:tcW w:type="dxa" w:w="3600"/>
          </w:tcPr>
          <w:p>
            <w:r/>
            <w:r>
              <w:rPr>
                <w:rFonts w:ascii="Arial" w:hAnsi="Arial"/>
                <w:sz w:val="17"/>
              </w:rPr>
              <w:t>Import, validate NPI, verify against authoritative sources, classify B1–B4</w:t>
            </w:r>
          </w:p>
        </w:tc>
        <w:tc>
          <w:tcPr>
            <w:tcW w:type="dxa" w:w="1512"/>
          </w:tcPr>
          <w:p>
            <w:r/>
            <w:r>
              <w:rPr>
                <w:rFonts w:ascii="Arial" w:hAnsi="Arial"/>
                <w:sz w:val="17"/>
              </w:rPr>
              <w:t>TEFCA ARC</w:t>
            </w:r>
          </w:p>
        </w:tc>
        <w:tc>
          <w:tcPr>
            <w:tcW w:type="dxa" w:w="1728"/>
          </w:tcPr>
          <w:p>
            <w:r/>
            <w:r>
              <w:rPr>
                <w:rFonts w:ascii="Arial" w:hAnsi="Arial"/>
                <w:sz w:val="17"/>
              </w:rPr>
              <w:t>Tasks 2, 3</w:t>
            </w:r>
          </w:p>
        </w:tc>
      </w:tr>
      <w:tr>
        <w:tc>
          <w:tcPr>
            <w:tcW w:type="dxa" w:w="1800"/>
            <w:shd w:val="clear" w:color="auto" w:fill="F2F4F7"/>
          </w:tcPr>
          <w:p>
            <w:r/>
            <w:r>
              <w:rPr>
                <w:rFonts w:ascii="Arial" w:hAnsi="Arial"/>
                <w:sz w:val="17"/>
              </w:rPr>
              <w:t>Statistical Analysis</w:t>
            </w:r>
          </w:p>
        </w:tc>
        <w:tc>
          <w:tcPr>
            <w:tcW w:type="dxa" w:w="3600"/>
            <w:shd w:val="clear" w:color="auto" w:fill="F2F4F7"/>
          </w:tcPr>
          <w:p>
            <w:r/>
            <w:r>
              <w:rPr>
                <w:rFonts w:ascii="Arial" w:hAnsi="Arial"/>
                <w:sz w:val="17"/>
              </w:rPr>
              <w:t>Cochran sampling, finite population correction, stratification, Wilson confidence intervals</w:t>
            </w:r>
          </w:p>
        </w:tc>
        <w:tc>
          <w:tcPr>
            <w:tcW w:type="dxa" w:w="1512"/>
            <w:shd w:val="clear" w:color="auto" w:fill="F2F4F7"/>
          </w:tcPr>
          <w:p>
            <w:r/>
            <w:r>
              <w:rPr>
                <w:rFonts w:ascii="Arial" w:hAnsi="Arial"/>
                <w:sz w:val="17"/>
              </w:rPr>
              <w:t>TEFCA ARC</w:t>
            </w:r>
          </w:p>
        </w:tc>
        <w:tc>
          <w:tcPr>
            <w:tcW w:type="dxa" w:w="1728"/>
            <w:shd w:val="clear" w:color="auto" w:fill="F2F4F7"/>
          </w:tcPr>
          <w:p>
            <w:r/>
            <w:r>
              <w:rPr>
                <w:rFonts w:ascii="Arial" w:hAnsi="Arial"/>
                <w:sz w:val="17"/>
              </w:rPr>
              <w:t>Tasks 2, 3</w:t>
            </w:r>
          </w:p>
        </w:tc>
      </w:tr>
      <w:tr>
        <w:tc>
          <w:tcPr>
            <w:tcW w:type="dxa" w:w="1800"/>
          </w:tcPr>
          <w:p>
            <w:r/>
            <w:r>
              <w:rPr>
                <w:rFonts w:ascii="Arial" w:hAnsi="Arial"/>
                <w:sz w:val="17"/>
              </w:rPr>
              <w:t>Review Management</w:t>
            </w:r>
          </w:p>
        </w:tc>
        <w:tc>
          <w:tcPr>
            <w:tcW w:type="dxa" w:w="3600"/>
          </w:tcPr>
          <w:p>
            <w:r/>
            <w:r>
              <w:rPr>
                <w:rFonts w:ascii="Arial" w:hAnsi="Arial"/>
                <w:sz w:val="17"/>
              </w:rPr>
              <w:t>Review cycles, review records, B3 human resolution, priority review</w:t>
            </w:r>
          </w:p>
        </w:tc>
        <w:tc>
          <w:tcPr>
            <w:tcW w:type="dxa" w:w="1512"/>
          </w:tcPr>
          <w:p>
            <w:r/>
            <w:r>
              <w:rPr>
                <w:rFonts w:ascii="Arial" w:hAnsi="Arial"/>
                <w:sz w:val="17"/>
              </w:rPr>
              <w:t>TEFCA ARC</w:t>
            </w:r>
          </w:p>
        </w:tc>
        <w:tc>
          <w:tcPr>
            <w:tcW w:type="dxa" w:w="1728"/>
          </w:tcPr>
          <w:p>
            <w:r/>
            <w:r>
              <w:rPr>
                <w:rFonts w:ascii="Arial" w:hAnsi="Arial"/>
                <w:sz w:val="17"/>
              </w:rPr>
              <w:t>Tasks 3, 4, 5</w:t>
            </w:r>
          </w:p>
        </w:tc>
      </w:tr>
      <w:tr>
        <w:tc>
          <w:tcPr>
            <w:tcW w:type="dxa" w:w="1800"/>
            <w:shd w:val="clear" w:color="auto" w:fill="F2F4F7"/>
          </w:tcPr>
          <w:p>
            <w:r/>
            <w:r>
              <w:rPr>
                <w:rFonts w:ascii="Arial" w:hAnsi="Arial"/>
                <w:sz w:val="17"/>
              </w:rPr>
              <w:t>Reporting</w:t>
            </w:r>
          </w:p>
        </w:tc>
        <w:tc>
          <w:tcPr>
            <w:tcW w:type="dxa" w:w="3600"/>
            <w:shd w:val="clear" w:color="auto" w:fill="F2F4F7"/>
          </w:tcPr>
          <w:p>
            <w:r/>
            <w:r>
              <w:rPr>
                <w:rFonts w:ascii="Arial" w:hAnsi="Arial"/>
                <w:sz w:val="17"/>
              </w:rPr>
              <w:t>Weekly, quarterly, priority reports; Excel export; immutable archival</w:t>
            </w:r>
          </w:p>
        </w:tc>
        <w:tc>
          <w:tcPr>
            <w:tcW w:type="dxa" w:w="1512"/>
            <w:shd w:val="clear" w:color="auto" w:fill="F2F4F7"/>
          </w:tcPr>
          <w:p>
            <w:r/>
            <w:r>
              <w:rPr>
                <w:rFonts w:ascii="Arial" w:hAnsi="Arial"/>
                <w:sz w:val="17"/>
              </w:rPr>
              <w:t>TEFCA ARC</w:t>
            </w:r>
          </w:p>
        </w:tc>
        <w:tc>
          <w:tcPr>
            <w:tcW w:type="dxa" w:w="1728"/>
            <w:shd w:val="clear" w:color="auto" w:fill="F2F4F7"/>
          </w:tcPr>
          <w:p>
            <w:r/>
            <w:r>
              <w:rPr>
                <w:rFonts w:ascii="Arial" w:hAnsi="Arial"/>
                <w:sz w:val="17"/>
              </w:rPr>
              <w:t>Tasks 3, 4, 5</w:t>
            </w:r>
          </w:p>
        </w:tc>
      </w:tr>
      <w:tr>
        <w:tc>
          <w:tcPr>
            <w:tcW w:type="dxa" w:w="1800"/>
          </w:tcPr>
          <w:p>
            <w:r/>
            <w:r>
              <w:rPr>
                <w:rFonts w:ascii="Arial" w:hAnsi="Arial"/>
                <w:sz w:val="17"/>
              </w:rPr>
              <w:t>News Intelligence</w:t>
            </w:r>
          </w:p>
        </w:tc>
        <w:tc>
          <w:tcPr>
            <w:tcW w:type="dxa" w:w="3600"/>
          </w:tcPr>
          <w:p>
            <w:r/>
            <w:r>
              <w:rPr>
                <w:rFonts w:ascii="Arial" w:hAnsi="Arial"/>
                <w:sz w:val="17"/>
              </w:rPr>
              <w:t>Collection, AI classification, briefing generation, delivery</w:t>
            </w:r>
          </w:p>
        </w:tc>
        <w:tc>
          <w:tcPr>
            <w:tcW w:type="dxa" w:w="1512"/>
          </w:tcPr>
          <w:p>
            <w:r/>
            <w:r>
              <w:rPr>
                <w:rFonts w:ascii="Arial" w:hAnsi="Arial"/>
                <w:sz w:val="17"/>
              </w:rPr>
              <w:t>Bulletin</w:t>
            </w:r>
          </w:p>
        </w:tc>
        <w:tc>
          <w:tcPr>
            <w:tcW w:type="dxa" w:w="1728"/>
          </w:tcPr>
          <w:p>
            <w:r/>
            <w:r>
              <w:rPr>
                <w:rFonts w:ascii="Arial" w:hAnsi="Arial"/>
                <w:sz w:val="17"/>
              </w:rPr>
              <w:t>Out of scope — separate contract</w:t>
            </w:r>
          </w:p>
        </w:tc>
      </w:tr>
      <w:tr>
        <w:tc>
          <w:tcPr>
            <w:tcW w:type="dxa" w:w="1800"/>
            <w:shd w:val="clear" w:color="auto" w:fill="F2F4F7"/>
          </w:tcPr>
          <w:p>
            <w:r/>
            <w:r>
              <w:rPr>
                <w:rFonts w:ascii="Arial" w:hAnsi="Arial"/>
                <w:sz w:val="17"/>
              </w:rPr>
              <w:t>Document Processing</w:t>
            </w:r>
          </w:p>
        </w:tc>
        <w:tc>
          <w:tcPr>
            <w:tcW w:type="dxa" w:w="3600"/>
            <w:shd w:val="clear" w:color="auto" w:fill="F2F4F7"/>
          </w:tcPr>
          <w:p>
            <w:r/>
            <w:r>
              <w:rPr>
                <w:rFonts w:ascii="Arial" w:hAnsi="Arial"/>
                <w:sz w:val="17"/>
              </w:rPr>
              <w:t>Upload, analysis, comparison, extraction</w:t>
            </w:r>
          </w:p>
        </w:tc>
        <w:tc>
          <w:tcPr>
            <w:tcW w:type="dxa" w:w="1512"/>
            <w:shd w:val="clear" w:color="auto" w:fill="F2F4F7"/>
          </w:tcPr>
          <w:p>
            <w:r/>
            <w:r>
              <w:rPr>
                <w:rFonts w:ascii="Arial" w:hAnsi="Arial"/>
                <w:sz w:val="17"/>
              </w:rPr>
              <w:t>Document</w:t>
            </w:r>
          </w:p>
        </w:tc>
        <w:tc>
          <w:tcPr>
            <w:tcW w:type="dxa" w:w="1728"/>
            <w:shd w:val="clear" w:color="auto" w:fill="F2F4F7"/>
          </w:tcPr>
          <w:p>
            <w:r/>
            <w:r>
              <w:rPr>
                <w:rFonts w:ascii="Arial" w:hAnsi="Arial"/>
                <w:sz w:val="17"/>
              </w:rPr>
              <w:t>Out of scope</w:t>
            </w:r>
          </w:p>
        </w:tc>
      </w:tr>
      <w:tr>
        <w:tc>
          <w:tcPr>
            <w:tcW w:type="dxa" w:w="1800"/>
          </w:tcPr>
          <w:p>
            <w:r/>
            <w:r>
              <w:rPr>
                <w:rFonts w:ascii="Arial" w:hAnsi="Arial"/>
                <w:sz w:val="17"/>
              </w:rPr>
              <w:t>Authentication</w:t>
            </w:r>
          </w:p>
        </w:tc>
        <w:tc>
          <w:tcPr>
            <w:tcW w:type="dxa" w:w="3600"/>
          </w:tcPr>
          <w:p>
            <w:r/>
            <w:r>
              <w:rPr>
                <w:rFonts w:ascii="Arial" w:hAnsi="Arial"/>
                <w:sz w:val="17"/>
              </w:rPr>
              <w:t>Login, JWT issuance, RBAC enforcement, account lifecycle</w:t>
            </w:r>
          </w:p>
        </w:tc>
        <w:tc>
          <w:tcPr>
            <w:tcW w:type="dxa" w:w="1512"/>
          </w:tcPr>
          <w:p>
            <w:r/>
            <w:r>
              <w:rPr>
                <w:rFonts w:ascii="Arial" w:hAnsi="Arial"/>
                <w:sz w:val="17"/>
              </w:rPr>
              <w:t>Auth</w:t>
            </w:r>
          </w:p>
        </w:tc>
        <w:tc>
          <w:tcPr>
            <w:tcW w:type="dxa" w:w="1728"/>
          </w:tcPr>
          <w:p>
            <w:r/>
            <w:r>
              <w:rPr>
                <w:rFonts w:ascii="Arial" w:hAnsi="Arial"/>
                <w:sz w:val="17"/>
              </w:rPr>
              <w:t>Cross-cutting</w:t>
            </w:r>
          </w:p>
        </w:tc>
      </w:tr>
      <w:tr>
        <w:tc>
          <w:tcPr>
            <w:tcW w:type="dxa" w:w="1800"/>
            <w:shd w:val="clear" w:color="auto" w:fill="F2F4F7"/>
          </w:tcPr>
          <w:p>
            <w:r/>
            <w:r>
              <w:rPr>
                <w:rFonts w:ascii="Arial" w:hAnsi="Arial"/>
                <w:sz w:val="17"/>
              </w:rPr>
              <w:t>Audit and Compliance</w:t>
            </w:r>
          </w:p>
        </w:tc>
        <w:tc>
          <w:tcPr>
            <w:tcW w:type="dxa" w:w="3600"/>
            <w:shd w:val="clear" w:color="auto" w:fill="F2F4F7"/>
          </w:tcPr>
          <w:p>
            <w:r/>
            <w:r>
              <w:rPr>
                <w:rFonts w:ascii="Arial" w:hAnsi="Arial"/>
                <w:sz w:val="17"/>
              </w:rPr>
              <w:t>Immutable audit log, evidence retention, assessment packages</w:t>
            </w:r>
          </w:p>
        </w:tc>
        <w:tc>
          <w:tcPr>
            <w:tcW w:type="dxa" w:w="1512"/>
            <w:shd w:val="clear" w:color="auto" w:fill="F2F4F7"/>
          </w:tcPr>
          <w:p>
            <w:r/>
            <w:r>
              <w:rPr>
                <w:rFonts w:ascii="Arial" w:hAnsi="Arial"/>
                <w:sz w:val="17"/>
              </w:rPr>
              <w:t>Cross-cutting</w:t>
            </w:r>
          </w:p>
        </w:tc>
        <w:tc>
          <w:tcPr>
            <w:tcW w:type="dxa" w:w="1728"/>
            <w:shd w:val="clear" w:color="auto" w:fill="F2F4F7"/>
          </w:tcPr>
          <w:p>
            <w:r/>
            <w:r>
              <w:rPr>
                <w:rFonts w:ascii="Arial" w:hAnsi="Arial"/>
                <w:sz w:val="17"/>
              </w:rPr>
              <w:t>Cross-cutting</w:t>
            </w:r>
          </w:p>
        </w:tc>
      </w:tr>
    </w:tbl>
    <w:p/>
    <w:p>
      <w:pPr>
        <w:pStyle w:val="Heading2"/>
      </w:pPr>
      <w:r>
        <w:t>2.2 Business Process Flows</w:t>
      </w:r>
    </w:p>
    <w:p>
      <w:pPr>
        <w:pStyle w:val="Heading3"/>
      </w:pPr>
      <w:r>
        <w:t>2.2.1 Entity verification</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ONC CSV extract</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Import ] --&gt; per-row errors recorded on the batch</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NPI check digit ] --&gt; invalid: FLAG + audit (never reject)</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Verify ] --+--&gt; NPPES     --&gt; verified | not_found | unavailable</w:t>
            </w:r>
            <w:r>
              <w:rPr>
                <w:rFonts w:ascii="Consolas" w:hAnsi="Consolas"/>
                <w:sz w:val="15"/>
                <w:rFonts w:ascii="Consolas" w:hAnsi="Consolas" w:cs="Consolas"/>
              </w:rPr>
              <w:br/>
              <w:t xml:space="preserve">              +--&gt; PECOS     --&gt; verified | not_found | unavailable</w:t>
            </w:r>
            <w:r>
              <w:rPr>
                <w:rFonts w:ascii="Consolas" w:hAnsi="Consolas"/>
                <w:sz w:val="15"/>
                <w:rFonts w:ascii="Consolas" w:hAnsi="Consolas" w:cs="Consolas"/>
              </w:rPr>
              <w:br/>
              <w:t xml:space="preserve">              +--&gt; OIG LEIE  --&gt; clear    | excluded  | unavailable</w:t>
            </w:r>
            <w:r>
              <w:rPr>
                <w:rFonts w:ascii="Consolas" w:hAnsi="Consolas"/>
                <w:sz w:val="15"/>
                <w:rFonts w:ascii="Consolas" w:hAnsi="Consolas" w:cs="Consolas"/>
              </w:rPr>
              <w:br/>
              <w:t xml:space="preserve">              +--&gt; SAM.gov   --&gt; not_checked (no API key)</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Rules engine ]  priority order, first match wins</w:t>
            </w:r>
            <w:r>
              <w:rPr>
                <w:rFonts w:ascii="Consolas" w:hAnsi="Consolas"/>
                <w:sz w:val="15"/>
                <w:rFonts w:ascii="Consolas" w:hAnsi="Consolas" w:cs="Consolas"/>
              </w:rPr>
              <w:br/>
              <w:t xml:space="preserve">      |            B4 evaluated FIRST (priority 5)</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B1 / B2 / B3 / B4  --&gt; Review ID  REV-YYYY-NNNNNN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+--&gt; B3 --&gt; human resolution queue</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Audit log ]  actor, action, entity, IP, timestamp</w:t>
            </w:r>
          </w:p>
        </w:tc>
      </w:tr>
    </w:tbl>
    <w:p>
      <w:r>
        <w:rPr>
          <w:rFonts w:ascii="Arial" w:hAnsi="Arial"/>
          <w:i/>
          <w:color w:val="555555"/>
          <w:sz w:val="16"/>
        </w:rPr>
        <w:t>Figure 1. Entity verification. A source that does not answer yields 'unavailable' and is excluded from scoring; it never becomes 'not_found'.</w:t>
      </w:r>
    </w:p>
    <w:p/>
    <w:p>
      <w:pPr>
        <w:pStyle w:val="Heading3"/>
      </w:pPr>
      <w:r>
        <w:t>2.2.2 Statistical sampling</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Define parameters</w:t>
            </w:r>
            <w:r>
              <w:rPr>
                <w:rFonts w:ascii="Consolas" w:hAnsi="Consolas"/>
                <w:sz w:val="15"/>
                <w:rFonts w:ascii="Consolas" w:hAnsi="Consolas" w:cs="Consolas"/>
              </w:rPr>
              <w:br/>
              <w:t xml:space="preserve">   confidence 95% | margin of error | expected proportion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Cochran n0 ]  n0 = z^2 * p * (1-p) / e^2</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Finite population correction ]  n = n0 / (1 + (n0-1)/N)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Draw stratified random sample ]  seed recorded with the sample</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Assign to reviewers ]  sample_entities</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Track completion ]  review_cycles</w:t>
            </w:r>
          </w:p>
        </w:tc>
      </w:tr>
    </w:tbl>
    <w:p>
      <w:r>
        <w:rPr>
          <w:rFonts w:ascii="Arial" w:hAnsi="Arial"/>
          <w:i/>
          <w:color w:val="555555"/>
          <w:sz w:val="16"/>
        </w:rPr>
        <w:t>Figure 2. Sampling. The seed is returned with the sample; re-drawing with it reproduces the identical entity set, which is what makes a reported sample defensible.</w:t>
      </w:r>
    </w:p>
    <w:p/>
    <w:p>
      <w:pPr>
        <w:pStyle w:val="Heading3"/>
      </w:pPr>
      <w:r>
        <w:t>2.2.3 Weekly reporting</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 Query completed reviews for the period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B1–B4 distribution ]  counts must sum to the reviewed total</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Discrepancy rate ]  (B2+B3+B4) / reviewed</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Wilson score confidence interval ]  valid at 0 and at 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Document data sources actually used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LIMITATIONS ]  mandatory, cannot be empty</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Generate JSON + HTML ] --&gt; [ Archive immutably ] --&gt; ONC delivery</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+--&gt; Excel export reads the ARCHIVE</w:t>
            </w:r>
          </w:p>
        </w:tc>
      </w:tr>
    </w:tbl>
    <w:p>
      <w:r>
        <w:rPr>
          <w:rFonts w:ascii="Arial" w:hAnsi="Arial"/>
          <w:i/>
          <w:color w:val="555555"/>
          <w:sz w:val="16"/>
        </w:rPr>
        <w:t>Figure 3. Weekly reporting. Excel export derives from the archived payload and never recomputes, so two renderings of one report cannot disagree.</w:t>
      </w:r>
    </w:p>
    <w:p/>
    <w:p>
      <w:pPr>
        <w:pStyle w:val="Heading3"/>
      </w:pPr>
      <w:r>
        <w:t>2.2.4 B3 resolution</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Entity classified B3 (Inexplicable)</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Pending human review queue ]   never auto-resolved</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Reviewer examines the recorded evidence ]</w:t>
            </w:r>
            <w:r>
              <w:rPr>
                <w:rFonts w:ascii="Consolas" w:hAnsi="Consolas"/>
                <w:sz w:val="15"/>
                <w:rFonts w:ascii="Consolas" w:hAnsi="Consolas" w:cs="Consolas"/>
              </w:rPr>
              <w:br/>
              <w:t xml:space="preserve">      |   source responses, response hashes, rule version</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Decision ] --+--&gt; confirm B3</w:t>
            </w:r>
            <w:r>
              <w:rPr>
                <w:rFonts w:ascii="Consolas" w:hAnsi="Consolas"/>
                <w:sz w:val="15"/>
                <w:rFonts w:ascii="Consolas" w:hAnsi="Consolas" w:cs="Consolas"/>
              </w:rPr>
              <w:br/>
              <w:t xml:space="preserve">                +--&gt; reclassify to B1 / B2 / B4</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Record resolution ]  rationale + reviewer + timestamp</w:t>
            </w:r>
            <w:r>
              <w:rPr>
                <w:rFonts w:ascii="Consolas" w:hAnsi="Consolas"/>
                <w:sz w:val="15"/>
                <w:rFonts w:ascii="Consolas" w:hAnsi="Consolas" w:cs="Consolas"/>
              </w:rPr>
              <w:br/>
              <w:t xml:space="preserve">      |                 APPEND, never an update over the original</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effective_bucket set; original classification still readable</w:t>
            </w:r>
          </w:p>
        </w:tc>
      </w:tr>
    </w:tbl>
    <w:p>
      <w:r>
        <w:rPr>
          <w:rFonts w:ascii="Arial" w:hAnsi="Arial"/>
          <w:i/>
          <w:color w:val="555555"/>
          <w:sz w:val="16"/>
        </w:rPr>
        <w:t>Figure 4. B3 resolution. The original classification remains legible after resolution — an auditor must see what was concluded at the time, not only the latest view.</w:t>
      </w:r>
    </w:p>
    <w:p/>
    <w:p>
      <w:pPr>
        <w:pStyle w:val="Heading3"/>
      </w:pPr>
      <w:r>
        <w:t>2.2.5 Priority review (Task 5)</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ONC flags an entity</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POST /priority-review ]  admin only</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Immediate verification across all operational connectors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Classification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Root cause analysis ] --&gt; [ Severity assessment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Corrective recommendations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Priority review report ] --&gt; included in the quarterly aggregate</w:t>
            </w:r>
          </w:p>
        </w:tc>
      </w:tr>
    </w:tbl>
    <w:p>
      <w:r>
        <w:rPr>
          <w:rFonts w:ascii="Arial" w:hAnsi="Arial"/>
          <w:i/>
          <w:color w:val="555555"/>
          <w:sz w:val="16"/>
        </w:rPr>
        <w:t>Figure 5. Priority review. The same verification and classification path is used as for scheduled review, so a priority finding is comparable with a routine one.</w:t>
      </w:r>
    </w:p>
    <w:p/>
    <w:p>
      <w:pPr>
        <w:pStyle w:val="Heading2"/>
      </w:pPr>
      <w:r>
        <w:t>2.3 Organisational Roles</w:t>
      </w:r>
    </w:p>
    <w:p>
      <w:r>
        <w:rPr>
          <w:rFonts w:ascii="Arial" w:hAnsi="Arial"/>
          <w:b w:val="0"/>
          <w:i w:val="0"/>
          <w:sz w:val="20"/>
        </w:rPr>
        <w:t>Stakeholders are enumerated in AGT-EX-001 §8. This table maps each role to the system capability it exercises.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0B3C5D"/>
          </w:tcPr>
          <w:p>
            <w:r/>
            <w:r>
              <w:rPr>
                <w:rFonts w:ascii="Arial" w:hAnsi="Arial"/>
                <w:b/>
                <w:color w:val="FFFFFF"/>
                <w:sz w:val="17"/>
              </w:rPr>
              <w:t>Role (AGT-EX-001 §8)</w:t>
            </w:r>
          </w:p>
        </w:tc>
        <w:tc>
          <w:tcPr>
            <w:tcW w:type="dxa" w:w="1584"/>
            <w:shd w:val="clear" w:color="auto" w:fill="0B3C5D"/>
          </w:tcPr>
          <w:p>
            <w:r/>
            <w:r>
              <w:rPr>
                <w:rFonts w:ascii="Arial" w:hAnsi="Arial"/>
                <w:b/>
                <w:color w:val="FFFFFF"/>
                <w:sz w:val="17"/>
              </w:rPr>
              <w:t>Organisation</w:t>
            </w:r>
          </w:p>
        </w:tc>
        <w:tc>
          <w:tcPr>
            <w:tcW w:type="dxa" w:w="5184"/>
            <w:shd w:val="clear" w:color="auto" w:fill="0B3C5D"/>
          </w:tcPr>
          <w:p>
            <w:r/>
            <w:r>
              <w:rPr>
                <w:rFonts w:ascii="Arial" w:hAnsi="Arial"/>
                <w:b/>
                <w:color w:val="FFFFFF"/>
                <w:sz w:val="17"/>
              </w:rPr>
              <w:t>System capability exercised</w:t>
            </w:r>
          </w:p>
        </w:tc>
      </w:tr>
      <w:tr>
        <w:tc>
          <w:tcPr>
            <w:tcW w:type="dxa" w:w="2592"/>
          </w:tcPr>
          <w:p>
            <w:r/>
            <w:r>
              <w:rPr>
                <w:rFonts w:ascii="Arial" w:hAnsi="Arial"/>
                <w:sz w:val="17"/>
              </w:rPr>
              <w:t>Technical Lead</w:t>
            </w:r>
          </w:p>
        </w:tc>
        <w:tc>
          <w:tcPr>
            <w:tcW w:type="dxa" w:w="1584"/>
          </w:tcPr>
          <w:p>
            <w:r/>
            <w:r>
              <w:rPr>
                <w:rFonts w:ascii="Arial" w:hAnsi="Arial"/>
                <w:sz w:val="17"/>
              </w:rPr>
              <w:t>ASTP/ONC</w:t>
            </w:r>
          </w:p>
        </w:tc>
        <w:tc>
          <w:tcPr>
            <w:tcW w:type="dxa" w:w="5184"/>
          </w:tcPr>
          <w:p>
            <w:r/>
            <w:r>
              <w:rPr>
                <w:rFonts w:ascii="Arial" w:hAnsi="Arial"/>
                <w:sz w:val="17"/>
              </w:rPr>
              <w:t>Reviews methodology and findings; requests priority reviews</w:t>
            </w:r>
          </w:p>
        </w:tc>
      </w:tr>
      <w:tr>
        <w:tc>
          <w:tcPr>
            <w:tcW w:type="dxa" w:w="2592"/>
            <w:shd w:val="clear" w:color="auto" w:fill="F2F4F7"/>
          </w:tcPr>
          <w:p>
            <w:r/>
            <w:r>
              <w:rPr>
                <w:rFonts w:ascii="Arial" w:hAnsi="Arial"/>
                <w:sz w:val="17"/>
              </w:rPr>
              <w:t>Technical Monitor</w:t>
            </w:r>
          </w:p>
        </w:tc>
        <w:tc>
          <w:tcPr>
            <w:tcW w:type="dxa" w:w="1584"/>
            <w:shd w:val="clear" w:color="auto" w:fill="F2F4F7"/>
          </w:tcPr>
          <w:p>
            <w:r/>
            <w:r>
              <w:rPr>
                <w:rFonts w:ascii="Arial" w:hAnsi="Arial"/>
                <w:sz w:val="17"/>
              </w:rPr>
              <w:t>ASTP/ONC</w:t>
            </w:r>
          </w:p>
        </w:tc>
        <w:tc>
          <w:tcPr>
            <w:tcW w:type="dxa" w:w="5184"/>
            <w:shd w:val="clear" w:color="auto" w:fill="F2F4F7"/>
          </w:tcPr>
          <w:p>
            <w:r/>
            <w:r>
              <w:rPr>
                <w:rFonts w:ascii="Arial" w:hAnsi="Arial"/>
                <w:sz w:val="17"/>
              </w:rPr>
              <w:t>Reviews deliverables and reported figures</w:t>
            </w:r>
          </w:p>
        </w:tc>
      </w:tr>
      <w:tr>
        <w:tc>
          <w:tcPr>
            <w:tcW w:type="dxa" w:w="2592"/>
          </w:tcPr>
          <w:p>
            <w:r/>
            <w:r>
              <w:rPr>
                <w:rFonts w:ascii="Arial" w:hAnsi="Arial"/>
                <w:sz w:val="17"/>
              </w:rPr>
              <w:t>Methodology Reviewer</w:t>
            </w:r>
          </w:p>
        </w:tc>
        <w:tc>
          <w:tcPr>
            <w:tcW w:type="dxa" w:w="1584"/>
          </w:tcPr>
          <w:p>
            <w:r/>
            <w:r>
              <w:rPr>
                <w:rFonts w:ascii="Arial" w:hAnsi="Arial"/>
                <w:sz w:val="17"/>
              </w:rPr>
              <w:t>ASTP/ONC</w:t>
            </w:r>
          </w:p>
        </w:tc>
        <w:tc>
          <w:tcPr>
            <w:tcW w:type="dxa" w:w="5184"/>
          </w:tcPr>
          <w:p>
            <w:r/>
            <w:r>
              <w:rPr>
                <w:rFonts w:ascii="Arial" w:hAnsi="Arial"/>
                <w:sz w:val="17"/>
              </w:rPr>
              <w:t>Reviews and concurs on classification rules and sampling design</w:t>
            </w:r>
          </w:p>
        </w:tc>
      </w:tr>
      <w:tr>
        <w:tc>
          <w:tcPr>
            <w:tcW w:type="dxa" w:w="2592"/>
            <w:shd w:val="clear" w:color="auto" w:fill="F2F4F7"/>
          </w:tcPr>
          <w:p>
            <w:r/>
            <w:r>
              <w:rPr>
                <w:rFonts w:ascii="Arial" w:hAnsi="Arial"/>
                <w:sz w:val="17"/>
              </w:rPr>
              <w:t>Contracting Officer's Representative</w:t>
            </w:r>
          </w:p>
        </w:tc>
        <w:tc>
          <w:tcPr>
            <w:tcW w:type="dxa" w:w="1584"/>
            <w:shd w:val="clear" w:color="auto" w:fill="F2F4F7"/>
          </w:tcPr>
          <w:p>
            <w:r/>
            <w:r>
              <w:rPr>
                <w:rFonts w:ascii="Arial" w:hAnsi="Arial"/>
                <w:sz w:val="17"/>
              </w:rPr>
              <w:t>ASTP/ONC</w:t>
            </w:r>
          </w:p>
        </w:tc>
        <w:tc>
          <w:tcPr>
            <w:tcW w:type="dxa" w:w="5184"/>
            <w:shd w:val="clear" w:color="auto" w:fill="F2F4F7"/>
          </w:tcPr>
          <w:p>
            <w:r/>
            <w:r>
              <w:rPr>
                <w:rFonts w:ascii="Arial" w:hAnsi="Arial"/>
                <w:sz w:val="17"/>
              </w:rPr>
              <w:t>Accepts deliverables; receives closeout artefacts</w:t>
            </w:r>
          </w:p>
        </w:tc>
      </w:tr>
      <w:tr>
        <w:tc>
          <w:tcPr>
            <w:tcW w:type="dxa" w:w="2592"/>
          </w:tcPr>
          <w:p>
            <w:r/>
            <w:r>
              <w:rPr>
                <w:rFonts w:ascii="Arial" w:hAnsi="Arial"/>
                <w:sz w:val="17"/>
              </w:rPr>
              <w:t>Contracting Officer</w:t>
            </w:r>
          </w:p>
        </w:tc>
        <w:tc>
          <w:tcPr>
            <w:tcW w:type="dxa" w:w="1584"/>
          </w:tcPr>
          <w:p>
            <w:r/>
            <w:r>
              <w:rPr>
                <w:rFonts w:ascii="Arial" w:hAnsi="Arial"/>
                <w:sz w:val="17"/>
              </w:rPr>
              <w:t>HHS OMAS</w:t>
            </w:r>
          </w:p>
        </w:tc>
        <w:tc>
          <w:tcPr>
            <w:tcW w:type="dxa" w:w="5184"/>
          </w:tcPr>
          <w:p>
            <w:r/>
            <w:r>
              <w:rPr>
                <w:rFonts w:ascii="Arial" w:hAnsi="Arial"/>
                <w:sz w:val="17"/>
              </w:rPr>
              <w:t>Contract administration; no platform access required</w:t>
            </w:r>
          </w:p>
        </w:tc>
      </w:tr>
      <w:tr>
        <w:tc>
          <w:tcPr>
            <w:tcW w:type="dxa" w:w="2592"/>
            <w:shd w:val="clear" w:color="auto" w:fill="F2F4F7"/>
          </w:tcPr>
          <w:p>
            <w:r/>
            <w:r>
              <w:rPr>
                <w:rFonts w:ascii="Arial" w:hAnsi="Arial"/>
                <w:sz w:val="17"/>
              </w:rPr>
              <w:t>Chief Executive / Technical Lead</w:t>
            </w:r>
          </w:p>
        </w:tc>
        <w:tc>
          <w:tcPr>
            <w:tcW w:type="dxa" w:w="1584"/>
            <w:shd w:val="clear" w:color="auto" w:fill="F2F4F7"/>
          </w:tcPr>
          <w:p>
            <w:r/>
            <w:r>
              <w:rPr>
                <w:rFonts w:ascii="Arial" w:hAnsi="Arial"/>
                <w:sz w:val="17"/>
              </w:rPr>
              <w:t>AGT</w:t>
            </w:r>
          </w:p>
        </w:tc>
        <w:tc>
          <w:tcPr>
            <w:tcW w:type="dxa" w:w="5184"/>
            <w:shd w:val="clear" w:color="auto" w:fill="F2F4F7"/>
          </w:tcPr>
          <w:p>
            <w:r/>
            <w:r>
              <w:rPr>
                <w:rFonts w:ascii="Arial" w:hAnsi="Arial"/>
                <w:sz w:val="17"/>
              </w:rPr>
              <w:t>Platform administration, rule authoring, user management</w:t>
            </w:r>
          </w:p>
        </w:tc>
      </w:tr>
      <w:tr>
        <w:tc>
          <w:tcPr>
            <w:tcW w:type="dxa" w:w="2592"/>
          </w:tcPr>
          <w:p>
            <w:r/>
            <w:r>
              <w:rPr>
                <w:rFonts w:ascii="Arial" w:hAnsi="Arial"/>
                <w:sz w:val="17"/>
              </w:rPr>
              <w:t>Programme Manager</w:t>
            </w:r>
          </w:p>
        </w:tc>
        <w:tc>
          <w:tcPr>
            <w:tcW w:type="dxa" w:w="1584"/>
          </w:tcPr>
          <w:p>
            <w:r/>
            <w:r>
              <w:rPr>
                <w:rFonts w:ascii="Arial" w:hAnsi="Arial"/>
                <w:sz w:val="17"/>
              </w:rPr>
              <w:t>AGT</w:t>
            </w:r>
          </w:p>
        </w:tc>
        <w:tc>
          <w:tcPr>
            <w:tcW w:type="dxa" w:w="5184"/>
          </w:tcPr>
          <w:p>
            <w:r/>
            <w:r>
              <w:rPr>
                <w:rFonts w:ascii="Arial" w:hAnsi="Arial"/>
                <w:sz w:val="17"/>
              </w:rPr>
              <w:t>Cycle management, deliverable submission, full audit log access</w:t>
            </w:r>
          </w:p>
        </w:tc>
      </w:tr>
      <w:tr>
        <w:tc>
          <w:tcPr>
            <w:tcW w:type="dxa" w:w="2592"/>
            <w:shd w:val="clear" w:color="auto" w:fill="F2F4F7"/>
          </w:tcPr>
          <w:p>
            <w:r/>
            <w:r>
              <w:rPr>
                <w:rFonts w:ascii="Arial" w:hAnsi="Arial"/>
                <w:sz w:val="17"/>
              </w:rPr>
              <w:t>Data Analyst</w:t>
            </w:r>
          </w:p>
        </w:tc>
        <w:tc>
          <w:tcPr>
            <w:tcW w:type="dxa" w:w="1584"/>
            <w:shd w:val="clear" w:color="auto" w:fill="F2F4F7"/>
          </w:tcPr>
          <w:p>
            <w:r/>
            <w:r>
              <w:rPr>
                <w:rFonts w:ascii="Arial" w:hAnsi="Arial"/>
                <w:sz w:val="17"/>
              </w:rPr>
              <w:t>AGT</w:t>
            </w:r>
          </w:p>
        </w:tc>
        <w:tc>
          <w:tcPr>
            <w:tcW w:type="dxa" w:w="5184"/>
            <w:shd w:val="clear" w:color="auto" w:fill="F2F4F7"/>
          </w:tcPr>
          <w:p>
            <w:r/>
            <w:r>
              <w:rPr>
                <w:rFonts w:ascii="Arial" w:hAnsi="Arial"/>
                <w:sz w:val="17"/>
              </w:rPr>
              <w:t>Import, verification execution, sample drawing</w:t>
            </w:r>
          </w:p>
        </w:tc>
      </w:tr>
      <w:tr>
        <w:tc>
          <w:tcPr>
            <w:tcW w:type="dxa" w:w="2592"/>
          </w:tcPr>
          <w:p>
            <w:r/>
            <w:r>
              <w:rPr>
                <w:rFonts w:ascii="Arial" w:hAnsi="Arial"/>
                <w:sz w:val="17"/>
              </w:rPr>
              <w:t>Senior Healthcare IT Advisor</w:t>
            </w:r>
          </w:p>
        </w:tc>
        <w:tc>
          <w:tcPr>
            <w:tcW w:type="dxa" w:w="1584"/>
          </w:tcPr>
          <w:p>
            <w:r/>
            <w:r>
              <w:rPr>
                <w:rFonts w:ascii="Arial" w:hAnsi="Arial"/>
                <w:sz w:val="17"/>
              </w:rPr>
              <w:t>AGT</w:t>
            </w:r>
          </w:p>
        </w:tc>
        <w:tc>
          <w:tcPr>
            <w:tcW w:type="dxa" w:w="5184"/>
          </w:tcPr>
          <w:p>
            <w:r/>
            <w:r>
              <w:rPr>
                <w:rFonts w:ascii="Arial" w:hAnsi="Arial"/>
                <w:sz w:val="17"/>
              </w:rPr>
              <w:t>Methodology advice; read access to reports</w:t>
            </w:r>
          </w:p>
        </w:tc>
      </w:tr>
    </w:tbl>
    <w:p/>
    <w:p>
      <w:r>
        <w:br w:type="page"/>
      </w:r>
    </w:p>
    <w:p>
      <w:pPr>
        <w:pStyle w:val="Heading1"/>
      </w:pPr>
      <w:r>
        <w:t>3. Application Architecture</w:t>
      </w:r>
    </w:p>
    <w:p>
      <w:pPr>
        <w:pStyle w:val="Heading2"/>
      </w:pPr>
      <w:r>
        <w:t>3.1 Application Portfolio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B3C5D"/>
          </w:tcPr>
          <w:p>
            <w:r/>
            <w:r>
              <w:rPr>
                <w:rFonts w:ascii="Arial" w:hAnsi="Arial"/>
                <w:b/>
                <w:color w:val="FFFFFF"/>
                <w:sz w:val="17"/>
              </w:rPr>
              <w:t>Application</w:t>
            </w:r>
          </w:p>
        </w:tc>
        <w:tc>
          <w:tcPr>
            <w:tcW w:type="dxa" w:w="2736"/>
            <w:shd w:val="clear" w:color="auto" w:fill="0B3C5D"/>
          </w:tcPr>
          <w:p>
            <w:r/>
            <w:r>
              <w:rPr>
                <w:rFonts w:ascii="Arial" w:hAnsi="Arial"/>
                <w:b/>
                <w:color w:val="FFFFFF"/>
                <w:sz w:val="17"/>
              </w:rPr>
              <w:t>Purpose</w:t>
            </w:r>
          </w:p>
        </w:tc>
        <w:tc>
          <w:tcPr>
            <w:tcW w:type="dxa" w:w="3024"/>
            <w:shd w:val="clear" w:color="auto" w:fill="0B3C5D"/>
          </w:tcPr>
          <w:p>
            <w:r/>
            <w:r>
              <w:rPr>
                <w:rFonts w:ascii="Arial" w:hAnsi="Arial"/>
                <w:b/>
                <w:color w:val="FFFFFF"/>
                <w:sz w:val="17"/>
              </w:rPr>
              <w:t>Technology</w:t>
            </w:r>
          </w:p>
        </w:tc>
        <w:tc>
          <w:tcPr>
            <w:tcW w:type="dxa" w:w="1584"/>
            <w:shd w:val="clear" w:color="auto" w:fill="0B3C5D"/>
          </w:tcPr>
          <w:p>
            <w:r/>
            <w:r>
              <w:rPr>
                <w:rFonts w:ascii="Arial" w:hAnsi="Arial"/>
                <w:b/>
                <w:color w:val="FFFFFF"/>
                <w:sz w:val="17"/>
              </w:rPr>
              <w:t>Status</w:t>
            </w:r>
          </w:p>
        </w:tc>
      </w:tr>
      <w:tr>
        <w:tc>
          <w:tcPr>
            <w:tcW w:type="dxa" w:w="2016"/>
          </w:tcPr>
          <w:p>
            <w:r/>
            <w:r>
              <w:rPr>
                <w:rFonts w:ascii="Arial" w:hAnsi="Arial"/>
                <w:sz w:val="17"/>
              </w:rPr>
              <w:t>DocuAction Backend</w:t>
            </w:r>
          </w:p>
        </w:tc>
        <w:tc>
          <w:tcPr>
            <w:tcW w:type="dxa" w:w="2736"/>
          </w:tcPr>
          <w:p>
            <w:r/>
            <w:r>
              <w:rPr>
                <w:rFonts w:ascii="Arial" w:hAnsi="Arial"/>
                <w:sz w:val="17"/>
              </w:rPr>
              <w:t>API and business logic</w:t>
            </w:r>
          </w:p>
        </w:tc>
        <w:tc>
          <w:tcPr>
            <w:tcW w:type="dxa" w:w="3024"/>
          </w:tcPr>
          <w:p>
            <w:r/>
            <w:r>
              <w:rPr>
                <w:rFonts w:ascii="Arial" w:hAnsi="Arial"/>
                <w:sz w:val="17"/>
              </w:rPr>
              <w:t>FastAPI 0.140 / Python 3.12 target, 3.13 development</w:t>
            </w:r>
          </w:p>
        </w:tc>
        <w:tc>
          <w:tcPr>
            <w:tcW w:type="dxa" w:w="1584"/>
          </w:tcPr>
          <w:p>
            <w:r/>
            <w:r>
              <w:rPr>
                <w:rFonts w:ascii="Arial" w:hAnsi="Arial"/>
                <w:sz w:val="17"/>
              </w:rPr>
              <w:t>Production</w:t>
            </w:r>
          </w:p>
        </w:tc>
      </w:tr>
      <w:tr>
        <w:tc>
          <w:tcPr>
            <w:tcW w:type="dxa" w:w="2016"/>
            <w:shd w:val="clear" w:color="auto" w:fill="F2F4F7"/>
          </w:tcPr>
          <w:p>
            <w:r/>
            <w:r>
              <w:rPr>
                <w:rFonts w:ascii="Arial" w:hAnsi="Arial"/>
                <w:sz w:val="17"/>
              </w:rPr>
              <w:t>DocuAction Frontend</w:t>
            </w:r>
          </w:p>
        </w:tc>
        <w:tc>
          <w:tcPr>
            <w:tcW w:type="dxa" w:w="2736"/>
            <w:shd w:val="clear" w:color="auto" w:fill="F2F4F7"/>
          </w:tcPr>
          <w:p>
            <w:r/>
            <w:r>
              <w:rPr>
                <w:rFonts w:ascii="Arial" w:hAnsi="Arial"/>
                <w:sz w:val="17"/>
              </w:rPr>
              <w:t>User interface and dashboards</w:t>
            </w:r>
          </w:p>
        </w:tc>
        <w:tc>
          <w:tcPr>
            <w:tcW w:type="dxa" w:w="3024"/>
            <w:shd w:val="clear" w:color="auto" w:fill="F2F4F7"/>
          </w:tcPr>
          <w:p>
            <w:r/>
            <w:r>
              <w:rPr>
                <w:rFonts w:ascii="Arial" w:hAnsi="Arial"/>
                <w:sz w:val="17"/>
              </w:rPr>
              <w:t>Next.js 16.2.9 / React 18.3.1 (static export)</w:t>
            </w:r>
          </w:p>
        </w:tc>
        <w:tc>
          <w:tcPr>
            <w:tcW w:type="dxa" w:w="1584"/>
            <w:shd w:val="clear" w:color="auto" w:fill="F2F4F7"/>
          </w:tcPr>
          <w:p>
            <w:r/>
            <w:r>
              <w:rPr>
                <w:rFonts w:ascii="Arial" w:hAnsi="Arial"/>
                <w:sz w:val="17"/>
              </w:rPr>
              <w:t>Production</w:t>
            </w:r>
          </w:p>
        </w:tc>
      </w:tr>
      <w:tr>
        <w:tc>
          <w:tcPr>
            <w:tcW w:type="dxa" w:w="2016"/>
          </w:tcPr>
          <w:p>
            <w:r/>
            <w:r>
              <w:rPr>
                <w:rFonts w:ascii="Arial" w:hAnsi="Arial"/>
                <w:sz w:val="17"/>
              </w:rPr>
              <w:t>Security Scanner</w:t>
            </w:r>
          </w:p>
        </w:tc>
        <w:tc>
          <w:tcPr>
            <w:tcW w:type="dxa" w:w="2736"/>
          </w:tcPr>
          <w:p>
            <w:r/>
            <w:r>
              <w:rPr>
                <w:rFonts w:ascii="Arial" w:hAnsi="Arial"/>
                <w:sz w:val="17"/>
              </w:rPr>
              <w:t>Automated security assessment</w:t>
            </w:r>
          </w:p>
        </w:tc>
        <w:tc>
          <w:tcPr>
            <w:tcW w:type="dxa" w:w="3024"/>
          </w:tcPr>
          <w:p>
            <w:r/>
            <w:r>
              <w:rPr>
                <w:rFonts w:ascii="Arial" w:hAnsi="Arial"/>
                <w:sz w:val="17"/>
              </w:rPr>
              <w:t>Python command-line tool</w:t>
            </w:r>
          </w:p>
        </w:tc>
        <w:tc>
          <w:tcPr>
            <w:tcW w:type="dxa" w:w="1584"/>
          </w:tcPr>
          <w:p>
            <w:r/>
            <w:r>
              <w:rPr>
                <w:rFonts w:ascii="Arial" w:hAnsi="Arial"/>
                <w:sz w:val="17"/>
              </w:rPr>
              <w:t>Operational</w:t>
            </w:r>
          </w:p>
        </w:tc>
      </w:tr>
      <w:tr>
        <w:tc>
          <w:tcPr>
            <w:tcW w:type="dxa" w:w="2016"/>
            <w:shd w:val="clear" w:color="auto" w:fill="F2F4F7"/>
          </w:tcPr>
          <w:p>
            <w:r/>
            <w:r>
              <w:rPr>
                <w:rFonts w:ascii="Arial" w:hAnsi="Arial"/>
                <w:sz w:val="17"/>
              </w:rPr>
              <w:t>CI/CD Pipeline</w:t>
            </w:r>
          </w:p>
        </w:tc>
        <w:tc>
          <w:tcPr>
            <w:tcW w:type="dxa" w:w="2736"/>
            <w:shd w:val="clear" w:color="auto" w:fill="F2F4F7"/>
          </w:tcPr>
          <w:p>
            <w:r/>
            <w:r>
              <w:rPr>
                <w:rFonts w:ascii="Arial" w:hAnsi="Arial"/>
                <w:sz w:val="17"/>
              </w:rPr>
              <w:t>Build, test, deploy, security scanning</w:t>
            </w:r>
          </w:p>
        </w:tc>
        <w:tc>
          <w:tcPr>
            <w:tcW w:type="dxa" w:w="3024"/>
            <w:shd w:val="clear" w:color="auto" w:fill="F2F4F7"/>
          </w:tcPr>
          <w:p>
            <w:r/>
            <w:r>
              <w:rPr>
                <w:rFonts w:ascii="Arial" w:hAnsi="Arial"/>
                <w:sz w:val="17"/>
              </w:rPr>
              <w:t>GitHub Actions</w:t>
            </w:r>
          </w:p>
        </w:tc>
        <w:tc>
          <w:tcPr>
            <w:tcW w:type="dxa" w:w="1584"/>
            <w:shd w:val="clear" w:color="auto" w:fill="F2F4F7"/>
          </w:tcPr>
          <w:p>
            <w:r/>
            <w:r>
              <w:rPr>
                <w:rFonts w:ascii="Arial" w:hAnsi="Arial"/>
                <w:sz w:val="17"/>
              </w:rPr>
              <w:t>Operational</w:t>
            </w:r>
          </w:p>
        </w:tc>
      </w:tr>
      <w:tr>
        <w:tc>
          <w:tcPr>
            <w:tcW w:type="dxa" w:w="2016"/>
          </w:tcPr>
          <w:p>
            <w:r/>
            <w:r>
              <w:rPr>
                <w:rFonts w:ascii="Arial" w:hAnsi="Arial"/>
                <w:sz w:val="17"/>
              </w:rPr>
              <w:t>DAST Pipelines</w:t>
            </w:r>
          </w:p>
        </w:tc>
        <w:tc>
          <w:tcPr>
            <w:tcW w:type="dxa" w:w="2736"/>
          </w:tcPr>
          <w:p>
            <w:r/>
            <w:r>
              <w:rPr>
                <w:rFonts w:ascii="Arial" w:hAnsi="Arial"/>
                <w:sz w:val="17"/>
              </w:rPr>
              <w:t>Dynamic application security testing</w:t>
            </w:r>
          </w:p>
        </w:tc>
        <w:tc>
          <w:tcPr>
            <w:tcW w:type="dxa" w:w="3024"/>
          </w:tcPr>
          <w:p>
            <w:r/>
            <w:r>
              <w:rPr>
                <w:rFonts w:ascii="Arial" w:hAnsi="Arial"/>
                <w:sz w:val="17"/>
              </w:rPr>
              <w:t>OWASP ZAP and StackHawk via GitHub Actions</w:t>
            </w:r>
          </w:p>
        </w:tc>
        <w:tc>
          <w:tcPr>
            <w:tcW w:type="dxa" w:w="1584"/>
          </w:tcPr>
          <w:p>
            <w:r/>
            <w:r>
              <w:rPr>
                <w:rFonts w:ascii="Arial" w:hAnsi="Arial"/>
                <w:sz w:val="17"/>
              </w:rPr>
              <w:t>Built — not yet executed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VERIFIED: </w:t>
            </w:r>
            <w:r>
              <w:rPr>
                <w:rFonts w:ascii="Arial" w:hAnsi="Arial"/>
                <w:sz w:val="18"/>
              </w:rPr>
              <w:t>Framework versions above were read from the deployed application and the frontend manifest, not from the proposal. The frontend is Next.js 16.2.9 with React 18.3.1. Two High-severity advisories affect this framework and are formally accepted (AGT-EX-001 §7, RA-001 and RA-002) because the only available remediation downgrades the framework by two major versions and breaks the build.</w:t>
            </w:r>
          </w:p>
        </w:tc>
      </w:tr>
    </w:tbl>
    <w:p/>
    <w:p>
      <w:pPr>
        <w:pStyle w:val="Heading2"/>
      </w:pPr>
      <w:r>
        <w:t>3.2 Module Dependency Map</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3C5D"/>
          </w:tcPr>
          <w:p>
            <w:r/>
            <w:r>
              <w:rPr>
                <w:rFonts w:ascii="Arial" w:hAnsi="Arial"/>
                <w:b/>
                <w:color w:val="FFFFFF"/>
                <w:sz w:val="17"/>
              </w:rPr>
              <w:t>Module</w:t>
            </w:r>
          </w:p>
        </w:tc>
        <w:tc>
          <w:tcPr>
            <w:tcW w:type="dxa" w:w="3600"/>
            <w:shd w:val="clear" w:color="auto" w:fill="0B3C5D"/>
          </w:tcPr>
          <w:p>
            <w:r/>
            <w:r>
              <w:rPr>
                <w:rFonts w:ascii="Arial" w:hAnsi="Arial"/>
                <w:b/>
                <w:color w:val="FFFFFF"/>
                <w:sz w:val="17"/>
              </w:rPr>
              <w:t>Depends On</w:t>
            </w:r>
          </w:p>
        </w:tc>
        <w:tc>
          <w:tcPr>
            <w:tcW w:type="dxa" w:w="3600"/>
            <w:shd w:val="clear" w:color="auto" w:fill="0B3C5D"/>
          </w:tcPr>
          <w:p>
            <w:r/>
            <w:r>
              <w:rPr>
                <w:rFonts w:ascii="Arial" w:hAnsi="Arial"/>
                <w:b/>
                <w:color w:val="FFFFFF"/>
                <w:sz w:val="17"/>
              </w:rPr>
              <w:t>Depended On By</w:t>
            </w:r>
          </w:p>
        </w:tc>
      </w:tr>
      <w:tr>
        <w:tc>
          <w:tcPr>
            <w:tcW w:type="dxa" w:w="2160"/>
          </w:tcPr>
          <w:p>
            <w:r/>
            <w:r>
              <w:rPr>
                <w:rFonts w:ascii="Arial" w:hAnsi="Arial"/>
                <w:sz w:val="17"/>
              </w:rPr>
              <w:t>Auth</w:t>
            </w:r>
          </w:p>
        </w:tc>
        <w:tc>
          <w:tcPr>
            <w:tcW w:type="dxa" w:w="3600"/>
          </w:tcPr>
          <w:p>
            <w:r/>
            <w:r>
              <w:rPr>
                <w:rFonts w:ascii="Arial" w:hAnsi="Arial"/>
                <w:sz w:val="17"/>
              </w:rPr>
              <w:t>Database</w:t>
            </w:r>
          </w:p>
        </w:tc>
        <w:tc>
          <w:tcPr>
            <w:tcW w:type="dxa" w:w="3600"/>
          </w:tcPr>
          <w:p>
            <w:r/>
            <w:r>
              <w:rPr>
                <w:rFonts w:ascii="Arial" w:hAnsi="Arial"/>
                <w:sz w:val="17"/>
              </w:rPr>
              <w:t>Every other module</w:t>
            </w:r>
          </w:p>
        </w:tc>
      </w:tr>
      <w:tr>
        <w:tc>
          <w:tcPr>
            <w:tcW w:type="dxa" w:w="2160"/>
            <w:shd w:val="clear" w:color="auto" w:fill="F2F4F7"/>
          </w:tcPr>
          <w:p>
            <w:r/>
            <w:r>
              <w:rPr>
                <w:rFonts w:ascii="Arial" w:hAnsi="Arial"/>
                <w:sz w:val="17"/>
              </w:rPr>
              <w:t>Database access</w:t>
            </w:r>
          </w:p>
        </w:tc>
        <w:tc>
          <w:tcPr>
            <w:tcW w:type="dxa" w:w="3600"/>
            <w:shd w:val="clear" w:color="auto" w:fill="F2F4F7"/>
          </w:tcPr>
          <w:p>
            <w:r/>
            <w:r>
              <w:rPr>
                <w:rFonts w:ascii="Arial" w:hAnsi="Arial"/>
                <w:sz w:val="17"/>
              </w:rPr>
              <w:t>PostgreSQL</w:t>
            </w:r>
          </w:p>
        </w:tc>
        <w:tc>
          <w:tcPr>
            <w:tcW w:type="dxa" w:w="3600"/>
            <w:shd w:val="clear" w:color="auto" w:fill="F2F4F7"/>
          </w:tcPr>
          <w:p>
            <w:r/>
            <w:r>
              <w:rPr>
                <w:rFonts w:ascii="Arial" w:hAnsi="Arial"/>
                <w:sz w:val="17"/>
              </w:rPr>
              <w:t>All modules</w:t>
            </w:r>
          </w:p>
        </w:tc>
      </w:tr>
      <w:tr>
        <w:tc>
          <w:tcPr>
            <w:tcW w:type="dxa" w:w="2160"/>
          </w:tcPr>
          <w:p>
            <w:r/>
            <w:r>
              <w:rPr>
                <w:rFonts w:ascii="Arial" w:hAnsi="Arial"/>
                <w:sz w:val="17"/>
              </w:rPr>
              <w:t>Connectors</w:t>
            </w:r>
          </w:p>
        </w:tc>
        <w:tc>
          <w:tcPr>
            <w:tcW w:type="dxa" w:w="3600"/>
          </w:tcPr>
          <w:p>
            <w:r/>
            <w:r>
              <w:rPr>
                <w:rFonts w:ascii="Arial" w:hAnsi="Arial"/>
                <w:sz w:val="17"/>
              </w:rPr>
              <w:t>External federal APIs, Auth</w:t>
            </w:r>
          </w:p>
        </w:tc>
        <w:tc>
          <w:tcPr>
            <w:tcW w:type="dxa" w:w="3600"/>
          </w:tcPr>
          <w:p>
            <w:r/>
            <w:r>
              <w:rPr>
                <w:rFonts w:ascii="Arial" w:hAnsi="Arial"/>
                <w:sz w:val="17"/>
              </w:rPr>
              <w:t>TEFCA ARC verification</w:t>
            </w:r>
          </w:p>
        </w:tc>
      </w:tr>
      <w:tr>
        <w:tc>
          <w:tcPr>
            <w:tcW w:type="dxa" w:w="2160"/>
            <w:shd w:val="clear" w:color="auto" w:fill="F2F4F7"/>
          </w:tcPr>
          <w:p>
            <w:r/>
            <w:r>
              <w:rPr>
                <w:rFonts w:ascii="Arial" w:hAnsi="Arial"/>
                <w:sz w:val="17"/>
              </w:rPr>
              <w:t>TEFCA ARC</w:t>
            </w:r>
          </w:p>
        </w:tc>
        <w:tc>
          <w:tcPr>
            <w:tcW w:type="dxa" w:w="3600"/>
            <w:shd w:val="clear" w:color="auto" w:fill="F2F4F7"/>
          </w:tcPr>
          <w:p>
            <w:r/>
            <w:r>
              <w:rPr>
                <w:rFonts w:ascii="Arial" w:hAnsi="Arial"/>
                <w:sz w:val="17"/>
              </w:rPr>
              <w:t>Auth, Database, Connectors</w:t>
            </w:r>
          </w:p>
        </w:tc>
        <w:tc>
          <w:tcPr>
            <w:tcW w:type="dxa" w:w="3600"/>
            <w:shd w:val="clear" w:color="auto" w:fill="F2F4F7"/>
          </w:tcPr>
          <w:p>
            <w:r/>
            <w:r>
              <w:rPr>
                <w:rFonts w:ascii="Arial" w:hAnsi="Arial"/>
                <w:sz w:val="17"/>
              </w:rPr>
              <w:t>Reporting, Analytics</w:t>
            </w:r>
          </w:p>
        </w:tc>
      </w:tr>
      <w:tr>
        <w:tc>
          <w:tcPr>
            <w:tcW w:type="dxa" w:w="2160"/>
          </w:tcPr>
          <w:p>
            <w:r/>
            <w:r>
              <w:rPr>
                <w:rFonts w:ascii="Arial" w:hAnsi="Arial"/>
                <w:sz w:val="17"/>
              </w:rPr>
              <w:t>Rules engine</w:t>
            </w:r>
          </w:p>
        </w:tc>
        <w:tc>
          <w:tcPr>
            <w:tcW w:type="dxa" w:w="3600"/>
          </w:tcPr>
          <w:p>
            <w:r/>
            <w:r>
              <w:rPr>
                <w:rFonts w:ascii="Arial" w:hAnsi="Arial"/>
                <w:sz w:val="17"/>
              </w:rPr>
              <w:t>Database (review_rules)</w:t>
            </w:r>
          </w:p>
        </w:tc>
        <w:tc>
          <w:tcPr>
            <w:tcW w:type="dxa" w:w="3600"/>
          </w:tcPr>
          <w:p>
            <w:r/>
            <w:r>
              <w:rPr>
                <w:rFonts w:ascii="Arial" w:hAnsi="Arial"/>
                <w:sz w:val="17"/>
              </w:rPr>
              <w:t>TEFCA ARC</w:t>
            </w:r>
          </w:p>
        </w:tc>
      </w:tr>
      <w:tr>
        <w:tc>
          <w:tcPr>
            <w:tcW w:type="dxa" w:w="2160"/>
            <w:shd w:val="clear" w:color="auto" w:fill="F2F4F7"/>
          </w:tcPr>
          <w:p>
            <w:r/>
            <w:r>
              <w:rPr>
                <w:rFonts w:ascii="Arial" w:hAnsi="Arial"/>
                <w:sz w:val="17"/>
              </w:rPr>
              <w:t>Sampling engine</w:t>
            </w:r>
          </w:p>
        </w:tc>
        <w:tc>
          <w:tcPr>
            <w:tcW w:type="dxa" w:w="3600"/>
            <w:shd w:val="clear" w:color="auto" w:fill="F2F4F7"/>
          </w:tcPr>
          <w:p>
            <w:r/>
            <w:r>
              <w:rPr>
                <w:rFonts w:ascii="Arial" w:hAnsi="Arial"/>
                <w:sz w:val="17"/>
              </w:rPr>
              <w:t>Database</w:t>
            </w:r>
          </w:p>
        </w:tc>
        <w:tc>
          <w:tcPr>
            <w:tcW w:type="dxa" w:w="3600"/>
            <w:shd w:val="clear" w:color="auto" w:fill="F2F4F7"/>
          </w:tcPr>
          <w:p>
            <w:r/>
            <w:r>
              <w:rPr>
                <w:rFonts w:ascii="Arial" w:hAnsi="Arial"/>
                <w:sz w:val="17"/>
              </w:rPr>
              <w:t>TEFCA ARC, Reporting</w:t>
            </w:r>
          </w:p>
        </w:tc>
      </w:tr>
      <w:tr>
        <w:tc>
          <w:tcPr>
            <w:tcW w:type="dxa" w:w="2160"/>
          </w:tcPr>
          <w:p>
            <w:r/>
            <w:r>
              <w:rPr>
                <w:rFonts w:ascii="Arial" w:hAnsi="Arial"/>
                <w:sz w:val="17"/>
              </w:rPr>
              <w:t>Reporting</w:t>
            </w:r>
          </w:p>
        </w:tc>
        <w:tc>
          <w:tcPr>
            <w:tcW w:type="dxa" w:w="3600"/>
          </w:tcPr>
          <w:p>
            <w:r/>
            <w:r>
              <w:rPr>
                <w:rFonts w:ascii="Arial" w:hAnsi="Arial"/>
                <w:sz w:val="17"/>
              </w:rPr>
              <w:t>TEFCA ARC, Sampling engine, Database</w:t>
            </w:r>
          </w:p>
        </w:tc>
        <w:tc>
          <w:tcPr>
            <w:tcW w:type="dxa" w:w="3600"/>
          </w:tcPr>
          <w:p>
            <w:r/>
            <w:r>
              <w:rPr>
                <w:rFonts w:ascii="Arial" w:hAnsi="Arial"/>
                <w:sz w:val="17"/>
              </w:rPr>
              <w:t>Analytics</w:t>
            </w:r>
          </w:p>
        </w:tc>
      </w:tr>
      <w:tr>
        <w:tc>
          <w:tcPr>
            <w:tcW w:type="dxa" w:w="2160"/>
            <w:shd w:val="clear" w:color="auto" w:fill="F2F4F7"/>
          </w:tcPr>
          <w:p>
            <w:r/>
            <w:r>
              <w:rPr>
                <w:rFonts w:ascii="Arial" w:hAnsi="Arial"/>
                <w:sz w:val="17"/>
              </w:rPr>
              <w:t>Bulletin</w:t>
            </w:r>
          </w:p>
        </w:tc>
        <w:tc>
          <w:tcPr>
            <w:tcW w:type="dxa" w:w="3600"/>
            <w:shd w:val="clear" w:color="auto" w:fill="F2F4F7"/>
          </w:tcPr>
          <w:p>
            <w:r/>
            <w:r>
              <w:rPr>
                <w:rFonts w:ascii="Arial" w:hAnsi="Arial"/>
                <w:sz w:val="17"/>
              </w:rPr>
              <w:t>Auth, Database, Anthropic API</w:t>
            </w:r>
          </w:p>
        </w:tc>
        <w:tc>
          <w:tcPr>
            <w:tcW w:type="dxa" w:w="3600"/>
            <w:shd w:val="clear" w:color="auto" w:fill="F2F4F7"/>
          </w:tcPr>
          <w:p>
            <w:r/>
            <w:r>
              <w:rPr>
                <w:rFonts w:ascii="Arial" w:hAnsi="Arial"/>
                <w:sz w:val="17"/>
              </w:rPr>
              <w:t>None</w:t>
            </w:r>
          </w:p>
        </w:tc>
      </w:tr>
      <w:tr>
        <w:tc>
          <w:tcPr>
            <w:tcW w:type="dxa" w:w="2160"/>
          </w:tcPr>
          <w:p>
            <w:r/>
            <w:r>
              <w:rPr>
                <w:rFonts w:ascii="Arial" w:hAnsi="Arial"/>
                <w:sz w:val="17"/>
              </w:rPr>
              <w:t>Document Processing</w:t>
            </w:r>
          </w:p>
        </w:tc>
        <w:tc>
          <w:tcPr>
            <w:tcW w:type="dxa" w:w="3600"/>
          </w:tcPr>
          <w:p>
            <w:r/>
            <w:r>
              <w:rPr>
                <w:rFonts w:ascii="Arial" w:hAnsi="Arial"/>
                <w:sz w:val="17"/>
              </w:rPr>
              <w:t>Auth, Database, Anthropic API</w:t>
            </w:r>
          </w:p>
        </w:tc>
        <w:tc>
          <w:tcPr>
            <w:tcW w:type="dxa" w:w="3600"/>
          </w:tcPr>
          <w:p>
            <w:r/>
            <w:r>
              <w:rPr>
                <w:rFonts w:ascii="Arial" w:hAnsi="Arial"/>
                <w:sz w:val="17"/>
              </w:rPr>
              <w:t>None</w:t>
            </w:r>
          </w:p>
        </w:tc>
      </w:tr>
      <w:tr>
        <w:tc>
          <w:tcPr>
            <w:tcW w:type="dxa" w:w="2160"/>
            <w:shd w:val="clear" w:color="auto" w:fill="F2F4F7"/>
          </w:tcPr>
          <w:p>
            <w:r/>
            <w:r>
              <w:rPr>
                <w:rFonts w:ascii="Arial" w:hAnsi="Arial"/>
                <w:sz w:val="17"/>
              </w:rPr>
              <w:t>Audio Transcription</w:t>
            </w:r>
          </w:p>
        </w:tc>
        <w:tc>
          <w:tcPr>
            <w:tcW w:type="dxa" w:w="3600"/>
            <w:shd w:val="clear" w:color="auto" w:fill="F2F4F7"/>
          </w:tcPr>
          <w:p>
            <w:r/>
            <w:r>
              <w:rPr>
                <w:rFonts w:ascii="Arial" w:hAnsi="Arial"/>
                <w:sz w:val="17"/>
              </w:rPr>
              <w:t>Auth, OpenAI API</w:t>
            </w:r>
          </w:p>
        </w:tc>
        <w:tc>
          <w:tcPr>
            <w:tcW w:type="dxa" w:w="3600"/>
            <w:shd w:val="clear" w:color="auto" w:fill="F2F4F7"/>
          </w:tcPr>
          <w:p>
            <w:r/>
            <w:r>
              <w:rPr>
                <w:rFonts w:ascii="Arial" w:hAnsi="Arial"/>
                <w:sz w:val="17"/>
              </w:rPr>
              <w:t>None</w:t>
            </w:r>
          </w:p>
        </w:tc>
      </w:tr>
      <w:tr>
        <w:tc>
          <w:tcPr>
            <w:tcW w:type="dxa" w:w="2160"/>
          </w:tcPr>
          <w:p>
            <w:r/>
            <w:r>
              <w:rPr>
                <w:rFonts w:ascii="Arial" w:hAnsi="Arial"/>
                <w:sz w:val="17"/>
              </w:rPr>
              <w:t>Audit</w:t>
            </w:r>
          </w:p>
        </w:tc>
        <w:tc>
          <w:tcPr>
            <w:tcW w:type="dxa" w:w="3600"/>
          </w:tcPr>
          <w:p>
            <w:r/>
            <w:r>
              <w:rPr>
                <w:rFonts w:ascii="Arial" w:hAnsi="Arial"/>
                <w:sz w:val="17"/>
              </w:rPr>
              <w:t>Database</w:t>
            </w:r>
          </w:p>
        </w:tc>
        <w:tc>
          <w:tcPr>
            <w:tcW w:type="dxa" w:w="3600"/>
          </w:tcPr>
          <w:p>
            <w:r/>
            <w:r>
              <w:rPr>
                <w:rFonts w:ascii="Arial" w:hAnsi="Arial"/>
                <w:sz w:val="17"/>
              </w:rPr>
              <w:t>All modules</w:t>
            </w:r>
          </w:p>
        </w:tc>
      </w:tr>
    </w:tbl>
    <w:p/>
    <w:p>
      <w:r>
        <w:rPr>
          <w:rFonts w:ascii="Arial" w:hAnsi="Arial"/>
          <w:b w:val="0"/>
          <w:i w:val="0"/>
          <w:sz w:val="20"/>
        </w:rPr>
        <w:t>The dependency graph is deliberately acyclic and shallow. Bulletin and Document Processing depend on shared infrastructure but nothing depends on them, which is what allows them to be out of contract scope without affecting the TEFCA ARC deliverables.</w:t>
      </w:r>
    </w:p>
    <w:p>
      <w:pPr>
        <w:pStyle w:val="Heading2"/>
      </w:pPr>
      <w:r>
        <w:t>3.3 Application Layering</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w:t>
            </w:r>
            <w:r>
              <w:rPr>
                <w:rFonts w:ascii="Consolas" w:hAnsi="Consolas"/>
                <w:sz w:val="15"/>
                <w:rFonts w:ascii="Consolas" w:hAnsi="Consolas" w:cs="Consolas"/>
              </w:rPr>
              <w:br/>
              <w:t xml:space="preserve"> |  PRESENTATION      Next.js static export, Azure Static Web App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HTTPS / JSON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API               FastAPI routers, request validation,        |</w:t>
            </w:r>
            <w:r>
              <w:rPr>
                <w:rFonts w:ascii="Consolas" w:hAnsi="Consolas"/>
                <w:sz w:val="15"/>
                <w:rFonts w:ascii="Consolas" w:hAnsi="Consolas" w:cs="Consolas"/>
              </w:rPr>
              <w:br/>
              <w:t xml:space="preserve"> |                    RBAC guard, rate limiting, error handler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BUSINESS LOGIC    bucket_classifier, sampling_engine,         |</w:t>
            </w:r>
            <w:r>
              <w:rPr>
                <w:rFonts w:ascii="Consolas" w:hAnsi="Consolas"/>
                <w:sz w:val="15"/>
                <w:rFonts w:ascii="Consolas" w:hAnsi="Consolas" w:cs="Consolas"/>
              </w:rPr>
              <w:br/>
              <w:t xml:space="preserve"> |                    report_generator, lifecycle state machine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DATA ACCESS       SQLAlchemy async ORM, queries module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INTEGRATION       NPPES | PECOS | OIG LEIE | SAM.gov          |</w:t>
            </w:r>
            <w:r>
              <w:rPr>
                <w:rFonts w:ascii="Consolas" w:hAnsi="Consolas"/>
                <w:sz w:val="15"/>
                <w:rFonts w:ascii="Consolas" w:hAnsi="Consolas" w:cs="Consolas"/>
              </w:rPr>
              <w:br/>
              <w:t xml:space="preserve"> |                    common SourceResult contract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  INFRASTRUCTURE    Azure App Service (Linux), PostgreSQL 16    |</w:t>
            </w:r>
            <w:r>
              <w:rPr>
                <w:rFonts w:ascii="Consolas" w:hAnsi="Consolas"/>
                <w:sz w:val="15"/>
                <w:rFonts w:ascii="Consolas" w:hAnsi="Consolas" w:cs="Consolas"/>
              </w:rPr>
              <w:br/>
              <w:t xml:space="preserve"> +--------------------------------------------------------------+</w:t>
            </w:r>
          </w:p>
        </w:tc>
      </w:tr>
    </w:tbl>
    <w:p>
      <w:r>
        <w:rPr>
          <w:rFonts w:ascii="Arial" w:hAnsi="Arial"/>
          <w:i/>
          <w:color w:val="555555"/>
          <w:sz w:val="16"/>
        </w:rPr>
        <w:t>Figure 6. Application layering. Business logic holds no HTTP or database concerns, which is why the classification engine can be exercised deterministically in tests without a database.</w:t>
      </w:r>
    </w:p>
    <w:p/>
    <w:p>
      <w:r>
        <w:br w:type="page"/>
      </w:r>
    </w:p>
    <w:p>
      <w:pPr>
        <w:pStyle w:val="Heading1"/>
      </w:pPr>
      <w:r>
        <w:t>4. Information Architecture</w:t>
      </w:r>
    </w:p>
    <w:p>
      <w:pPr>
        <w:pStyle w:val="Heading2"/>
      </w:pPr>
      <w:r>
        <w:t>4.1 Information Domains</w:t>
      </w:r>
    </w:p>
    <w:p>
      <w:r>
        <w:rPr>
          <w:rFonts w:ascii="Arial" w:hAnsi="Arial"/>
          <w:b w:val="0"/>
          <w:i w:val="0"/>
          <w:sz w:val="20"/>
        </w:rPr>
        <w:t>The data model is specified in AGT-DA-001. Summarised here for architectural context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0B3C5D"/>
          </w:tcPr>
          <w:p>
            <w:r/>
            <w:r>
              <w:rPr>
                <w:rFonts w:ascii="Arial" w:hAnsi="Arial"/>
                <w:b/>
                <w:color w:val="FFFFFF"/>
                <w:sz w:val="17"/>
              </w:rPr>
              <w:t>Domain</w:t>
            </w:r>
          </w:p>
        </w:tc>
        <w:tc>
          <w:tcPr>
            <w:tcW w:type="dxa" w:w="3888"/>
            <w:shd w:val="clear" w:color="auto" w:fill="0B3C5D"/>
          </w:tcPr>
          <w:p>
            <w:r/>
            <w:r>
              <w:rPr>
                <w:rFonts w:ascii="Arial" w:hAnsi="Arial"/>
                <w:b/>
                <w:color w:val="FFFFFF"/>
                <w:sz w:val="17"/>
              </w:rPr>
              <w:t>Content</w:t>
            </w:r>
          </w:p>
        </w:tc>
        <w:tc>
          <w:tcPr>
            <w:tcW w:type="dxa" w:w="864"/>
            <w:shd w:val="clear" w:color="auto" w:fill="0B3C5D"/>
          </w:tcPr>
          <w:p>
            <w:r/>
            <w:r>
              <w:rPr>
                <w:rFonts w:ascii="Arial" w:hAnsi="Arial"/>
                <w:b/>
                <w:color w:val="FFFFFF"/>
                <w:sz w:val="17"/>
              </w:rPr>
              <w:t>Tables</w:t>
            </w:r>
          </w:p>
        </w:tc>
        <w:tc>
          <w:tcPr>
            <w:tcW w:type="dxa" w:w="3024"/>
            <w:shd w:val="clear" w:color="auto" w:fill="0B3C5D"/>
          </w:tcPr>
          <w:p>
            <w:r/>
            <w:r>
              <w:rPr>
                <w:rFonts w:ascii="Arial" w:hAnsi="Arial"/>
                <w:b/>
                <w:color w:val="FFFFFF"/>
                <w:sz w:val="17"/>
              </w:rPr>
              <w:t>Authoritative source</w:t>
            </w:r>
          </w:p>
        </w:tc>
      </w:tr>
      <w:tr>
        <w:tc>
          <w:tcPr>
            <w:tcW w:type="dxa" w:w="1584"/>
          </w:tcPr>
          <w:p>
            <w:r/>
            <w:r>
              <w:rPr>
                <w:rFonts w:ascii="Arial" w:hAnsi="Arial"/>
                <w:sz w:val="17"/>
              </w:rPr>
              <w:t>Entity</w:t>
            </w:r>
          </w:p>
        </w:tc>
        <w:tc>
          <w:tcPr>
            <w:tcW w:type="dxa" w:w="3888"/>
          </w:tcPr>
          <w:p>
            <w:r/>
            <w:r>
              <w:rPr>
                <w:rFonts w:ascii="Arial" w:hAnsi="Arial"/>
                <w:sz w:val="17"/>
              </w:rPr>
              <w:t>Registry population, identifiers, hierarchy, versions</w:t>
            </w:r>
          </w:p>
        </w:tc>
        <w:tc>
          <w:tcPr>
            <w:tcW w:type="dxa" w:w="864"/>
          </w:tcPr>
          <w:p>
            <w:r/>
            <w:r>
              <w:rPr>
                <w:rFonts w:ascii="Arial" w:hAnsi="Arial"/>
                <w:sz w:val="17"/>
              </w:rPr>
              <w:t>8</w:t>
            </w:r>
          </w:p>
        </w:tc>
        <w:tc>
          <w:tcPr>
            <w:tcW w:type="dxa" w:w="3024"/>
          </w:tcPr>
          <w:p>
            <w:r/>
            <w:r>
              <w:rPr>
                <w:rFonts w:ascii="Arial" w:hAnsi="Arial"/>
                <w:sz w:val="17"/>
              </w:rPr>
              <w:t>ONC-supplied extract</w:t>
            </w:r>
          </w:p>
        </w:tc>
      </w:tr>
      <w:tr>
        <w:tc>
          <w:tcPr>
            <w:tcW w:type="dxa" w:w="1584"/>
            <w:shd w:val="clear" w:color="auto" w:fill="F2F4F7"/>
          </w:tcPr>
          <w:p>
            <w:r/>
            <w:r>
              <w:rPr>
                <w:rFonts w:ascii="Arial" w:hAnsi="Arial"/>
                <w:sz w:val="17"/>
              </w:rPr>
              <w:t>Verification</w:t>
            </w:r>
          </w:p>
        </w:tc>
        <w:tc>
          <w:tcPr>
            <w:tcW w:type="dxa" w:w="3888"/>
            <w:shd w:val="clear" w:color="auto" w:fill="F2F4F7"/>
          </w:tcPr>
          <w:p>
            <w:r/>
            <w:r>
              <w:rPr>
                <w:rFonts w:ascii="Arial" w:hAnsi="Arial"/>
                <w:sz w:val="17"/>
              </w:rPr>
              <w:t>Per-source results, payloads, response hashes</w:t>
            </w:r>
          </w:p>
        </w:tc>
        <w:tc>
          <w:tcPr>
            <w:tcW w:type="dxa" w:w="864"/>
            <w:shd w:val="clear" w:color="auto" w:fill="F2F4F7"/>
          </w:tcPr>
          <w:p>
            <w:r/>
            <w:r>
              <w:rPr>
                <w:rFonts w:ascii="Arial" w:hAnsi="Arial"/>
                <w:sz w:val="17"/>
              </w:rPr>
              <w:t>5</w:t>
            </w:r>
          </w:p>
        </w:tc>
        <w:tc>
          <w:tcPr>
            <w:tcW w:type="dxa" w:w="3024"/>
            <w:shd w:val="clear" w:color="auto" w:fill="F2F4F7"/>
          </w:tcPr>
          <w:p>
            <w:r/>
            <w:r>
              <w:rPr>
                <w:rFonts w:ascii="Arial" w:hAnsi="Arial"/>
                <w:sz w:val="17"/>
              </w:rPr>
              <w:t>NPPES, PECOS, OIG LEIE</w:t>
            </w:r>
          </w:p>
        </w:tc>
      </w:tr>
      <w:tr>
        <w:tc>
          <w:tcPr>
            <w:tcW w:type="dxa" w:w="1584"/>
          </w:tcPr>
          <w:p>
            <w:r/>
            <w:r>
              <w:rPr>
                <w:rFonts w:ascii="Arial" w:hAnsi="Arial"/>
                <w:sz w:val="17"/>
              </w:rPr>
              <w:t>Review</w:t>
            </w:r>
          </w:p>
        </w:tc>
        <w:tc>
          <w:tcPr>
            <w:tcW w:type="dxa" w:w="3888"/>
          </w:tcPr>
          <w:p>
            <w:r/>
            <w:r>
              <w:rPr>
                <w:rFonts w:ascii="Arial" w:hAnsi="Arial"/>
                <w:sz w:val="17"/>
              </w:rPr>
              <w:t>Rules, classifications, samples, cycles, reports</w:t>
            </w:r>
          </w:p>
        </w:tc>
        <w:tc>
          <w:tcPr>
            <w:tcW w:type="dxa" w:w="864"/>
          </w:tcPr>
          <w:p>
            <w:r/>
            <w:r>
              <w:rPr>
                <w:rFonts w:ascii="Arial" w:hAnsi="Arial"/>
                <w:sz w:val="17"/>
              </w:rPr>
              <w:t>7</w:t>
            </w:r>
          </w:p>
        </w:tc>
        <w:tc>
          <w:tcPr>
            <w:tcW w:type="dxa" w:w="3024"/>
          </w:tcPr>
          <w:p>
            <w:r/>
            <w:r>
              <w:rPr>
                <w:rFonts w:ascii="Arial" w:hAnsi="Arial"/>
                <w:sz w:val="17"/>
              </w:rPr>
              <w:t>DocuAction platform</w:t>
            </w:r>
          </w:p>
        </w:tc>
      </w:tr>
      <w:tr>
        <w:tc>
          <w:tcPr>
            <w:tcW w:type="dxa" w:w="1584"/>
            <w:shd w:val="clear" w:color="auto" w:fill="F2F4F7"/>
          </w:tcPr>
          <w:p>
            <w:r/>
            <w:r>
              <w:rPr>
                <w:rFonts w:ascii="Arial" w:hAnsi="Arial"/>
                <w:sz w:val="17"/>
              </w:rPr>
              <w:t>Platform</w:t>
            </w:r>
          </w:p>
        </w:tc>
        <w:tc>
          <w:tcPr>
            <w:tcW w:type="dxa" w:w="3888"/>
            <w:shd w:val="clear" w:color="auto" w:fill="F2F4F7"/>
          </w:tcPr>
          <w:p>
            <w:r/>
            <w:r>
              <w:rPr>
                <w:rFonts w:ascii="Arial" w:hAnsi="Arial"/>
                <w:sz w:val="17"/>
              </w:rPr>
              <w:t>Users, roles, immutable audit trail</w:t>
            </w:r>
          </w:p>
        </w:tc>
        <w:tc>
          <w:tcPr>
            <w:tcW w:type="dxa" w:w="864"/>
            <w:shd w:val="clear" w:color="auto" w:fill="F2F4F7"/>
          </w:tcPr>
          <w:p>
            <w:r/>
            <w:r>
              <w:rPr>
                <w:rFonts w:ascii="Arial" w:hAnsi="Arial"/>
                <w:sz w:val="17"/>
              </w:rPr>
              <w:t>2</w:t>
            </w:r>
          </w:p>
        </w:tc>
        <w:tc>
          <w:tcPr>
            <w:tcW w:type="dxa" w:w="3024"/>
            <w:shd w:val="clear" w:color="auto" w:fill="F2F4F7"/>
          </w:tcPr>
          <w:p>
            <w:r/>
            <w:r>
              <w:rPr>
                <w:rFonts w:ascii="Arial" w:hAnsi="Arial"/>
                <w:sz w:val="17"/>
              </w:rPr>
              <w:t>DocuAction platform</w:t>
            </w:r>
          </w:p>
        </w:tc>
      </w:tr>
      <w:tr>
        <w:tc>
          <w:tcPr>
            <w:tcW w:type="dxa" w:w="1584"/>
          </w:tcPr>
          <w:p>
            <w:r/>
            <w:r>
              <w:rPr>
                <w:rFonts w:ascii="Arial" w:hAnsi="Arial"/>
                <w:sz w:val="17"/>
              </w:rPr>
              <w:t>Bulletin</w:t>
            </w:r>
          </w:p>
        </w:tc>
        <w:tc>
          <w:tcPr>
            <w:tcW w:type="dxa" w:w="3888"/>
          </w:tcPr>
          <w:p>
            <w:r/>
            <w:r>
              <w:rPr>
                <w:rFonts w:ascii="Arial" w:hAnsi="Arial"/>
                <w:sz w:val="17"/>
              </w:rPr>
              <w:t>Articles, briefings, sources, cost telemetry</w:t>
            </w:r>
          </w:p>
        </w:tc>
        <w:tc>
          <w:tcPr>
            <w:tcW w:type="dxa" w:w="864"/>
          </w:tcPr>
          <w:p>
            <w:r/>
            <w:r>
              <w:rPr>
                <w:rFonts w:ascii="Arial" w:hAnsi="Arial"/>
                <w:sz w:val="17"/>
              </w:rPr>
              <w:t>8</w:t>
            </w:r>
          </w:p>
        </w:tc>
        <w:tc>
          <w:tcPr>
            <w:tcW w:type="dxa" w:w="3024"/>
          </w:tcPr>
          <w:p>
            <w:r/>
            <w:r>
              <w:rPr>
                <w:rFonts w:ascii="Arial" w:hAnsi="Arial"/>
                <w:sz w:val="17"/>
              </w:rPr>
              <w:t>Public RSS and news APIs</w:t>
            </w:r>
          </w:p>
        </w:tc>
      </w:tr>
    </w:tbl>
    <w:p/>
    <w:p>
      <w:pPr>
        <w:pStyle w:val="Heading2"/>
      </w:pPr>
      <w:r>
        <w:t>4.2 Data Classification Summary</w:t>
      </w:r>
    </w:p>
    <w:p>
      <w:r>
        <w:rPr>
          <w:rFonts w:ascii="Arial" w:hAnsi="Arial"/>
          <w:b w:val="0"/>
          <w:i w:val="0"/>
          <w:sz w:val="20"/>
        </w:rPr>
        <w:t>Full per-table classification is in AGT-DA-001 §8.</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0B3C5D"/>
          </w:tcPr>
          <w:p>
            <w:r/>
            <w:r>
              <w:rPr>
                <w:rFonts w:ascii="Arial" w:hAnsi="Arial"/>
                <w:b/>
                <w:color w:val="FFFFFF"/>
                <w:sz w:val="17"/>
              </w:rPr>
              <w:t>Classification</w:t>
            </w:r>
          </w:p>
        </w:tc>
        <w:tc>
          <w:tcPr>
            <w:tcW w:type="dxa" w:w="4464"/>
            <w:shd w:val="clear" w:color="auto" w:fill="0B3C5D"/>
          </w:tcPr>
          <w:p>
            <w:r/>
            <w:r>
              <w:rPr>
                <w:rFonts w:ascii="Arial" w:hAnsi="Arial"/>
                <w:b/>
                <w:color w:val="FFFFFF"/>
                <w:sz w:val="17"/>
              </w:rPr>
              <w:t>Applies to</w:t>
            </w:r>
          </w:p>
        </w:tc>
        <w:tc>
          <w:tcPr>
            <w:tcW w:type="dxa" w:w="1512"/>
            <w:shd w:val="clear" w:color="auto" w:fill="0B3C5D"/>
          </w:tcPr>
          <w:p>
            <w:r/>
            <w:r>
              <w:rPr>
                <w:rFonts w:ascii="Arial" w:hAnsi="Arial"/>
                <w:b/>
                <w:color w:val="FFFFFF"/>
                <w:sz w:val="17"/>
              </w:rPr>
              <w:t>Encryption</w:t>
            </w:r>
          </w:p>
        </w:tc>
        <w:tc>
          <w:tcPr>
            <w:tcW w:type="dxa" w:w="1512"/>
            <w:shd w:val="clear" w:color="auto" w:fill="0B3C5D"/>
          </w:tcPr>
          <w:p>
            <w:r/>
            <w:r>
              <w:rPr>
                <w:rFonts w:ascii="Arial" w:hAnsi="Arial"/>
                <w:b/>
                <w:color w:val="FFFFFF"/>
                <w:sz w:val="17"/>
              </w:rPr>
              <w:t>Audit</w:t>
            </w:r>
          </w:p>
        </w:tc>
      </w:tr>
      <w:tr>
        <w:tc>
          <w:tcPr>
            <w:tcW w:type="dxa" w:w="1872"/>
          </w:tcPr>
          <w:p>
            <w:r/>
            <w:r>
              <w:rPr>
                <w:rFonts w:ascii="Arial" w:hAnsi="Arial"/>
                <w:sz w:val="17"/>
              </w:rPr>
              <w:t>CUI / PII</w:t>
            </w:r>
          </w:p>
        </w:tc>
        <w:tc>
          <w:tcPr>
            <w:tcW w:type="dxa" w:w="4464"/>
          </w:tcPr>
          <w:p>
            <w:r/>
            <w:r>
              <w:rPr>
                <w:rFonts w:ascii="Arial" w:hAnsi="Arial"/>
                <w:sz w:val="17"/>
              </w:rPr>
              <w:t>Entity tables, identifiers, entity versions</w:t>
            </w:r>
          </w:p>
        </w:tc>
        <w:tc>
          <w:tcPr>
            <w:tcW w:type="dxa" w:w="1512"/>
          </w:tcPr>
          <w:p>
            <w:r/>
            <w:r>
              <w:rPr>
                <w:rFonts w:ascii="Arial" w:hAnsi="Arial"/>
                <w:sz w:val="17"/>
              </w:rPr>
              <w:t>Yes</w:t>
            </w:r>
          </w:p>
        </w:tc>
        <w:tc>
          <w:tcPr>
            <w:tcW w:type="dxa" w:w="1512"/>
          </w:tcPr>
          <w:p>
            <w:r/>
            <w:r>
              <w:rPr>
                <w:rFonts w:ascii="Arial" w:hAnsi="Arial"/>
                <w:sz w:val="17"/>
              </w:rPr>
              <w:t>Yes</w:t>
            </w:r>
          </w:p>
        </w:tc>
      </w:tr>
      <w:tr>
        <w:tc>
          <w:tcPr>
            <w:tcW w:type="dxa" w:w="1872"/>
            <w:shd w:val="clear" w:color="auto" w:fill="F2F4F7"/>
          </w:tcPr>
          <w:p>
            <w:r/>
            <w:r>
              <w:rPr>
                <w:rFonts w:ascii="Arial" w:hAnsi="Arial"/>
                <w:sz w:val="17"/>
              </w:rPr>
              <w:t>CUI</w:t>
            </w:r>
          </w:p>
        </w:tc>
        <w:tc>
          <w:tcPr>
            <w:tcW w:type="dxa" w:w="4464"/>
            <w:shd w:val="clear" w:color="auto" w:fill="F2F4F7"/>
          </w:tcPr>
          <w:p>
            <w:r/>
            <w:r>
              <w:rPr>
                <w:rFonts w:ascii="Arial" w:hAnsi="Arial"/>
                <w:sz w:val="17"/>
              </w:rPr>
              <w:t>Verifications, review records, samples, reports</w:t>
            </w:r>
          </w:p>
        </w:tc>
        <w:tc>
          <w:tcPr>
            <w:tcW w:type="dxa" w:w="1512"/>
            <w:shd w:val="clear" w:color="auto" w:fill="F2F4F7"/>
          </w:tcPr>
          <w:p>
            <w:r/>
            <w:r>
              <w:rPr>
                <w:rFonts w:ascii="Arial" w:hAnsi="Arial"/>
                <w:sz w:val="17"/>
              </w:rPr>
              <w:t>Yes</w:t>
            </w:r>
          </w:p>
        </w:tc>
        <w:tc>
          <w:tcPr>
            <w:tcW w:type="dxa" w:w="1512"/>
            <w:shd w:val="clear" w:color="auto" w:fill="F2F4F7"/>
          </w:tcPr>
          <w:p>
            <w:r/>
            <w:r>
              <w:rPr>
                <w:rFonts w:ascii="Arial" w:hAnsi="Arial"/>
                <w:sz w:val="17"/>
              </w:rPr>
              <w:t>Yes</w:t>
            </w:r>
          </w:p>
        </w:tc>
      </w:tr>
      <w:tr>
        <w:tc>
          <w:tcPr>
            <w:tcW w:type="dxa" w:w="1872"/>
          </w:tcPr>
          <w:p>
            <w:r/>
            <w:r>
              <w:rPr>
                <w:rFonts w:ascii="Arial" w:hAnsi="Arial"/>
                <w:sz w:val="17"/>
              </w:rPr>
              <w:t>PII</w:t>
            </w:r>
          </w:p>
        </w:tc>
        <w:tc>
          <w:tcPr>
            <w:tcW w:type="dxa" w:w="4464"/>
          </w:tcPr>
          <w:p>
            <w:r/>
            <w:r>
              <w:rPr>
                <w:rFonts w:ascii="Arial" w:hAnsi="Arial"/>
                <w:sz w:val="17"/>
              </w:rPr>
              <w:t>users</w:t>
            </w:r>
          </w:p>
        </w:tc>
        <w:tc>
          <w:tcPr>
            <w:tcW w:type="dxa" w:w="1512"/>
          </w:tcPr>
          <w:p>
            <w:r/>
            <w:r>
              <w:rPr>
                <w:rFonts w:ascii="Arial" w:hAnsi="Arial"/>
                <w:sz w:val="17"/>
              </w:rPr>
              <w:t>Yes</w:t>
            </w:r>
          </w:p>
        </w:tc>
        <w:tc>
          <w:tcPr>
            <w:tcW w:type="dxa" w:w="1512"/>
          </w:tcPr>
          <w:p>
            <w:r/>
            <w:r>
              <w:rPr>
                <w:rFonts w:ascii="Arial" w:hAnsi="Arial"/>
                <w:sz w:val="17"/>
              </w:rPr>
              <w:t>Yes</w:t>
            </w:r>
          </w:p>
        </w:tc>
      </w:tr>
      <w:tr>
        <w:tc>
          <w:tcPr>
            <w:tcW w:type="dxa" w:w="1872"/>
            <w:shd w:val="clear" w:color="auto" w:fill="F2F4F7"/>
          </w:tcPr>
          <w:p>
            <w:r/>
            <w:r>
              <w:rPr>
                <w:rFonts w:ascii="Arial" w:hAnsi="Arial"/>
                <w:sz w:val="17"/>
              </w:rPr>
              <w:t>INTERNAL</w:t>
            </w:r>
          </w:p>
        </w:tc>
        <w:tc>
          <w:tcPr>
            <w:tcW w:type="dxa" w:w="4464"/>
            <w:shd w:val="clear" w:color="auto" w:fill="F2F4F7"/>
          </w:tcPr>
          <w:p>
            <w:r/>
            <w:r>
              <w:rPr>
                <w:rFonts w:ascii="Arial" w:hAnsi="Arial"/>
                <w:sz w:val="17"/>
              </w:rPr>
              <w:t>Import batches, job metadata, rules, cycles, telemetry</w:t>
            </w:r>
          </w:p>
        </w:tc>
        <w:tc>
          <w:tcPr>
            <w:tcW w:type="dxa" w:w="1512"/>
            <w:shd w:val="clear" w:color="auto" w:fill="F2F4F7"/>
          </w:tcPr>
          <w:p>
            <w:r/>
            <w:r>
              <w:rPr>
                <w:rFonts w:ascii="Arial" w:hAnsi="Arial"/>
                <w:sz w:val="17"/>
              </w:rPr>
              <w:t>Varies</w:t>
            </w:r>
          </w:p>
        </w:tc>
        <w:tc>
          <w:tcPr>
            <w:tcW w:type="dxa" w:w="1512"/>
            <w:shd w:val="clear" w:color="auto" w:fill="F2F4F7"/>
          </w:tcPr>
          <w:p>
            <w:r/>
            <w:r>
              <w:rPr>
                <w:rFonts w:ascii="Arial" w:hAnsi="Arial"/>
                <w:sz w:val="17"/>
              </w:rPr>
              <w:t>Yes</w:t>
            </w:r>
          </w:p>
        </w:tc>
      </w:tr>
      <w:tr>
        <w:tc>
          <w:tcPr>
            <w:tcW w:type="dxa" w:w="1872"/>
          </w:tcPr>
          <w:p>
            <w:r/>
            <w:r>
              <w:rPr>
                <w:rFonts w:ascii="Arial" w:hAnsi="Arial"/>
                <w:sz w:val="17"/>
              </w:rPr>
              <w:t>PUBLIC</w:t>
            </w:r>
          </w:p>
        </w:tc>
        <w:tc>
          <w:tcPr>
            <w:tcW w:type="dxa" w:w="4464"/>
          </w:tcPr>
          <w:p>
            <w:r/>
            <w:r>
              <w:rPr>
                <w:rFonts w:ascii="Arial" w:hAnsi="Arial"/>
                <w:sz w:val="17"/>
              </w:rPr>
              <w:t>Bulletin articles and briefings</w:t>
            </w:r>
          </w:p>
        </w:tc>
        <w:tc>
          <w:tcPr>
            <w:tcW w:type="dxa" w:w="1512"/>
          </w:tcPr>
          <w:p>
            <w:r/>
            <w:r>
              <w:rPr>
                <w:rFonts w:ascii="Arial" w:hAnsi="Arial"/>
                <w:sz w:val="17"/>
              </w:rPr>
              <w:t>No</w:t>
            </w:r>
          </w:p>
        </w:tc>
        <w:tc>
          <w:tcPr>
            <w:tcW w:type="dxa" w:w="1512"/>
          </w:tcPr>
          <w:p>
            <w:r/>
            <w:r>
              <w:rPr>
                <w:rFonts w:ascii="Arial" w:hAnsi="Arial"/>
                <w:sz w:val="17"/>
              </w:rPr>
              <w:t>No</w:t>
            </w:r>
          </w:p>
        </w:tc>
      </w:tr>
    </w:tbl>
    <w:p/>
    <w:p>
      <w:pPr>
        <w:pStyle w:val="Heading2"/>
      </w:pPr>
      <w:r>
        <w:t>4.3 Data Flow Overview</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EXTERNAL                PLATFORM              STORAGE        OUTPUT</w:t>
            </w:r>
            <w:r>
              <w:rPr>
                <w:rFonts w:ascii="Consolas" w:hAnsi="Consolas"/>
                <w:sz w:val="15"/>
                <w:rFonts w:ascii="Consolas" w:hAnsi="Consolas" w:cs="Consolas"/>
              </w:rPr>
              <w:br/>
              <w:t/>
            </w:r>
            <w:r>
              <w:rPr>
                <w:rFonts w:ascii="Consolas" w:hAnsi="Consolas"/>
                <w:sz w:val="15"/>
                <w:rFonts w:ascii="Consolas" w:hAnsi="Consolas" w:cs="Consolas"/>
              </w:rPr>
              <w:br/>
              <w:t xml:space="preserve">  NPPES API ------+</w:t>
            </w:r>
            <w:r>
              <w:rPr>
                <w:rFonts w:ascii="Consolas" w:hAnsi="Consolas"/>
                <w:sz w:val="15"/>
                <w:rFonts w:ascii="Consolas" w:hAnsi="Consolas" w:cs="Consolas"/>
              </w:rPr>
              <w:br/>
              <w:t xml:space="preserve">  PECOS API ------+</w:t>
            </w:r>
            <w:r>
              <w:rPr>
                <w:rFonts w:ascii="Consolas" w:hAnsi="Consolas"/>
                <w:sz w:val="15"/>
                <w:rFonts w:ascii="Consolas" w:hAnsi="Consolas" w:cs="Consolas"/>
              </w:rPr>
              <w:br/>
              <w:t xml:space="preserve">  OIG LEIE   -----+--&gt; [ Connectors ] --&gt; Verification --&gt; PostgreSQL</w:t>
            </w:r>
            <w:r>
              <w:rPr>
                <w:rFonts w:ascii="Consolas" w:hAnsi="Consolas"/>
                <w:sz w:val="15"/>
                <w:rFonts w:ascii="Consolas" w:hAnsi="Consolas" w:cs="Consolas"/>
              </w:rPr>
              <w:br/>
              <w:t xml:space="preserve">  SAM.gov (no key)+                        results</w:t>
            </w:r>
            <w:r>
              <w:rPr>
                <w:rFonts w:ascii="Consolas" w:hAnsi="Consolas"/>
                <w:sz w:val="15"/>
                <w:rFonts w:ascii="Consolas" w:hAnsi="Consolas" w:cs="Consolas"/>
              </w:rPr>
              <w:br/>
              <w:t xml:space="preserve">  ONC CSV    -----+--&gt; [ Import ]     --&gt; Entities    --&gt; PostgreSQL</w:t>
            </w:r>
            <w:r>
              <w:rPr>
                <w:rFonts w:ascii="Consolas" w:hAnsi="Consolas"/>
                <w:sz w:val="15"/>
                <w:rFonts w:ascii="Consolas" w:hAnsi="Consolas" w:cs="Consolas"/>
              </w:rPr>
              <w:br/>
              <w:t/>
            </w:r>
            <w:r>
              <w:rPr>
                <w:rFonts w:ascii="Consolas" w:hAnsi="Consolas"/>
                <w:sz w:val="15"/>
                <w:rFonts w:ascii="Consolas" w:hAnsi="Consolas" w:cs="Consolas"/>
              </w:rPr>
              <w:br/>
              <w:t xml:space="preserve">  PostgreSQL --&gt; [ Rules engine ] --&gt; Classification --&gt; review_records</w:t>
            </w:r>
            <w:r>
              <w:rPr>
                <w:rFonts w:ascii="Consolas" w:hAnsi="Consolas"/>
                <w:sz w:val="15"/>
                <w:rFonts w:ascii="Consolas" w:hAnsi="Consolas" w:cs="Consolas"/>
              </w:rPr>
              <w:br/>
              <w:t/>
            </w:r>
            <w:r>
              <w:rPr>
                <w:rFonts w:ascii="Consolas" w:hAnsi="Consolas"/>
                <w:sz w:val="15"/>
                <w:rFonts w:ascii="Consolas" w:hAnsi="Consolas" w:cs="Consolas"/>
              </w:rPr>
              <w:br/>
              <w:t xml:space="preserve">  review_records --&gt; [ Sampler ] --&gt; Sample --&gt; [ Report generator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review_reports (archived)</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                     v</w:t>
            </w:r>
            <w:r>
              <w:rPr>
                <w:rFonts w:ascii="Consolas" w:hAnsi="Consolas"/>
                <w:sz w:val="15"/>
                <w:rFonts w:ascii="Consolas" w:hAnsi="Consolas" w:cs="Consolas"/>
              </w:rPr>
              <w:br/>
              <w:t xml:space="preserve">                                          HTML                  Excel</w:t>
            </w:r>
            <w:r>
              <w:rPr>
                <w:rFonts w:ascii="Consolas" w:hAnsi="Consolas"/>
                <w:sz w:val="15"/>
                <w:rFonts w:ascii="Consolas" w:hAnsi="Consolas" w:cs="Consolas"/>
              </w:rPr>
              <w:br/>
              <w:t xml:space="preserve">                                            |                     |</w:t>
            </w:r>
            <w:r>
              <w:rPr>
                <w:rFonts w:ascii="Consolas" w:hAnsi="Consolas"/>
                <w:sz w:val="15"/>
                <w:rFonts w:ascii="Consolas" w:hAnsi="Consolas" w:cs="Consolas"/>
              </w:rPr>
              <w:br/>
              <w:t xml:space="preserve">                                            +------&gt; ONC &lt;--------+</w:t>
            </w:r>
          </w:p>
        </w:tc>
      </w:tr>
    </w:tbl>
    <w:p>
      <w:r>
        <w:rPr>
          <w:rFonts w:ascii="Arial" w:hAnsi="Arial"/>
          <w:i/>
          <w:color w:val="555555"/>
          <w:sz w:val="16"/>
        </w:rPr>
        <w:t>Figure 7. Data flow. Both output renderings read the archived report, never the live tables.</w:t>
      </w:r>
    </w:p>
    <w:p/>
    <w:p>
      <w:r>
        <w:br w:type="page"/>
      </w:r>
    </w:p>
    <w:p>
      <w:pPr>
        <w:pStyle w:val="Heading1"/>
      </w:pPr>
      <w:r>
        <w:t>5. Integration Architecture</w:t>
      </w:r>
    </w:p>
    <w:p>
      <w:pPr>
        <w:pStyle w:val="Heading2"/>
      </w:pPr>
      <w:r>
        <w:t>5.1 Integration pattern</w:t>
      </w:r>
    </w:p>
    <w:p>
      <w:r>
        <w:rPr>
          <w:rFonts w:ascii="Arial" w:hAnsi="Arial"/>
          <w:b w:val="0"/>
          <w:i w:val="0"/>
          <w:sz w:val="20"/>
        </w:rPr>
        <w:t>Point-to-point REST. Each connector calls exactly one federal API and returns a common result object, so the classification engine consumes one shape regardless of which upstream produced it.</w:t>
      </w:r>
    </w:p>
    <w:p>
      <w:r>
        <w:rPr>
          <w:rFonts w:ascii="Arial" w:hAnsi="Arial"/>
          <w:b w:val="0"/>
          <w:i w:val="0"/>
          <w:sz w:val="20"/>
        </w:rPr>
        <w:t>Every source outcome is expressed in a five-state model. The states are not interchangeable and the distinction is the platform's core integrity property.</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0B3C5D"/>
          </w:tcPr>
          <w:p>
            <w:r/>
            <w:r>
              <w:rPr>
                <w:rFonts w:ascii="Arial" w:hAnsi="Arial"/>
                <w:b/>
                <w:color w:val="FFFFFF"/>
                <w:sz w:val="17"/>
              </w:rPr>
              <w:t>State</w:t>
            </w:r>
          </w:p>
        </w:tc>
        <w:tc>
          <w:tcPr>
            <w:tcW w:type="dxa" w:w="4896"/>
            <w:shd w:val="clear" w:color="auto" w:fill="0B3C5D"/>
          </w:tcPr>
          <w:p>
            <w:r/>
            <w:r>
              <w:rPr>
                <w:rFonts w:ascii="Arial" w:hAnsi="Arial"/>
                <w:b/>
                <w:color w:val="FFFFFF"/>
                <w:sz w:val="17"/>
              </w:rPr>
              <w:t>Meaning</w:t>
            </w:r>
          </w:p>
        </w:tc>
        <w:tc>
          <w:tcPr>
            <w:tcW w:type="dxa" w:w="3024"/>
            <w:shd w:val="clear" w:color="auto" w:fill="0B3C5D"/>
          </w:tcPr>
          <w:p>
            <w:r/>
            <w:r>
              <w:rPr>
                <w:rFonts w:ascii="Arial" w:hAnsi="Arial"/>
                <w:b/>
                <w:color w:val="FFFFFF"/>
                <w:sz w:val="17"/>
              </w:rPr>
              <w:t>Effect on scoring</w:t>
            </w:r>
          </w:p>
        </w:tc>
      </w:tr>
      <w:tr>
        <w:tc>
          <w:tcPr>
            <w:tcW w:type="dxa" w:w="1440"/>
          </w:tcPr>
          <w:p>
            <w:r/>
            <w:r>
              <w:rPr>
                <w:rFonts w:ascii="Arial" w:hAnsi="Arial"/>
                <w:sz w:val="17"/>
              </w:rPr>
              <w:t>verified</w:t>
            </w:r>
          </w:p>
        </w:tc>
        <w:tc>
          <w:tcPr>
            <w:tcW w:type="dxa" w:w="4896"/>
          </w:tcPr>
          <w:p>
            <w:r/>
            <w:r>
              <w:rPr>
                <w:rFonts w:ascii="Arial" w:hAnsi="Arial"/>
                <w:sz w:val="17"/>
              </w:rPr>
              <w:t>The source answered and confirmed the entity</w:t>
            </w:r>
          </w:p>
        </w:tc>
        <w:tc>
          <w:tcPr>
            <w:tcW w:type="dxa" w:w="3024"/>
          </w:tcPr>
          <w:p>
            <w:r/>
            <w:r>
              <w:rPr>
                <w:rFonts w:ascii="Arial" w:hAnsi="Arial"/>
                <w:sz w:val="17"/>
              </w:rPr>
              <w:t>Counts toward confidence</w:t>
            </w:r>
          </w:p>
        </w:tc>
      </w:tr>
      <w:tr>
        <w:tc>
          <w:tcPr>
            <w:tcW w:type="dxa" w:w="1440"/>
            <w:shd w:val="clear" w:color="auto" w:fill="F2F4F7"/>
          </w:tcPr>
          <w:p>
            <w:r/>
            <w:r>
              <w:rPr>
                <w:rFonts w:ascii="Arial" w:hAnsi="Arial"/>
                <w:sz w:val="17"/>
              </w:rPr>
              <w:t>not_found</w:t>
            </w:r>
          </w:p>
        </w:tc>
        <w:tc>
          <w:tcPr>
            <w:tcW w:type="dxa" w:w="4896"/>
            <w:shd w:val="clear" w:color="auto" w:fill="F2F4F7"/>
          </w:tcPr>
          <w:p>
            <w:r/>
            <w:r>
              <w:rPr>
                <w:rFonts w:ascii="Arial" w:hAnsi="Arial"/>
                <w:sz w:val="17"/>
              </w:rPr>
              <w:t>The source answered and has no record — a FINDING</w:t>
            </w:r>
          </w:p>
        </w:tc>
        <w:tc>
          <w:tcPr>
            <w:tcW w:type="dxa" w:w="3024"/>
            <w:shd w:val="clear" w:color="auto" w:fill="F2F4F7"/>
          </w:tcPr>
          <w:p>
            <w:r/>
            <w:r>
              <w:rPr>
                <w:rFonts w:ascii="Arial" w:hAnsi="Arial"/>
                <w:sz w:val="17"/>
              </w:rPr>
              <w:t>Counts toward confidence; may drive B3</w:t>
            </w:r>
          </w:p>
        </w:tc>
      </w:tr>
      <w:tr>
        <w:tc>
          <w:tcPr>
            <w:tcW w:type="dxa" w:w="1440"/>
          </w:tcPr>
          <w:p>
            <w:r/>
            <w:r>
              <w:rPr>
                <w:rFonts w:ascii="Arial" w:hAnsi="Arial"/>
                <w:sz w:val="17"/>
              </w:rPr>
              <w:t>not_checked</w:t>
            </w:r>
          </w:p>
        </w:tc>
        <w:tc>
          <w:tcPr>
            <w:tcW w:type="dxa" w:w="4896"/>
          </w:tcPr>
          <w:p>
            <w:r/>
            <w:r>
              <w:rPr>
                <w:rFonts w:ascii="Arial" w:hAnsi="Arial"/>
                <w:sz w:val="17"/>
              </w:rPr>
              <w:t>No connector exists, or no identifier to query with</w:t>
            </w:r>
          </w:p>
        </w:tc>
        <w:tc>
          <w:tcPr>
            <w:tcW w:type="dxa" w:w="3024"/>
          </w:tcPr>
          <w:p>
            <w:r/>
            <w:r>
              <w:rPr>
                <w:rFonts w:ascii="Arial" w:hAnsi="Arial"/>
                <w:sz w:val="17"/>
              </w:rPr>
              <w:t>Excluded — neither helps nor penalises</w:t>
            </w:r>
          </w:p>
        </w:tc>
      </w:tr>
      <w:tr>
        <w:tc>
          <w:tcPr>
            <w:tcW w:type="dxa" w:w="1440"/>
            <w:shd w:val="clear" w:color="auto" w:fill="F2F4F7"/>
          </w:tcPr>
          <w:p>
            <w:r/>
            <w:r>
              <w:rPr>
                <w:rFonts w:ascii="Arial" w:hAnsi="Arial"/>
                <w:sz w:val="17"/>
              </w:rPr>
              <w:t>unavailable</w:t>
            </w:r>
          </w:p>
        </w:tc>
        <w:tc>
          <w:tcPr>
            <w:tcW w:type="dxa" w:w="4896"/>
            <w:shd w:val="clear" w:color="auto" w:fill="F2F4F7"/>
          </w:tcPr>
          <w:p>
            <w:r/>
            <w:r>
              <w:rPr>
                <w:rFonts w:ascii="Arial" w:hAnsi="Arial"/>
                <w:sz w:val="17"/>
              </w:rPr>
              <w:t>A connector exists but the source did not answer</w:t>
            </w:r>
          </w:p>
        </w:tc>
        <w:tc>
          <w:tcPr>
            <w:tcW w:type="dxa" w:w="3024"/>
            <w:shd w:val="clear" w:color="auto" w:fill="F2F4F7"/>
          </w:tcPr>
          <w:p>
            <w:r/>
            <w:r>
              <w:rPr>
                <w:rFonts w:ascii="Arial" w:hAnsi="Arial"/>
                <w:sz w:val="17"/>
              </w:rPr>
              <w:t>Excluded — an outage is not a finding</w:t>
            </w:r>
          </w:p>
        </w:tc>
      </w:tr>
      <w:tr>
        <w:tc>
          <w:tcPr>
            <w:tcW w:type="dxa" w:w="1440"/>
          </w:tcPr>
          <w:p>
            <w:r/>
            <w:r>
              <w:rPr>
                <w:rFonts w:ascii="Arial" w:hAnsi="Arial"/>
                <w:sz w:val="17"/>
              </w:rPr>
              <w:t>failed</w:t>
            </w:r>
          </w:p>
        </w:tc>
        <w:tc>
          <w:tcPr>
            <w:tcW w:type="dxa" w:w="4896"/>
          </w:tcPr>
          <w:p>
            <w:r/>
            <w:r>
              <w:rPr>
                <w:rFonts w:ascii="Arial" w:hAnsi="Arial"/>
                <w:sz w:val="17"/>
              </w:rPr>
              <w:t>The source answered with something unusable</w:t>
            </w:r>
          </w:p>
        </w:tc>
        <w:tc>
          <w:tcPr>
            <w:tcW w:type="dxa" w:w="3024"/>
          </w:tcPr>
          <w:p>
            <w:r/>
            <w:r>
              <w:rPr>
                <w:rFonts w:ascii="Arial" w:hAnsi="Arial"/>
                <w:sz w:val="17"/>
              </w:rPr>
              <w:t>Excluded; logged for investigation</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INTEGRITY: </w:t>
            </w:r>
            <w:r>
              <w:rPr>
                <w:rFonts w:ascii="Arial" w:hAnsi="Arial"/>
                <w:sz w:val="18"/>
              </w:rPr>
              <w:t>Collapsing 'unavailable' into 'not_found' would manufacture findings out of somebody else's downtime. Collapsing it the other way would hide real findings behind claimed outages. Both failure modes are silent to a downstream reader, which is why the distinction is enforced at the connector boundary rather than left to the caller.</w:t>
            </w:r>
          </w:p>
        </w:tc>
      </w:tr>
    </w:tbl>
    <w:p/>
    <w:p>
      <w:pPr>
        <w:pStyle w:val="Heading2"/>
      </w:pPr>
      <w:r>
        <w:t>5.2 Connector Inventory</w:t>
      </w:r>
    </w:p>
    <w:p>
      <w:r>
        <w:rPr>
          <w:rFonts w:ascii="Arial" w:hAnsi="Arial"/>
          <w:b w:val="0"/>
          <w:i w:val="0"/>
          <w:sz w:val="20"/>
        </w:rPr>
        <w:t>Operational status below is measured, not asserted. Latency is the mean of five sequential calls taken during the assessment window; it is not an availability guarantee. Full detail in AGT-DA-001 §6 and docs/audit/CONNECTOR_OPERATIONAL_MONITORING.md.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0B3C5D"/>
          </w:tcPr>
          <w:p>
            <w:r/>
            <w:r>
              <w:rPr>
                <w:rFonts w:ascii="Arial" w:hAnsi="Arial"/>
                <w:b/>
                <w:color w:val="FFFFFF"/>
                <w:sz w:val="15"/>
              </w:rPr>
              <w:t>Connector</w:t>
            </w:r>
          </w:p>
        </w:tc>
        <w:tc>
          <w:tcPr>
            <w:tcW w:type="dxa" w:w="1944"/>
            <w:shd w:val="clear" w:color="auto" w:fill="0B3C5D"/>
          </w:tcPr>
          <w:p>
            <w:r/>
            <w:r>
              <w:rPr>
                <w:rFonts w:ascii="Arial" w:hAnsi="Arial"/>
                <w:b/>
                <w:color w:val="FFFFFF"/>
                <w:sz w:val="15"/>
              </w:rPr>
              <w:t>Endpoint</w:t>
            </w:r>
          </w:p>
        </w:tc>
        <w:tc>
          <w:tcPr>
            <w:tcW w:type="dxa" w:w="1008"/>
            <w:shd w:val="clear" w:color="auto" w:fill="0B3C5D"/>
          </w:tcPr>
          <w:p>
            <w:r/>
            <w:r>
              <w:rPr>
                <w:rFonts w:ascii="Arial" w:hAnsi="Arial"/>
                <w:b/>
                <w:color w:val="FFFFFF"/>
                <w:sz w:val="15"/>
              </w:rPr>
              <w:t>Key required</w:t>
            </w:r>
          </w:p>
        </w:tc>
        <w:tc>
          <w:tcPr>
            <w:tcW w:type="dxa" w:w="1944"/>
            <w:shd w:val="clear" w:color="auto" w:fill="0B3C5D"/>
          </w:tcPr>
          <w:p>
            <w:r/>
            <w:r>
              <w:rPr>
                <w:rFonts w:ascii="Arial" w:hAnsi="Arial"/>
                <w:b/>
                <w:color w:val="FFFFFF"/>
                <w:sz w:val="15"/>
              </w:rPr>
              <w:t>Status</w:t>
            </w:r>
          </w:p>
        </w:tc>
        <w:tc>
          <w:tcPr>
            <w:tcW w:type="dxa" w:w="1800"/>
            <w:shd w:val="clear" w:color="auto" w:fill="0B3C5D"/>
          </w:tcPr>
          <w:p>
            <w:r/>
            <w:r>
              <w:rPr>
                <w:rFonts w:ascii="Arial" w:hAnsi="Arial"/>
                <w:b/>
                <w:color w:val="FFFFFF"/>
                <w:sz w:val="15"/>
              </w:rPr>
              <w:t>Measured</w:t>
            </w:r>
          </w:p>
        </w:tc>
        <w:tc>
          <w:tcPr>
            <w:tcW w:type="dxa" w:w="1224"/>
            <w:shd w:val="clear" w:color="auto" w:fill="0B3C5D"/>
          </w:tcPr>
          <w:p>
            <w:r/>
            <w:r>
              <w:rPr>
                <w:rFonts w:ascii="Arial" w:hAnsi="Arial"/>
                <w:b/>
                <w:color w:val="FFFFFF"/>
                <w:sz w:val="15"/>
              </w:rPr>
              <w:t>In scoring</w:t>
            </w:r>
          </w:p>
        </w:tc>
      </w:tr>
      <w:tr>
        <w:tc>
          <w:tcPr>
            <w:tcW w:type="dxa" w:w="1440"/>
          </w:tcPr>
          <w:p>
            <w:r/>
            <w:r>
              <w:rPr>
                <w:rFonts w:ascii="Arial" w:hAnsi="Arial"/>
                <w:sz w:val="15"/>
              </w:rPr>
              <w:t>NPPES</w:t>
            </w:r>
          </w:p>
        </w:tc>
        <w:tc>
          <w:tcPr>
            <w:tcW w:type="dxa" w:w="1944"/>
          </w:tcPr>
          <w:p>
            <w:r/>
            <w:r>
              <w:rPr>
                <w:rFonts w:ascii="Arial" w:hAnsi="Arial"/>
                <w:sz w:val="15"/>
              </w:rPr>
              <w:t>CMS NPI Registry</w:t>
            </w:r>
          </w:p>
        </w:tc>
        <w:tc>
          <w:tcPr>
            <w:tcW w:type="dxa" w:w="1008"/>
          </w:tcPr>
          <w:p>
            <w:r/>
            <w:r>
              <w:rPr>
                <w:rFonts w:ascii="Arial" w:hAnsi="Arial"/>
                <w:sz w:val="15"/>
              </w:rPr>
              <w:t>No</w:t>
            </w:r>
          </w:p>
        </w:tc>
        <w:tc>
          <w:tcPr>
            <w:tcW w:type="dxa" w:w="1944"/>
          </w:tcPr>
          <w:p>
            <w:r/>
            <w:r>
              <w:rPr>
                <w:rFonts w:ascii="Arial" w:hAnsi="Arial"/>
                <w:sz w:val="15"/>
              </w:rPr>
              <w:t>Operational</w:t>
            </w:r>
          </w:p>
        </w:tc>
        <w:tc>
          <w:tcPr>
            <w:tcW w:type="dxa" w:w="1800"/>
          </w:tcPr>
          <w:p>
            <w:r/>
            <w:r>
              <w:rPr>
                <w:rFonts w:ascii="Arial" w:hAnsi="Arial"/>
                <w:sz w:val="15"/>
              </w:rPr>
              <w:t>5/5, 391 ms mean</w:t>
            </w:r>
          </w:p>
        </w:tc>
        <w:tc>
          <w:tcPr>
            <w:tcW w:type="dxa" w:w="1224"/>
          </w:tcPr>
          <w:p>
            <w:r/>
            <w:r>
              <w:rPr>
                <w:rFonts w:ascii="Arial" w:hAnsi="Arial"/>
                <w:sz w:val="15"/>
              </w:rPr>
              <w:t>Yes</w:t>
            </w:r>
          </w:p>
        </w:tc>
      </w:tr>
      <w:tr>
        <w:tc>
          <w:tcPr>
            <w:tcW w:type="dxa" w:w="1440"/>
            <w:shd w:val="clear" w:color="auto" w:fill="F2F4F7"/>
          </w:tcPr>
          <w:p>
            <w:r/>
            <w:r>
              <w:rPr>
                <w:rFonts w:ascii="Arial" w:hAnsi="Arial"/>
                <w:sz w:val="15"/>
              </w:rPr>
              <w:t>PECOS</w:t>
            </w:r>
          </w:p>
        </w:tc>
        <w:tc>
          <w:tcPr>
            <w:tcW w:type="dxa" w:w="1944"/>
            <w:shd w:val="clear" w:color="auto" w:fill="F2F4F7"/>
          </w:tcPr>
          <w:p>
            <w:r/>
            <w:r>
              <w:rPr>
                <w:rFonts w:ascii="Arial" w:hAnsi="Arial"/>
                <w:sz w:val="15"/>
              </w:rPr>
              <w:t>Same CMS NPI dataset</w:t>
            </w:r>
          </w:p>
        </w:tc>
        <w:tc>
          <w:tcPr>
            <w:tcW w:type="dxa" w:w="1008"/>
            <w:shd w:val="clear" w:color="auto" w:fill="F2F4F7"/>
          </w:tcPr>
          <w:p>
            <w:r/>
            <w:r>
              <w:rPr>
                <w:rFonts w:ascii="Arial" w:hAnsi="Arial"/>
                <w:sz w:val="15"/>
              </w:rPr>
              <w:t>No</w:t>
            </w:r>
          </w:p>
        </w:tc>
        <w:tc>
          <w:tcPr>
            <w:tcW w:type="dxa" w:w="1944"/>
            <w:shd w:val="clear" w:color="auto" w:fill="F2F4F7"/>
          </w:tcPr>
          <w:p>
            <w:r/>
            <w:r>
              <w:rPr>
                <w:rFonts w:ascii="Arial" w:hAnsi="Arial"/>
                <w:sz w:val="15"/>
              </w:rPr>
              <w:t>Operational</w:t>
            </w:r>
          </w:p>
        </w:tc>
        <w:tc>
          <w:tcPr>
            <w:tcW w:type="dxa" w:w="1800"/>
            <w:shd w:val="clear" w:color="auto" w:fill="F2F4F7"/>
          </w:tcPr>
          <w:p>
            <w:r/>
            <w:r>
              <w:rPr>
                <w:rFonts w:ascii="Arial" w:hAnsi="Arial"/>
                <w:sz w:val="15"/>
              </w:rPr>
              <w:t>5/5, 242 ms mean</w:t>
            </w:r>
          </w:p>
        </w:tc>
        <w:tc>
          <w:tcPr>
            <w:tcW w:type="dxa" w:w="1224"/>
            <w:shd w:val="clear" w:color="auto" w:fill="F2F4F7"/>
          </w:tcPr>
          <w:p>
            <w:r/>
            <w:r>
              <w:rPr>
                <w:rFonts w:ascii="Arial" w:hAnsi="Arial"/>
                <w:sz w:val="15"/>
              </w:rPr>
              <w:t>Yes</w:t>
            </w:r>
          </w:p>
        </w:tc>
      </w:tr>
      <w:tr>
        <w:tc>
          <w:tcPr>
            <w:tcW w:type="dxa" w:w="1440"/>
          </w:tcPr>
          <w:p>
            <w:r/>
            <w:r>
              <w:rPr>
                <w:rFonts w:ascii="Arial" w:hAnsi="Arial"/>
                <w:sz w:val="15"/>
              </w:rPr>
              <w:t>OIG LEIE</w:t>
            </w:r>
          </w:p>
        </w:tc>
        <w:tc>
          <w:tcPr>
            <w:tcW w:type="dxa" w:w="1944"/>
          </w:tcPr>
          <w:p>
            <w:r/>
            <w:r>
              <w:rPr>
                <w:rFonts w:ascii="Arial" w:hAnsi="Arial"/>
                <w:sz w:val="15"/>
              </w:rPr>
              <w:t>HHS exclusions CSV</w:t>
            </w:r>
          </w:p>
        </w:tc>
        <w:tc>
          <w:tcPr>
            <w:tcW w:type="dxa" w:w="1008"/>
          </w:tcPr>
          <w:p>
            <w:r/>
            <w:r>
              <w:rPr>
                <w:rFonts w:ascii="Arial" w:hAnsi="Arial"/>
                <w:sz w:val="15"/>
              </w:rPr>
              <w:t>No</w:t>
            </w:r>
          </w:p>
        </w:tc>
        <w:tc>
          <w:tcPr>
            <w:tcW w:type="dxa" w:w="1944"/>
          </w:tcPr>
          <w:p>
            <w:r/>
            <w:r>
              <w:rPr>
                <w:rFonts w:ascii="Arial" w:hAnsi="Arial"/>
                <w:sz w:val="15"/>
              </w:rPr>
              <w:t>Operational</w:t>
            </w:r>
          </w:p>
        </w:tc>
        <w:tc>
          <w:tcPr>
            <w:tcW w:type="dxa" w:w="1800"/>
          </w:tcPr>
          <w:p>
            <w:r/>
            <w:r>
              <w:rPr>
                <w:rFonts w:ascii="Arial" w:hAnsi="Arial"/>
                <w:sz w:val="15"/>
              </w:rPr>
              <w:t>5/5, 428 ms mean</w:t>
            </w:r>
          </w:p>
        </w:tc>
        <w:tc>
          <w:tcPr>
            <w:tcW w:type="dxa" w:w="1224"/>
          </w:tcPr>
          <w:p>
            <w:r/>
            <w:r>
              <w:rPr>
                <w:rFonts w:ascii="Arial" w:hAnsi="Arial"/>
                <w:sz w:val="15"/>
              </w:rPr>
              <w:t>Yes</w:t>
            </w:r>
          </w:p>
        </w:tc>
      </w:tr>
      <w:tr>
        <w:tc>
          <w:tcPr>
            <w:tcW w:type="dxa" w:w="1440"/>
            <w:shd w:val="clear" w:color="auto" w:fill="F2F4F7"/>
          </w:tcPr>
          <w:p>
            <w:r/>
            <w:r>
              <w:rPr>
                <w:rFonts w:ascii="Arial" w:hAnsi="Arial"/>
                <w:sz w:val="15"/>
              </w:rPr>
              <w:t>SAM.gov v3</w:t>
            </w:r>
          </w:p>
        </w:tc>
        <w:tc>
          <w:tcPr>
            <w:tcW w:type="dxa" w:w="1944"/>
            <w:shd w:val="clear" w:color="auto" w:fill="F2F4F7"/>
          </w:tcPr>
          <w:p>
            <w:r/>
            <w:r>
              <w:rPr>
                <w:rFonts w:ascii="Arial" w:hAnsi="Arial"/>
                <w:sz w:val="15"/>
              </w:rPr>
              <w:t>Entity Management</w:t>
            </w:r>
          </w:p>
        </w:tc>
        <w:tc>
          <w:tcPr>
            <w:tcW w:type="dxa" w:w="1008"/>
            <w:shd w:val="clear" w:color="auto" w:fill="F2F4F7"/>
          </w:tcPr>
          <w:p>
            <w:r/>
            <w:r>
              <w:rPr>
                <w:rFonts w:ascii="Arial" w:hAnsi="Arial"/>
                <w:sz w:val="15"/>
              </w:rPr>
              <w:t>Yes</w:t>
            </w:r>
          </w:p>
        </w:tc>
        <w:tc>
          <w:tcPr>
            <w:tcW w:type="dxa" w:w="1944"/>
            <w:shd w:val="clear" w:color="auto" w:fill="F2F4F7"/>
          </w:tcPr>
          <w:p>
            <w:r/>
            <w:r>
              <w:rPr>
                <w:rFonts w:ascii="Arial" w:hAnsi="Arial"/>
                <w:sz w:val="15"/>
              </w:rPr>
              <w:t>Built, not operational</w:t>
            </w:r>
          </w:p>
        </w:tc>
        <w:tc>
          <w:tcPr>
            <w:tcW w:type="dxa" w:w="1800"/>
            <w:shd w:val="clear" w:color="auto" w:fill="F2F4F7"/>
          </w:tcPr>
          <w:p>
            <w:r/>
            <w:r>
              <w:rPr>
                <w:rFonts w:ascii="Arial" w:hAnsi="Arial"/>
                <w:sz w:val="15"/>
              </w:rPr>
              <w:t>0/5 — HTTP 404, no key</w:t>
            </w:r>
          </w:p>
        </w:tc>
        <w:tc>
          <w:tcPr>
            <w:tcW w:type="dxa" w:w="1224"/>
            <w:shd w:val="clear" w:color="auto" w:fill="F2F4F7"/>
          </w:tcPr>
          <w:p>
            <w:r/>
            <w:r>
              <w:rPr>
                <w:rFonts w:ascii="Arial" w:hAnsi="Arial"/>
                <w:sz w:val="15"/>
              </w:rPr>
              <w:t>No</w:t>
            </w:r>
          </w:p>
        </w:tc>
      </w:tr>
      <w:tr>
        <w:tc>
          <w:tcPr>
            <w:tcW w:type="dxa" w:w="1440"/>
          </w:tcPr>
          <w:p>
            <w:r/>
            <w:r>
              <w:rPr>
                <w:rFonts w:ascii="Arial" w:hAnsi="Arial"/>
                <w:sz w:val="15"/>
              </w:rPr>
              <w:t>SAM.gov v4</w:t>
            </w:r>
          </w:p>
        </w:tc>
        <w:tc>
          <w:tcPr>
            <w:tcW w:type="dxa" w:w="1944"/>
          </w:tcPr>
          <w:p>
            <w:r/>
            <w:r>
              <w:rPr>
                <w:rFonts w:ascii="Arial" w:hAnsi="Arial"/>
                <w:sz w:val="15"/>
              </w:rPr>
              <w:t>Exclusions</w:t>
            </w:r>
          </w:p>
        </w:tc>
        <w:tc>
          <w:tcPr>
            <w:tcW w:type="dxa" w:w="1008"/>
          </w:tcPr>
          <w:p>
            <w:r/>
            <w:r>
              <w:rPr>
                <w:rFonts w:ascii="Arial" w:hAnsi="Arial"/>
                <w:sz w:val="15"/>
              </w:rPr>
              <w:t>Yes</w:t>
            </w:r>
          </w:p>
        </w:tc>
        <w:tc>
          <w:tcPr>
            <w:tcW w:type="dxa" w:w="1944"/>
          </w:tcPr>
          <w:p>
            <w:r/>
            <w:r>
              <w:rPr>
                <w:rFonts w:ascii="Arial" w:hAnsi="Arial"/>
                <w:sz w:val="15"/>
              </w:rPr>
              <w:t>Built, not operational</w:t>
            </w:r>
          </w:p>
        </w:tc>
        <w:tc>
          <w:tcPr>
            <w:tcW w:type="dxa" w:w="1800"/>
          </w:tcPr>
          <w:p>
            <w:r/>
            <w:r>
              <w:rPr>
                <w:rFonts w:ascii="Arial" w:hAnsi="Arial"/>
                <w:sz w:val="15"/>
              </w:rPr>
              <w:t>0/5 — HTTP 404, no key</w:t>
            </w:r>
          </w:p>
        </w:tc>
        <w:tc>
          <w:tcPr>
            <w:tcW w:type="dxa" w:w="1224"/>
          </w:tcPr>
          <w:p>
            <w:r/>
            <w:r>
              <w:rPr>
                <w:rFonts w:ascii="Arial" w:hAnsi="Arial"/>
                <w:sz w:val="15"/>
              </w:rPr>
              <w:t>No</w:t>
            </w:r>
          </w:p>
        </w:tc>
      </w:tr>
      <w:tr>
        <w:tc>
          <w:tcPr>
            <w:tcW w:type="dxa" w:w="1440"/>
            <w:shd w:val="clear" w:color="auto" w:fill="F2F4F7"/>
          </w:tcPr>
          <w:p>
            <w:r/>
            <w:r>
              <w:rPr>
                <w:rFonts w:ascii="Arial" w:hAnsi="Arial"/>
                <w:sz w:val="15"/>
              </w:rPr>
              <w:t>RCE Directory</w:t>
            </w:r>
          </w:p>
        </w:tc>
        <w:tc>
          <w:tcPr>
            <w:tcW w:type="dxa" w:w="1944"/>
            <w:shd w:val="clear" w:color="auto" w:fill="F2F4F7"/>
          </w:tcPr>
          <w:p>
            <w:r/>
            <w:r>
              <w:rPr>
                <w:rFonts w:ascii="Arial" w:hAnsi="Arial"/>
                <w:sz w:val="15"/>
              </w:rPr>
              <w:t>The Sequoia Project</w:t>
            </w:r>
          </w:p>
        </w:tc>
        <w:tc>
          <w:tcPr>
            <w:tcW w:type="dxa" w:w="1008"/>
            <w:shd w:val="clear" w:color="auto" w:fill="F2F4F7"/>
          </w:tcPr>
          <w:p>
            <w:r/>
            <w:r>
              <w:rPr>
                <w:rFonts w:ascii="Arial" w:hAnsi="Arial"/>
                <w:sz w:val="15"/>
              </w:rPr>
              <w:t>N/A</w:t>
            </w:r>
          </w:p>
        </w:tc>
        <w:tc>
          <w:tcPr>
            <w:tcW w:type="dxa" w:w="1944"/>
            <w:shd w:val="clear" w:color="auto" w:fill="F2F4F7"/>
          </w:tcPr>
          <w:p>
            <w:r/>
            <w:r>
              <w:rPr>
                <w:rFonts w:ascii="Arial" w:hAnsi="Arial"/>
                <w:sz w:val="15"/>
              </w:rPr>
              <w:t>Not accessible</w:t>
            </w:r>
          </w:p>
        </w:tc>
        <w:tc>
          <w:tcPr>
            <w:tcW w:type="dxa" w:w="1800"/>
            <w:shd w:val="clear" w:color="auto" w:fill="F2F4F7"/>
          </w:tcPr>
          <w:p>
            <w:r/>
            <w:r>
              <w:rPr>
                <w:rFonts w:ascii="Arial" w:hAnsi="Arial"/>
                <w:sz w:val="15"/>
              </w:rPr>
              <w:t>ONC-provided</w:t>
            </w:r>
          </w:p>
        </w:tc>
        <w:tc>
          <w:tcPr>
            <w:tcW w:type="dxa" w:w="1224"/>
            <w:shd w:val="clear" w:color="auto" w:fill="F2F4F7"/>
          </w:tcPr>
          <w:p>
            <w:r/>
            <w:r>
              <w:rPr>
                <w:rFonts w:ascii="Arial" w:hAnsi="Arial"/>
                <w:sz w:val="15"/>
              </w:rPr>
              <w:t>No</w:t>
            </w:r>
          </w:p>
        </w:tc>
      </w:tr>
      <w:tr>
        <w:tc>
          <w:tcPr>
            <w:tcW w:type="dxa" w:w="1440"/>
          </w:tcPr>
          <w:p>
            <w:r/>
            <w:r>
              <w:rPr>
                <w:rFonts w:ascii="Arial" w:hAnsi="Arial"/>
                <w:sz w:val="15"/>
              </w:rPr>
              <w:t>State registries</w:t>
            </w:r>
          </w:p>
        </w:tc>
        <w:tc>
          <w:tcPr>
            <w:tcW w:type="dxa" w:w="1944"/>
          </w:tcPr>
          <w:p>
            <w:r/>
            <w:r>
              <w:rPr>
                <w:rFonts w:ascii="Arial" w:hAnsi="Arial"/>
                <w:sz w:val="15"/>
              </w:rPr>
              <w:t>Various</w:t>
            </w:r>
          </w:p>
        </w:tc>
        <w:tc>
          <w:tcPr>
            <w:tcW w:type="dxa" w:w="1008"/>
          </w:tcPr>
          <w:p>
            <w:r/>
            <w:r>
              <w:rPr>
                <w:rFonts w:ascii="Arial" w:hAnsi="Arial"/>
                <w:sz w:val="15"/>
              </w:rPr>
              <w:t>N/A</w:t>
            </w:r>
          </w:p>
        </w:tc>
        <w:tc>
          <w:tcPr>
            <w:tcW w:type="dxa" w:w="1944"/>
          </w:tcPr>
          <w:p>
            <w:r/>
            <w:r>
              <w:rPr>
                <w:rFonts w:ascii="Arial" w:hAnsi="Arial"/>
                <w:sz w:val="15"/>
              </w:rPr>
              <w:t>Not implemented</w:t>
            </w:r>
          </w:p>
        </w:tc>
        <w:tc>
          <w:tcPr>
            <w:tcW w:type="dxa" w:w="1800"/>
          </w:tcPr>
          <w:p>
            <w:r/>
            <w:r>
              <w:rPr>
                <w:rFonts w:ascii="Arial" w:hAnsi="Arial"/>
                <w:sz w:val="15"/>
              </w:rPr>
              <w:t>No standard interface</w:t>
            </w:r>
          </w:p>
        </w:tc>
        <w:tc>
          <w:tcPr>
            <w:tcW w:type="dxa" w:w="1224"/>
          </w:tcPr>
          <w:p>
            <w:r/>
            <w:r>
              <w:rPr>
                <w:rFonts w:ascii="Arial" w:hAnsi="Arial"/>
                <w:sz w:val="15"/>
              </w:rPr>
              <w:t>No</w:t>
            </w:r>
          </w:p>
        </w:tc>
      </w:tr>
      <w:tr>
        <w:tc>
          <w:tcPr>
            <w:tcW w:type="dxa" w:w="1440"/>
            <w:shd w:val="clear" w:color="auto" w:fill="F2F4F7"/>
          </w:tcPr>
          <w:p>
            <w:r/>
            <w:r>
              <w:rPr>
                <w:rFonts w:ascii="Arial" w:hAnsi="Arial"/>
                <w:sz w:val="15"/>
              </w:rPr>
              <w:t>IRS</w:t>
            </w:r>
          </w:p>
        </w:tc>
        <w:tc>
          <w:tcPr>
            <w:tcW w:type="dxa" w:w="1944"/>
            <w:shd w:val="clear" w:color="auto" w:fill="F2F4F7"/>
          </w:tcPr>
          <w:p>
            <w:r/>
            <w:r>
              <w:rPr>
                <w:rFonts w:ascii="Arial" w:hAnsi="Arial"/>
                <w:sz w:val="15"/>
              </w:rPr>
              <w:t>EIN-keyed</w:t>
            </w:r>
          </w:p>
        </w:tc>
        <w:tc>
          <w:tcPr>
            <w:tcW w:type="dxa" w:w="1008"/>
            <w:shd w:val="clear" w:color="auto" w:fill="F2F4F7"/>
          </w:tcPr>
          <w:p>
            <w:r/>
            <w:r>
              <w:rPr>
                <w:rFonts w:ascii="Arial" w:hAnsi="Arial"/>
                <w:sz w:val="15"/>
              </w:rPr>
              <w:t>N/A</w:t>
            </w:r>
          </w:p>
        </w:tc>
        <w:tc>
          <w:tcPr>
            <w:tcW w:type="dxa" w:w="1944"/>
            <w:shd w:val="clear" w:color="auto" w:fill="F2F4F7"/>
          </w:tcPr>
          <w:p>
            <w:r/>
            <w:r>
              <w:rPr>
                <w:rFonts w:ascii="Arial" w:hAnsi="Arial"/>
                <w:sz w:val="15"/>
              </w:rPr>
              <w:t>Not implemented</w:t>
            </w:r>
          </w:p>
        </w:tc>
        <w:tc>
          <w:tcPr>
            <w:tcW w:type="dxa" w:w="1800"/>
            <w:shd w:val="clear" w:color="auto" w:fill="F2F4F7"/>
          </w:tcPr>
          <w:p>
            <w:r/>
            <w:r>
              <w:rPr>
                <w:rFonts w:ascii="Arial" w:hAnsi="Arial"/>
                <w:sz w:val="15"/>
              </w:rPr>
              <w:t>EIN not captured</w:t>
            </w:r>
          </w:p>
        </w:tc>
        <w:tc>
          <w:tcPr>
            <w:tcW w:type="dxa" w:w="1224"/>
            <w:shd w:val="clear" w:color="auto" w:fill="F2F4F7"/>
          </w:tcPr>
          <w:p>
            <w:r/>
            <w:r>
              <w:rPr>
                <w:rFonts w:ascii="Arial" w:hAnsi="Arial"/>
                <w:sz w:val="15"/>
              </w:rPr>
              <w:t>No</w:t>
            </w:r>
          </w:p>
        </w:tc>
      </w:tr>
    </w:tbl>
    <w:p/>
    <w:p>
      <w:pPr>
        <w:pStyle w:val="Heading2"/>
      </w:pPr>
      <w:r>
        <w:t>5.3 Integration Error Handling</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B3C5D"/>
          </w:tcPr>
          <w:p>
            <w:r/>
            <w:r>
              <w:rPr>
                <w:rFonts w:ascii="Arial" w:hAnsi="Arial"/>
                <w:b/>
                <w:color w:val="FFFFFF"/>
                <w:sz w:val="17"/>
              </w:rPr>
              <w:t>Scenario</w:t>
            </w:r>
          </w:p>
        </w:tc>
        <w:tc>
          <w:tcPr>
            <w:tcW w:type="dxa" w:w="4608"/>
            <w:shd w:val="clear" w:color="auto" w:fill="0B3C5D"/>
          </w:tcPr>
          <w:p>
            <w:r/>
            <w:r>
              <w:rPr>
                <w:rFonts w:ascii="Arial" w:hAnsi="Arial"/>
                <w:b/>
                <w:color w:val="FFFFFF"/>
                <w:sz w:val="17"/>
              </w:rPr>
              <w:t>Behaviour</w:t>
            </w:r>
          </w:p>
        </w:tc>
        <w:tc>
          <w:tcPr>
            <w:tcW w:type="dxa" w:w="2448"/>
            <w:shd w:val="clear" w:color="auto" w:fill="0B3C5D"/>
          </w:tcPr>
          <w:p>
            <w:r/>
            <w:r>
              <w:rPr>
                <w:rFonts w:ascii="Arial" w:hAnsi="Arial"/>
                <w:b/>
                <w:color w:val="FFFFFF"/>
                <w:sz w:val="17"/>
              </w:rPr>
              <w:t>Recorded state</w:t>
            </w:r>
          </w:p>
        </w:tc>
      </w:tr>
      <w:tr>
        <w:tc>
          <w:tcPr>
            <w:tcW w:type="dxa" w:w="2304"/>
          </w:tcPr>
          <w:p>
            <w:r/>
            <w:r>
              <w:rPr>
                <w:rFonts w:ascii="Arial" w:hAnsi="Arial"/>
                <w:sz w:val="17"/>
              </w:rPr>
              <w:t>Request timeout</w:t>
            </w:r>
          </w:p>
        </w:tc>
        <w:tc>
          <w:tcPr>
            <w:tcW w:type="dxa" w:w="4608"/>
          </w:tcPr>
          <w:p>
            <w:r/>
            <w:r>
              <w:rPr>
                <w:rFonts w:ascii="Arial" w:hAnsi="Arial"/>
                <w:sz w:val="17"/>
              </w:rPr>
              <w:t>Abandon that source, continue the run</w:t>
            </w:r>
          </w:p>
        </w:tc>
        <w:tc>
          <w:tcPr>
            <w:tcW w:type="dxa" w:w="2448"/>
          </w:tcPr>
          <w:p>
            <w:r/>
            <w:r>
              <w:rPr>
                <w:rFonts w:ascii="Arial" w:hAnsi="Arial"/>
                <w:sz w:val="17"/>
              </w:rPr>
              <w:t>unavailable</w:t>
            </w:r>
          </w:p>
        </w:tc>
      </w:tr>
      <w:tr>
        <w:tc>
          <w:tcPr>
            <w:tcW w:type="dxa" w:w="2304"/>
            <w:shd w:val="clear" w:color="auto" w:fill="F2F4F7"/>
          </w:tcPr>
          <w:p>
            <w:r/>
            <w:r>
              <w:rPr>
                <w:rFonts w:ascii="Arial" w:hAnsi="Arial"/>
                <w:sz w:val="17"/>
              </w:rPr>
              <w:t>HTTP 4xx</w:t>
            </w:r>
          </w:p>
        </w:tc>
        <w:tc>
          <w:tcPr>
            <w:tcW w:type="dxa" w:w="4608"/>
            <w:shd w:val="clear" w:color="auto" w:fill="F2F4F7"/>
          </w:tcPr>
          <w:p>
            <w:r/>
            <w:r>
              <w:rPr>
                <w:rFonts w:ascii="Arial" w:hAnsi="Arial"/>
                <w:sz w:val="17"/>
              </w:rPr>
              <w:t>Log the status, continue</w:t>
            </w:r>
          </w:p>
        </w:tc>
        <w:tc>
          <w:tcPr>
            <w:tcW w:type="dxa" w:w="2448"/>
            <w:shd w:val="clear" w:color="auto" w:fill="F2F4F7"/>
          </w:tcPr>
          <w:p>
            <w:r/>
            <w:r>
              <w:rPr>
                <w:rFonts w:ascii="Arial" w:hAnsi="Arial"/>
                <w:sz w:val="17"/>
              </w:rPr>
              <w:t>failed</w:t>
            </w:r>
          </w:p>
        </w:tc>
      </w:tr>
      <w:tr>
        <w:tc>
          <w:tcPr>
            <w:tcW w:type="dxa" w:w="2304"/>
          </w:tcPr>
          <w:p>
            <w:r/>
            <w:r>
              <w:rPr>
                <w:rFonts w:ascii="Arial" w:hAnsi="Arial"/>
                <w:sz w:val="17"/>
              </w:rPr>
              <w:t>HTTP 5xx</w:t>
            </w:r>
          </w:p>
        </w:tc>
        <w:tc>
          <w:tcPr>
            <w:tcW w:type="dxa" w:w="4608"/>
          </w:tcPr>
          <w:p>
            <w:r/>
            <w:r>
              <w:rPr>
                <w:rFonts w:ascii="Arial" w:hAnsi="Arial"/>
                <w:sz w:val="17"/>
              </w:rPr>
              <w:t>Retry once, then abandon</w:t>
            </w:r>
          </w:p>
        </w:tc>
        <w:tc>
          <w:tcPr>
            <w:tcW w:type="dxa" w:w="2448"/>
          </w:tcPr>
          <w:p>
            <w:r/>
            <w:r>
              <w:rPr>
                <w:rFonts w:ascii="Arial" w:hAnsi="Arial"/>
                <w:sz w:val="17"/>
              </w:rPr>
              <w:t>unavailable</w:t>
            </w:r>
          </w:p>
        </w:tc>
      </w:tr>
      <w:tr>
        <w:tc>
          <w:tcPr>
            <w:tcW w:type="dxa" w:w="2304"/>
            <w:shd w:val="clear" w:color="auto" w:fill="F2F4F7"/>
          </w:tcPr>
          <w:p>
            <w:r/>
            <w:r>
              <w:rPr>
                <w:rFonts w:ascii="Arial" w:hAnsi="Arial"/>
                <w:sz w:val="17"/>
              </w:rPr>
              <w:t>Network unreachable</w:t>
            </w:r>
          </w:p>
        </w:tc>
        <w:tc>
          <w:tcPr>
            <w:tcW w:type="dxa" w:w="4608"/>
            <w:shd w:val="clear" w:color="auto" w:fill="F2F4F7"/>
          </w:tcPr>
          <w:p>
            <w:r/>
            <w:r>
              <w:rPr>
                <w:rFonts w:ascii="Arial" w:hAnsi="Arial"/>
                <w:sz w:val="17"/>
              </w:rPr>
              <w:t>Continue with remaining sources</w:t>
            </w:r>
          </w:p>
        </w:tc>
        <w:tc>
          <w:tcPr>
            <w:tcW w:type="dxa" w:w="2448"/>
            <w:shd w:val="clear" w:color="auto" w:fill="F2F4F7"/>
          </w:tcPr>
          <w:p>
            <w:r/>
            <w:r>
              <w:rPr>
                <w:rFonts w:ascii="Arial" w:hAnsi="Arial"/>
                <w:sz w:val="17"/>
              </w:rPr>
              <w:t>unavailable</w:t>
            </w:r>
          </w:p>
        </w:tc>
      </w:tr>
      <w:tr>
        <w:tc>
          <w:tcPr>
            <w:tcW w:type="dxa" w:w="2304"/>
          </w:tcPr>
          <w:p>
            <w:r/>
            <w:r>
              <w:rPr>
                <w:rFonts w:ascii="Arial" w:hAnsi="Arial"/>
                <w:sz w:val="17"/>
              </w:rPr>
              <w:t>Unparseable response</w:t>
            </w:r>
          </w:p>
        </w:tc>
        <w:tc>
          <w:tcPr>
            <w:tcW w:type="dxa" w:w="4608"/>
          </w:tcPr>
          <w:p>
            <w:r/>
            <w:r>
              <w:rPr>
                <w:rFonts w:ascii="Arial" w:hAnsi="Arial"/>
                <w:sz w:val="17"/>
              </w:rPr>
              <w:t>Log a payload summary, continue</w:t>
            </w:r>
          </w:p>
        </w:tc>
        <w:tc>
          <w:tcPr>
            <w:tcW w:type="dxa" w:w="2448"/>
          </w:tcPr>
          <w:p>
            <w:r/>
            <w:r>
              <w:rPr>
                <w:rFonts w:ascii="Arial" w:hAnsi="Arial"/>
                <w:sz w:val="17"/>
              </w:rPr>
              <w:t>failed</w:t>
            </w:r>
          </w:p>
        </w:tc>
      </w:tr>
      <w:tr>
        <w:tc>
          <w:tcPr>
            <w:tcW w:type="dxa" w:w="2304"/>
            <w:shd w:val="clear" w:color="auto" w:fill="F2F4F7"/>
          </w:tcPr>
          <w:p>
            <w:r/>
            <w:r>
              <w:rPr>
                <w:rFonts w:ascii="Arial" w:hAnsi="Arial"/>
                <w:sz w:val="17"/>
              </w:rPr>
              <w:t>Rate limited (429)</w:t>
            </w:r>
          </w:p>
        </w:tc>
        <w:tc>
          <w:tcPr>
            <w:tcW w:type="dxa" w:w="4608"/>
            <w:shd w:val="clear" w:color="auto" w:fill="F2F4F7"/>
          </w:tcPr>
          <w:p>
            <w:r/>
            <w:r>
              <w:rPr>
                <w:rFonts w:ascii="Arial" w:hAnsi="Arial"/>
                <w:sz w:val="17"/>
              </w:rPr>
              <w:t>Stop that provider for the run</w:t>
            </w:r>
          </w:p>
        </w:tc>
        <w:tc>
          <w:tcPr>
            <w:tcW w:type="dxa" w:w="2448"/>
            <w:shd w:val="clear" w:color="auto" w:fill="F2F4F7"/>
          </w:tcPr>
          <w:p>
            <w:r/>
            <w:r>
              <w:rPr>
                <w:rFonts w:ascii="Arial" w:hAnsi="Arial"/>
                <w:sz w:val="17"/>
              </w:rPr>
              <w:t>unavailable</w:t>
            </w:r>
          </w:p>
        </w:tc>
      </w:tr>
      <w:tr>
        <w:tc>
          <w:tcPr>
            <w:tcW w:type="dxa" w:w="2304"/>
          </w:tcPr>
          <w:p>
            <w:r/>
            <w:r>
              <w:rPr>
                <w:rFonts w:ascii="Arial" w:hAnsi="Arial"/>
                <w:sz w:val="17"/>
              </w:rPr>
              <w:t>No API key configured</w:t>
            </w:r>
          </w:p>
        </w:tc>
        <w:tc>
          <w:tcPr>
            <w:tcW w:type="dxa" w:w="4608"/>
          </w:tcPr>
          <w:p>
            <w:r/>
            <w:r>
              <w:rPr>
                <w:rFonts w:ascii="Arial" w:hAnsi="Arial"/>
                <w:sz w:val="17"/>
              </w:rPr>
              <w:t>Do not call; report the dependency</w:t>
            </w:r>
          </w:p>
        </w:tc>
        <w:tc>
          <w:tcPr>
            <w:tcW w:type="dxa" w:w="2448"/>
          </w:tcPr>
          <w:p>
            <w:r/>
            <w:r>
              <w:rPr>
                <w:rFonts w:ascii="Arial" w:hAnsi="Arial"/>
                <w:sz w:val="17"/>
              </w:rPr>
              <w:t>not_checked</w:t>
            </w:r>
          </w:p>
        </w:tc>
      </w:tr>
      <w:tr>
        <w:tc>
          <w:tcPr>
            <w:tcW w:type="dxa" w:w="2304"/>
            <w:shd w:val="clear" w:color="auto" w:fill="F2F4F7"/>
          </w:tcPr>
          <w:p>
            <w:r/>
            <w:r>
              <w:rPr>
                <w:rFonts w:ascii="Arial" w:hAnsi="Arial"/>
                <w:sz w:val="17"/>
              </w:rPr>
              <w:t>No identifier to query with</w:t>
            </w:r>
          </w:p>
        </w:tc>
        <w:tc>
          <w:tcPr>
            <w:tcW w:type="dxa" w:w="4608"/>
            <w:shd w:val="clear" w:color="auto" w:fill="F2F4F7"/>
          </w:tcPr>
          <w:p>
            <w:r/>
            <w:r>
              <w:rPr>
                <w:rFonts w:ascii="Arial" w:hAnsi="Arial"/>
                <w:sz w:val="17"/>
              </w:rPr>
              <w:t>Do not call</w:t>
            </w:r>
          </w:p>
        </w:tc>
        <w:tc>
          <w:tcPr>
            <w:tcW w:type="dxa" w:w="2448"/>
            <w:shd w:val="clear" w:color="auto" w:fill="F2F4F7"/>
          </w:tcPr>
          <w:p>
            <w:r/>
            <w:r>
              <w:rPr>
                <w:rFonts w:ascii="Arial" w:hAnsi="Arial"/>
                <w:sz w:val="17"/>
              </w:rPr>
              <w:t>not_checked</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RULE: </w:t>
            </w:r>
            <w:r>
              <w:rPr>
                <w:rFonts w:ascii="Arial" w:hAnsi="Arial"/>
                <w:sz w:val="18"/>
              </w:rPr>
              <w:t>One connector failure NEVER blocks a verification. The run always returns partial results with the gap disclosed. The alternative — failing the whole verification because one source was slow — would make the platform's availability the product of every upstream's availability.</w:t>
            </w:r>
          </w:p>
        </w:tc>
      </w:tr>
    </w:tbl>
    <w:p/>
    <w:p>
      <w:pPr>
        <w:pStyle w:val="Heading2"/>
      </w:pPr>
      <w:r>
        <w:t>5.4 Future integrations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3C5D"/>
          </w:tcPr>
          <w:p>
            <w:r/>
            <w:r>
              <w:rPr>
                <w:rFonts w:ascii="Arial" w:hAnsi="Arial"/>
                <w:b/>
                <w:color w:val="FFFFFF"/>
                <w:sz w:val="17"/>
              </w:rPr>
              <w:t>Integration</w:t>
            </w:r>
          </w:p>
        </w:tc>
        <w:tc>
          <w:tcPr>
            <w:tcW w:type="dxa" w:w="3744"/>
            <w:shd w:val="clear" w:color="auto" w:fill="0B3C5D"/>
          </w:tcPr>
          <w:p>
            <w:r/>
            <w:r>
              <w:rPr>
                <w:rFonts w:ascii="Arial" w:hAnsi="Arial"/>
                <w:b/>
                <w:color w:val="FFFFFF"/>
                <w:sz w:val="17"/>
              </w:rPr>
              <w:t>Purpose</w:t>
            </w:r>
          </w:p>
        </w:tc>
        <w:tc>
          <w:tcPr>
            <w:tcW w:type="dxa" w:w="3456"/>
            <w:shd w:val="clear" w:color="auto" w:fill="0B3C5D"/>
          </w:tcPr>
          <w:p>
            <w:r/>
            <w:r>
              <w:rPr>
                <w:rFonts w:ascii="Arial" w:hAnsi="Arial"/>
                <w:b/>
                <w:color w:val="FFFFFF"/>
                <w:sz w:val="17"/>
              </w:rPr>
              <w:t>Status</w:t>
            </w:r>
          </w:p>
        </w:tc>
      </w:tr>
      <w:tr>
        <w:tc>
          <w:tcPr>
            <w:tcW w:type="dxa" w:w="2160"/>
          </w:tcPr>
          <w:p>
            <w:r/>
            <w:r>
              <w:rPr>
                <w:rFonts w:ascii="Arial" w:hAnsi="Arial"/>
                <w:sz w:val="17"/>
              </w:rPr>
              <w:t>Microsoft Entra ID</w:t>
            </w:r>
          </w:p>
        </w:tc>
        <w:tc>
          <w:tcPr>
            <w:tcW w:type="dxa" w:w="3744"/>
          </w:tcPr>
          <w:p>
            <w:r/>
            <w:r>
              <w:rPr>
                <w:rFonts w:ascii="Arial" w:hAnsi="Arial"/>
                <w:sz w:val="17"/>
              </w:rPr>
              <w:t>Single sign-on</w:t>
            </w:r>
          </w:p>
        </w:tc>
        <w:tc>
          <w:tcPr>
            <w:tcW w:type="dxa" w:w="3456"/>
          </w:tcPr>
          <w:p>
            <w:r/>
            <w:r>
              <w:rPr>
                <w:rFonts w:ascii="Arial" w:hAnsi="Arial"/>
                <w:sz w:val="17"/>
              </w:rPr>
              <w:t>Backend implemented; frontend hand-off not wired</w:t>
            </w:r>
          </w:p>
        </w:tc>
      </w:tr>
      <w:tr>
        <w:tc>
          <w:tcPr>
            <w:tcW w:type="dxa" w:w="2160"/>
            <w:shd w:val="clear" w:color="auto" w:fill="F2F4F7"/>
          </w:tcPr>
          <w:p>
            <w:r/>
            <w:r>
              <w:rPr>
                <w:rFonts w:ascii="Arial" w:hAnsi="Arial"/>
                <w:sz w:val="17"/>
              </w:rPr>
              <w:t>SendGrid</w:t>
            </w:r>
          </w:p>
        </w:tc>
        <w:tc>
          <w:tcPr>
            <w:tcW w:type="dxa" w:w="3744"/>
            <w:shd w:val="clear" w:color="auto" w:fill="F2F4F7"/>
          </w:tcPr>
          <w:p>
            <w:r/>
            <w:r>
              <w:rPr>
                <w:rFonts w:ascii="Arial" w:hAnsi="Arial"/>
                <w:sz w:val="17"/>
              </w:rPr>
              <w:t>Email notification and delivery</w:t>
            </w:r>
          </w:p>
        </w:tc>
        <w:tc>
          <w:tcPr>
            <w:tcW w:type="dxa" w:w="3456"/>
            <w:shd w:val="clear" w:color="auto" w:fill="F2F4F7"/>
          </w:tcPr>
          <w:p>
            <w:r/>
            <w:r>
              <w:rPr>
                <w:rFonts w:ascii="Arial" w:hAnsi="Arial"/>
                <w:sz w:val="17"/>
              </w:rPr>
              <w:t>Planned — currently sent over direct HTTP</w:t>
            </w:r>
          </w:p>
        </w:tc>
      </w:tr>
      <w:tr>
        <w:tc>
          <w:tcPr>
            <w:tcW w:type="dxa" w:w="2160"/>
          </w:tcPr>
          <w:p>
            <w:r/>
            <w:r>
              <w:rPr>
                <w:rFonts w:ascii="Arial" w:hAnsi="Arial"/>
                <w:sz w:val="17"/>
              </w:rPr>
              <w:t>Azure Monitor</w:t>
            </w:r>
          </w:p>
        </w:tc>
        <w:tc>
          <w:tcPr>
            <w:tcW w:type="dxa" w:w="3744"/>
          </w:tcPr>
          <w:p>
            <w:r/>
            <w:r>
              <w:rPr>
                <w:rFonts w:ascii="Arial" w:hAnsi="Arial"/>
                <w:sz w:val="17"/>
              </w:rPr>
              <w:t>Centralised observability and alerting</w:t>
            </w:r>
          </w:p>
        </w:tc>
        <w:tc>
          <w:tcPr>
            <w:tcW w:type="dxa" w:w="3456"/>
          </w:tcPr>
          <w:p>
            <w:r/>
            <w:r>
              <w:rPr>
                <w:rFonts w:ascii="Arial" w:hAnsi="Arial"/>
                <w:sz w:val="17"/>
              </w:rPr>
              <w:t>Partially configured</w:t>
            </w:r>
          </w:p>
        </w:tc>
      </w:tr>
      <w:tr>
        <w:tc>
          <w:tcPr>
            <w:tcW w:type="dxa" w:w="2160"/>
            <w:shd w:val="clear" w:color="auto" w:fill="F2F4F7"/>
          </w:tcPr>
          <w:p>
            <w:r/>
            <w:r>
              <w:rPr>
                <w:rFonts w:ascii="Arial" w:hAnsi="Arial"/>
                <w:sz w:val="17"/>
              </w:rPr>
              <w:t>Azure Key Vault</w:t>
            </w:r>
          </w:p>
        </w:tc>
        <w:tc>
          <w:tcPr>
            <w:tcW w:type="dxa" w:w="3744"/>
            <w:shd w:val="clear" w:color="auto" w:fill="F2F4F7"/>
          </w:tcPr>
          <w:p>
            <w:r/>
            <w:r>
              <w:rPr>
                <w:rFonts w:ascii="Arial" w:hAnsi="Arial"/>
                <w:sz w:val="17"/>
              </w:rPr>
              <w:t>Secret storage and rotation</w:t>
            </w:r>
          </w:p>
        </w:tc>
        <w:tc>
          <w:tcPr>
            <w:tcW w:type="dxa" w:w="3456"/>
            <w:shd w:val="clear" w:color="auto" w:fill="F2F4F7"/>
          </w:tcPr>
          <w:p>
            <w:r/>
            <w:r>
              <w:rPr>
                <w:rFonts w:ascii="Arial" w:hAnsi="Arial"/>
                <w:sz w:val="17"/>
              </w:rPr>
              <w:t>Blocked — vaults firewalled to private link (AGT-EX-001 §6.4)</w:t>
            </w:r>
          </w:p>
        </w:tc>
      </w:tr>
    </w:tbl>
    <w:p/>
    <w:p>
      <w:r>
        <w:br w:type="page"/>
      </w:r>
    </w:p>
    <w:p>
      <w:pPr>
        <w:pStyle w:val="Heading1"/>
      </w:pPr>
      <w:r>
        <w:t>6. Security Architecture</w:t>
      </w:r>
    </w:p>
    <w:p>
      <w:pPr>
        <w:pStyle w:val="Heading2"/>
      </w:pPr>
      <w:r>
        <w:t>6.1 Security Layers</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0B3C5D"/>
          </w:tcPr>
          <w:p>
            <w:r/>
            <w:r>
              <w:rPr>
                <w:rFonts w:ascii="Arial" w:hAnsi="Arial"/>
                <w:b/>
                <w:color w:val="FFFFFF"/>
                <w:sz w:val="16"/>
              </w:rPr>
              <w:t>Layer</w:t>
            </w:r>
          </w:p>
        </w:tc>
        <w:tc>
          <w:tcPr>
            <w:tcW w:type="dxa" w:w="2304"/>
            <w:shd w:val="clear" w:color="auto" w:fill="0B3C5D"/>
          </w:tcPr>
          <w:p>
            <w:r/>
            <w:r>
              <w:rPr>
                <w:rFonts w:ascii="Arial" w:hAnsi="Arial"/>
                <w:b/>
                <w:color w:val="FFFFFF"/>
                <w:sz w:val="16"/>
              </w:rPr>
              <w:t>Control</w:t>
            </w:r>
          </w:p>
        </w:tc>
        <w:tc>
          <w:tcPr>
            <w:tcW w:type="dxa" w:w="5472"/>
            <w:shd w:val="clear" w:color="auto" w:fill="0B3C5D"/>
          </w:tcPr>
          <w:p>
            <w:r/>
            <w:r>
              <w:rPr>
                <w:rFonts w:ascii="Arial" w:hAnsi="Arial"/>
                <w:b/>
                <w:color w:val="FFFFFF"/>
                <w:sz w:val="16"/>
              </w:rPr>
              <w:t>Implementation</w:t>
            </w:r>
          </w:p>
        </w:tc>
      </w:tr>
      <w:tr>
        <w:tc>
          <w:tcPr>
            <w:tcW w:type="dxa" w:w="1584"/>
          </w:tcPr>
          <w:p>
            <w:r/>
            <w:r>
              <w:rPr>
                <w:rFonts w:ascii="Arial" w:hAnsi="Arial"/>
                <w:sz w:val="16"/>
              </w:rPr>
              <w:t>Network</w:t>
            </w:r>
          </w:p>
        </w:tc>
        <w:tc>
          <w:tcPr>
            <w:tcW w:type="dxa" w:w="2304"/>
          </w:tcPr>
          <w:p>
            <w:r/>
            <w:r>
              <w:rPr>
                <w:rFonts w:ascii="Arial" w:hAnsi="Arial"/>
                <w:sz w:val="16"/>
              </w:rPr>
              <w:t>Transport encryption</w:t>
            </w:r>
          </w:p>
        </w:tc>
        <w:tc>
          <w:tcPr>
            <w:tcW w:type="dxa" w:w="5472"/>
          </w:tcPr>
          <w:p>
            <w:r/>
            <w:r>
              <w:rPr>
                <w:rFonts w:ascii="Arial" w:hAnsi="Arial"/>
                <w:sz w:val="16"/>
              </w:rPr>
              <w:t>TLS enforced by Azure; SNI certificate bound per host</w:t>
            </w:r>
          </w:p>
        </w:tc>
      </w:tr>
      <w:tr>
        <w:tc>
          <w:tcPr>
            <w:tcW w:type="dxa" w:w="1584"/>
            <w:shd w:val="clear" w:color="auto" w:fill="F2F4F7"/>
          </w:tcPr>
          <w:p>
            <w:r/>
            <w:r>
              <w:rPr>
                <w:rFonts w:ascii="Arial" w:hAnsi="Arial"/>
                <w:sz w:val="16"/>
              </w:rPr>
              <w:t>Network</w:t>
            </w:r>
          </w:p>
        </w:tc>
        <w:tc>
          <w:tcPr>
            <w:tcW w:type="dxa" w:w="2304"/>
            <w:shd w:val="clear" w:color="auto" w:fill="F2F4F7"/>
          </w:tcPr>
          <w:p>
            <w:r/>
            <w:r>
              <w:rPr>
                <w:rFonts w:ascii="Arial" w:hAnsi="Arial"/>
                <w:sz w:val="16"/>
              </w:rPr>
              <w:t>Host allow-listing</w:t>
            </w:r>
          </w:p>
        </w:tc>
        <w:tc>
          <w:tcPr>
            <w:tcW w:type="dxa" w:w="5472"/>
            <w:shd w:val="clear" w:color="auto" w:fill="F2F4F7"/>
          </w:tcPr>
          <w:p>
            <w:r/>
            <w:r>
              <w:rPr>
                <w:rFonts w:ascii="Arial" w:hAnsi="Arial"/>
                <w:sz w:val="16"/>
              </w:rPr>
              <w:t>TrustedHostMiddleware — an unlisted host receives 400 on every route including /health</w:t>
            </w:r>
          </w:p>
        </w:tc>
      </w:tr>
      <w:tr>
        <w:tc>
          <w:tcPr>
            <w:tcW w:type="dxa" w:w="1584"/>
          </w:tcPr>
          <w:p>
            <w:r/>
            <w:r>
              <w:rPr>
                <w:rFonts w:ascii="Arial" w:hAnsi="Arial"/>
                <w:sz w:val="16"/>
              </w:rPr>
              <w:t>Application</w:t>
            </w:r>
          </w:p>
        </w:tc>
        <w:tc>
          <w:tcPr>
            <w:tcW w:type="dxa" w:w="2304"/>
          </w:tcPr>
          <w:p>
            <w:r/>
            <w:r>
              <w:rPr>
                <w:rFonts w:ascii="Arial" w:hAnsi="Arial"/>
                <w:sz w:val="16"/>
              </w:rPr>
              <w:t>Input validation</w:t>
            </w:r>
          </w:p>
        </w:tc>
        <w:tc>
          <w:tcPr>
            <w:tcW w:type="dxa" w:w="5472"/>
          </w:tcPr>
          <w:p>
            <w:r/>
            <w:r>
              <w:rPr>
                <w:rFonts w:ascii="Arial" w:hAnsi="Arial"/>
                <w:sz w:val="16"/>
              </w:rPr>
              <w:t>Pydantic models; parameterised queries throughout; defusedxml for all external XML</w:t>
            </w:r>
          </w:p>
        </w:tc>
      </w:tr>
      <w:tr>
        <w:tc>
          <w:tcPr>
            <w:tcW w:type="dxa" w:w="1584"/>
            <w:shd w:val="clear" w:color="auto" w:fill="F2F4F7"/>
          </w:tcPr>
          <w:p>
            <w:r/>
            <w:r>
              <w:rPr>
                <w:rFonts w:ascii="Arial" w:hAnsi="Arial"/>
                <w:sz w:val="16"/>
              </w:rPr>
              <w:t>Application</w:t>
            </w:r>
          </w:p>
        </w:tc>
        <w:tc>
          <w:tcPr>
            <w:tcW w:type="dxa" w:w="2304"/>
            <w:shd w:val="clear" w:color="auto" w:fill="F2F4F7"/>
          </w:tcPr>
          <w:p>
            <w:r/>
            <w:r>
              <w:rPr>
                <w:rFonts w:ascii="Arial" w:hAnsi="Arial"/>
                <w:sz w:val="16"/>
              </w:rPr>
              <w:t>Error disclosure</w:t>
            </w:r>
          </w:p>
        </w:tc>
        <w:tc>
          <w:tcPr>
            <w:tcW w:type="dxa" w:w="5472"/>
            <w:shd w:val="clear" w:color="auto" w:fill="F2F4F7"/>
          </w:tcPr>
          <w:p>
            <w:r/>
            <w:r>
              <w:rPr>
                <w:rFonts w:ascii="Arial" w:hAnsi="Arial"/>
                <w:sz w:val="16"/>
              </w:rPr>
              <w:t>Structured JSON errors; no stack traces, database detail or path echo in production responses</w:t>
            </w:r>
          </w:p>
        </w:tc>
      </w:tr>
      <w:tr>
        <w:tc>
          <w:tcPr>
            <w:tcW w:type="dxa" w:w="1584"/>
          </w:tcPr>
          <w:p>
            <w:r/>
            <w:r>
              <w:rPr>
                <w:rFonts w:ascii="Arial" w:hAnsi="Arial"/>
                <w:sz w:val="16"/>
              </w:rPr>
              <w:t>Authentication</w:t>
            </w:r>
          </w:p>
        </w:tc>
        <w:tc>
          <w:tcPr>
            <w:tcW w:type="dxa" w:w="2304"/>
          </w:tcPr>
          <w:p>
            <w:r/>
            <w:r>
              <w:rPr>
                <w:rFonts w:ascii="Arial" w:hAnsi="Arial"/>
                <w:sz w:val="16"/>
              </w:rPr>
              <w:t>Bearer tokens</w:t>
            </w:r>
          </w:p>
        </w:tc>
        <w:tc>
          <w:tcPr>
            <w:tcW w:type="dxa" w:w="5472"/>
          </w:tcPr>
          <w:p>
            <w:r/>
            <w:r>
              <w:rPr>
                <w:rFonts w:ascii="Arial" w:hAnsi="Arial"/>
                <w:sz w:val="16"/>
              </w:rPr>
              <w:t>JWT HS256 with configurable expiry and role claims</w:t>
            </w:r>
          </w:p>
        </w:tc>
      </w:tr>
      <w:tr>
        <w:tc>
          <w:tcPr>
            <w:tcW w:type="dxa" w:w="1584"/>
            <w:shd w:val="clear" w:color="auto" w:fill="F2F4F7"/>
          </w:tcPr>
          <w:p>
            <w:r/>
            <w:r>
              <w:rPr>
                <w:rFonts w:ascii="Arial" w:hAnsi="Arial"/>
                <w:sz w:val="16"/>
              </w:rPr>
              <w:t>Authentication</w:t>
            </w:r>
          </w:p>
        </w:tc>
        <w:tc>
          <w:tcPr>
            <w:tcW w:type="dxa" w:w="2304"/>
            <w:shd w:val="clear" w:color="auto" w:fill="F2F4F7"/>
          </w:tcPr>
          <w:p>
            <w:r/>
            <w:r>
              <w:rPr>
                <w:rFonts w:ascii="Arial" w:hAnsi="Arial"/>
                <w:sz w:val="16"/>
              </w:rPr>
              <w:t>Credential storage</w:t>
            </w:r>
          </w:p>
        </w:tc>
        <w:tc>
          <w:tcPr>
            <w:tcW w:type="dxa" w:w="5472"/>
            <w:shd w:val="clear" w:color="auto" w:fill="F2F4F7"/>
          </w:tcPr>
          <w:p>
            <w:r/>
            <w:r>
              <w:rPr>
                <w:rFonts w:ascii="Arial" w:hAnsi="Arial"/>
                <w:sz w:val="16"/>
              </w:rPr>
              <w:t>bcrypt password hashing</w:t>
            </w:r>
          </w:p>
        </w:tc>
      </w:tr>
      <w:tr>
        <w:tc>
          <w:tcPr>
            <w:tcW w:type="dxa" w:w="1584"/>
          </w:tcPr>
          <w:p>
            <w:r/>
            <w:r>
              <w:rPr>
                <w:rFonts w:ascii="Arial" w:hAnsi="Arial"/>
                <w:sz w:val="16"/>
              </w:rPr>
              <w:t>Authentication</w:t>
            </w:r>
          </w:p>
        </w:tc>
        <w:tc>
          <w:tcPr>
            <w:tcW w:type="dxa" w:w="2304"/>
          </w:tcPr>
          <w:p>
            <w:r/>
            <w:r>
              <w:rPr>
                <w:rFonts w:ascii="Arial" w:hAnsi="Arial"/>
                <w:sz w:val="16"/>
              </w:rPr>
              <w:t>Session termination</w:t>
            </w:r>
          </w:p>
        </w:tc>
        <w:tc>
          <w:tcPr>
            <w:tcW w:type="dxa" w:w="5472"/>
          </w:tcPr>
          <w:p>
            <w:r/>
            <w:r>
              <w:rPr>
                <w:rFonts w:ascii="Arial" w:hAnsi="Arial"/>
                <w:sz w:val="16"/>
              </w:rPr>
              <w:t>tokens_revoked_at stamped on credential change</w:t>
            </w:r>
          </w:p>
        </w:tc>
      </w:tr>
      <w:tr>
        <w:tc>
          <w:tcPr>
            <w:tcW w:type="dxa" w:w="1584"/>
            <w:shd w:val="clear" w:color="auto" w:fill="F2F4F7"/>
          </w:tcPr>
          <w:p>
            <w:r/>
            <w:r>
              <w:rPr>
                <w:rFonts w:ascii="Arial" w:hAnsi="Arial"/>
                <w:sz w:val="16"/>
              </w:rPr>
              <w:t>Authorization</w:t>
            </w:r>
          </w:p>
        </w:tc>
        <w:tc>
          <w:tcPr>
            <w:tcW w:type="dxa" w:w="2304"/>
            <w:shd w:val="clear" w:color="auto" w:fill="F2F4F7"/>
          </w:tcPr>
          <w:p>
            <w:r/>
            <w:r>
              <w:rPr>
                <w:rFonts w:ascii="Arial" w:hAnsi="Arial"/>
                <w:sz w:val="16"/>
              </w:rPr>
              <w:t>Role-based access control</w:t>
            </w:r>
          </w:p>
        </w:tc>
        <w:tc>
          <w:tcPr>
            <w:tcW w:type="dxa" w:w="5472"/>
            <w:shd w:val="clear" w:color="auto" w:fill="F2F4F7"/>
          </w:tcPr>
          <w:p>
            <w:r/>
            <w:r>
              <w:rPr>
                <w:rFonts w:ascii="Arial" w:hAnsi="Arial"/>
                <w:sz w:val="16"/>
              </w:rPr>
              <w:t>Router-level dependency enforcing a minimum role</w:t>
            </w:r>
          </w:p>
        </w:tc>
      </w:tr>
      <w:tr>
        <w:tc>
          <w:tcPr>
            <w:tcW w:type="dxa" w:w="1584"/>
          </w:tcPr>
          <w:p>
            <w:r/>
            <w:r>
              <w:rPr>
                <w:rFonts w:ascii="Arial" w:hAnsi="Arial"/>
                <w:sz w:val="16"/>
              </w:rPr>
              <w:t>Rate limiting</w:t>
            </w:r>
          </w:p>
        </w:tc>
        <w:tc>
          <w:tcPr>
            <w:tcW w:type="dxa" w:w="2304"/>
          </w:tcPr>
          <w:p>
            <w:r/>
            <w:r>
              <w:rPr>
                <w:rFonts w:ascii="Arial" w:hAnsi="Arial"/>
                <w:sz w:val="16"/>
              </w:rPr>
              <w:t>Per-account lockout</w:t>
            </w:r>
          </w:p>
        </w:tc>
        <w:tc>
          <w:tcPr>
            <w:tcW w:type="dxa" w:w="5472"/>
          </w:tcPr>
          <w:p>
            <w:r/>
            <w:r>
              <w:rPr>
                <w:rFonts w:ascii="Arial" w:hAnsi="Arial"/>
                <w:sz w:val="16"/>
              </w:rPr>
              <w:t>5 failed logins per account per 15 minutes</w:t>
            </w:r>
          </w:p>
        </w:tc>
      </w:tr>
      <w:tr>
        <w:tc>
          <w:tcPr>
            <w:tcW w:type="dxa" w:w="1584"/>
            <w:shd w:val="clear" w:color="auto" w:fill="F2F4F7"/>
          </w:tcPr>
          <w:p>
            <w:r/>
            <w:r>
              <w:rPr>
                <w:rFonts w:ascii="Arial" w:hAnsi="Arial"/>
                <w:sz w:val="16"/>
              </w:rPr>
              <w:t>Rate limiting</w:t>
            </w:r>
          </w:p>
        </w:tc>
        <w:tc>
          <w:tcPr>
            <w:tcW w:type="dxa" w:w="2304"/>
            <w:shd w:val="clear" w:color="auto" w:fill="F2F4F7"/>
          </w:tcPr>
          <w:p>
            <w:r/>
            <w:r>
              <w:rPr>
                <w:rFonts w:ascii="Arial" w:hAnsi="Arial"/>
                <w:sz w:val="16"/>
              </w:rPr>
              <w:t>Per-address throttle</w:t>
            </w:r>
          </w:p>
        </w:tc>
        <w:tc>
          <w:tcPr>
            <w:tcW w:type="dxa" w:w="5472"/>
            <w:shd w:val="clear" w:color="auto" w:fill="F2F4F7"/>
          </w:tcPr>
          <w:p>
            <w:r/>
            <w:r>
              <w:rPr>
                <w:rFonts w:ascii="Arial" w:hAnsi="Arial"/>
                <w:sz w:val="16"/>
              </w:rPr>
              <w:t>20 login attempts per IP per 15 minutes; 5 registrations per IP per hour</w:t>
            </w:r>
          </w:p>
        </w:tc>
      </w:tr>
      <w:tr>
        <w:tc>
          <w:tcPr>
            <w:tcW w:type="dxa" w:w="1584"/>
          </w:tcPr>
          <w:p>
            <w:r/>
            <w:r>
              <w:rPr>
                <w:rFonts w:ascii="Arial" w:hAnsi="Arial"/>
                <w:sz w:val="16"/>
              </w:rPr>
              <w:t>Rate limiting</w:t>
            </w:r>
          </w:p>
        </w:tc>
        <w:tc>
          <w:tcPr>
            <w:tcW w:type="dxa" w:w="2304"/>
          </w:tcPr>
          <w:p>
            <w:r/>
            <w:r>
              <w:rPr>
                <w:rFonts w:ascii="Arial" w:hAnsi="Arial"/>
                <w:sz w:val="16"/>
              </w:rPr>
              <w:t>General API</w:t>
            </w:r>
          </w:p>
        </w:tc>
        <w:tc>
          <w:tcPr>
            <w:tcW w:type="dxa" w:w="5472"/>
          </w:tcPr>
          <w:p>
            <w:r/>
            <w:r>
              <w:rPr>
                <w:rFonts w:ascii="Arial" w:hAnsi="Arial"/>
                <w:sz w:val="16"/>
              </w:rPr>
              <w:t>Tiered sliding window, 60 requests per minute default</w:t>
            </w:r>
          </w:p>
        </w:tc>
      </w:tr>
      <w:tr>
        <w:tc>
          <w:tcPr>
            <w:tcW w:type="dxa" w:w="1584"/>
            <w:shd w:val="clear" w:color="auto" w:fill="F2F4F7"/>
          </w:tcPr>
          <w:p>
            <w:r/>
            <w:r>
              <w:rPr>
                <w:rFonts w:ascii="Arial" w:hAnsi="Arial"/>
                <w:sz w:val="16"/>
              </w:rPr>
              <w:t>Data</w:t>
            </w:r>
          </w:p>
        </w:tc>
        <w:tc>
          <w:tcPr>
            <w:tcW w:type="dxa" w:w="2304"/>
            <w:shd w:val="clear" w:color="auto" w:fill="F2F4F7"/>
          </w:tcPr>
          <w:p>
            <w:r/>
            <w:r>
              <w:rPr>
                <w:rFonts w:ascii="Arial" w:hAnsi="Arial"/>
                <w:sz w:val="16"/>
              </w:rPr>
              <w:t>Encryption at rest</w:t>
            </w:r>
          </w:p>
        </w:tc>
        <w:tc>
          <w:tcPr>
            <w:tcW w:type="dxa" w:w="5472"/>
            <w:shd w:val="clear" w:color="auto" w:fill="F2F4F7"/>
          </w:tcPr>
          <w:p>
            <w:r/>
            <w:r>
              <w:rPr>
                <w:rFonts w:ascii="Arial" w:hAnsi="Arial"/>
                <w:sz w:val="16"/>
              </w:rPr>
              <w:t>Azure-managed</w:t>
            </w:r>
          </w:p>
        </w:tc>
      </w:tr>
      <w:tr>
        <w:tc>
          <w:tcPr>
            <w:tcW w:type="dxa" w:w="1584"/>
          </w:tcPr>
          <w:p>
            <w:r/>
            <w:r>
              <w:rPr>
                <w:rFonts w:ascii="Arial" w:hAnsi="Arial"/>
                <w:sz w:val="16"/>
              </w:rPr>
              <w:t>Audit</w:t>
            </w:r>
          </w:p>
        </w:tc>
        <w:tc>
          <w:tcPr>
            <w:tcW w:type="dxa" w:w="2304"/>
          </w:tcPr>
          <w:p>
            <w:r/>
            <w:r>
              <w:rPr>
                <w:rFonts w:ascii="Arial" w:hAnsi="Arial"/>
                <w:sz w:val="16"/>
              </w:rPr>
              <w:t>Immutable logging</w:t>
            </w:r>
          </w:p>
        </w:tc>
        <w:tc>
          <w:tcPr>
            <w:tcW w:type="dxa" w:w="5472"/>
          </w:tcPr>
          <w:p>
            <w:r/>
            <w:r>
              <w:rPr>
                <w:rFonts w:ascii="Arial" w:hAnsi="Arial"/>
                <w:sz w:val="16"/>
              </w:rPr>
              <w:t>Append-only audit table; an audit write never aborts its transaction</w:t>
            </w:r>
          </w:p>
        </w:tc>
      </w:tr>
      <w:tr>
        <w:tc>
          <w:tcPr>
            <w:tcW w:type="dxa" w:w="1584"/>
            <w:shd w:val="clear" w:color="auto" w:fill="F2F4F7"/>
          </w:tcPr>
          <w:p>
            <w:r/>
            <w:r>
              <w:rPr>
                <w:rFonts w:ascii="Arial" w:hAnsi="Arial"/>
                <w:sz w:val="16"/>
              </w:rPr>
              <w:t>Operations</w:t>
            </w:r>
          </w:p>
        </w:tc>
        <w:tc>
          <w:tcPr>
            <w:tcW w:type="dxa" w:w="2304"/>
            <w:shd w:val="clear" w:color="auto" w:fill="F2F4F7"/>
          </w:tcPr>
          <w:p>
            <w:r/>
            <w:r>
              <w:rPr>
                <w:rFonts w:ascii="Arial" w:hAnsi="Arial"/>
                <w:sz w:val="16"/>
              </w:rPr>
              <w:t>Static analysis</w:t>
            </w:r>
          </w:p>
        </w:tc>
        <w:tc>
          <w:tcPr>
            <w:tcW w:type="dxa" w:w="5472"/>
            <w:shd w:val="clear" w:color="auto" w:fill="F2F4F7"/>
          </w:tcPr>
          <w:p>
            <w:r/>
            <w:r>
              <w:rPr>
                <w:rFonts w:ascii="Arial" w:hAnsi="Arial"/>
                <w:sz w:val="16"/>
              </w:rPr>
              <w:t>Bandit and CodeQL on every push</w:t>
            </w:r>
          </w:p>
        </w:tc>
      </w:tr>
      <w:tr>
        <w:tc>
          <w:tcPr>
            <w:tcW w:type="dxa" w:w="1584"/>
          </w:tcPr>
          <w:p>
            <w:r/>
            <w:r>
              <w:rPr>
                <w:rFonts w:ascii="Arial" w:hAnsi="Arial"/>
                <w:sz w:val="16"/>
              </w:rPr>
              <w:t>Operations</w:t>
            </w:r>
          </w:p>
        </w:tc>
        <w:tc>
          <w:tcPr>
            <w:tcW w:type="dxa" w:w="2304"/>
          </w:tcPr>
          <w:p>
            <w:r/>
            <w:r>
              <w:rPr>
                <w:rFonts w:ascii="Arial" w:hAnsi="Arial"/>
                <w:sz w:val="16"/>
              </w:rPr>
              <w:t>Dependency scanning</w:t>
            </w:r>
          </w:p>
        </w:tc>
        <w:tc>
          <w:tcPr>
            <w:tcW w:type="dxa" w:w="5472"/>
          </w:tcPr>
          <w:p>
            <w:r/>
            <w:r>
              <w:rPr>
                <w:rFonts w:ascii="Arial" w:hAnsi="Arial"/>
                <w:sz w:val="16"/>
              </w:rPr>
              <w:t>pip-audit against requirements</w:t>
            </w:r>
          </w:p>
        </w:tc>
      </w:tr>
      <w:tr>
        <w:tc>
          <w:tcPr>
            <w:tcW w:type="dxa" w:w="1584"/>
            <w:shd w:val="clear" w:color="auto" w:fill="F2F4F7"/>
          </w:tcPr>
          <w:p>
            <w:r/>
            <w:r>
              <w:rPr>
                <w:rFonts w:ascii="Arial" w:hAnsi="Arial"/>
                <w:sz w:val="16"/>
              </w:rPr>
              <w:t>Operations</w:t>
            </w:r>
          </w:p>
        </w:tc>
        <w:tc>
          <w:tcPr>
            <w:tcW w:type="dxa" w:w="2304"/>
            <w:shd w:val="clear" w:color="auto" w:fill="F2F4F7"/>
          </w:tcPr>
          <w:p>
            <w:r/>
            <w:r>
              <w:rPr>
                <w:rFonts w:ascii="Arial" w:hAnsi="Arial"/>
                <w:sz w:val="16"/>
              </w:rPr>
              <w:t>Dynamic testing</w:t>
            </w:r>
          </w:p>
        </w:tc>
        <w:tc>
          <w:tcPr>
            <w:tcW w:type="dxa" w:w="5472"/>
            <w:shd w:val="clear" w:color="auto" w:fill="F2F4F7"/>
          </w:tcPr>
          <w:p>
            <w:r/>
            <w:r>
              <w:rPr>
                <w:rFonts w:ascii="Arial" w:hAnsi="Arial"/>
                <w:sz w:val="16"/>
              </w:rPr>
              <w:t>OWASP ZAP (unauthenticated) and StackHawk (authenticated), weekly, development only</w:t>
            </w:r>
          </w:p>
        </w:tc>
      </w:tr>
    </w:tbl>
    <w:p/>
    <w:p>
      <w:pPr>
        <w:pStyle w:val="Heading2"/>
      </w:pPr>
      <w:r>
        <w:t>6.2 NIST SP 800-53 Rev 5 Control Mapping</w:t>
      </w:r>
    </w:p>
    <w:p>
      <w:r>
        <w:rPr>
          <w:rFonts w:ascii="Arial" w:hAnsi="Arial"/>
          <w:b w:val="0"/>
          <w:i w:val="0"/>
          <w:sz w:val="20"/>
        </w:rPr>
        <w:t>Traces to the cross-cutting requirements in AGT-REQ-001 §A.7.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936"/>
            <w:shd w:val="clear" w:color="auto" w:fill="0B3C5D"/>
          </w:tcPr>
          <w:p>
            <w:r/>
            <w:r>
              <w:rPr>
                <w:rFonts w:ascii="Arial" w:hAnsi="Arial"/>
                <w:b/>
                <w:color w:val="FFFFFF"/>
                <w:sz w:val="15"/>
              </w:rPr>
              <w:t>Control</w:t>
            </w:r>
          </w:p>
        </w:tc>
        <w:tc>
          <w:tcPr>
            <w:tcW w:type="dxa" w:w="1944"/>
            <w:shd w:val="clear" w:color="auto" w:fill="0B3C5D"/>
          </w:tcPr>
          <w:p>
            <w:r/>
            <w:r>
              <w:rPr>
                <w:rFonts w:ascii="Arial" w:hAnsi="Arial"/>
                <w:b/>
                <w:color w:val="FFFFFF"/>
                <w:sz w:val="15"/>
              </w:rPr>
              <w:t>Title</w:t>
            </w:r>
          </w:p>
        </w:tc>
        <w:tc>
          <w:tcPr>
            <w:tcW w:type="dxa" w:w="4896"/>
            <w:shd w:val="clear" w:color="auto" w:fill="0B3C5D"/>
          </w:tcPr>
          <w:p>
            <w:r/>
            <w:r>
              <w:rPr>
                <w:rFonts w:ascii="Arial" w:hAnsi="Arial"/>
                <w:b/>
                <w:color w:val="FFFFFF"/>
                <w:sz w:val="15"/>
              </w:rPr>
              <w:t>Implementation</w:t>
            </w:r>
          </w:p>
        </w:tc>
        <w:tc>
          <w:tcPr>
            <w:tcW w:type="dxa" w:w="1368"/>
            <w:shd w:val="clear" w:color="auto" w:fill="0B3C5D"/>
          </w:tcPr>
          <w:p>
            <w:r/>
            <w:r>
              <w:rPr>
                <w:rFonts w:ascii="Arial" w:hAnsi="Arial"/>
                <w:b/>
                <w:color w:val="FFFFFF"/>
                <w:sz w:val="15"/>
              </w:rPr>
              <w:t>Status</w:t>
            </w:r>
          </w:p>
        </w:tc>
      </w:tr>
      <w:tr>
        <w:tc>
          <w:tcPr>
            <w:tcW w:type="dxa" w:w="936"/>
          </w:tcPr>
          <w:p>
            <w:r/>
            <w:r>
              <w:rPr>
                <w:rFonts w:ascii="Arial" w:hAnsi="Arial"/>
                <w:sz w:val="15"/>
              </w:rPr>
              <w:t>AC-2</w:t>
            </w:r>
          </w:p>
        </w:tc>
        <w:tc>
          <w:tcPr>
            <w:tcW w:type="dxa" w:w="1944"/>
          </w:tcPr>
          <w:p>
            <w:r/>
            <w:r>
              <w:rPr>
                <w:rFonts w:ascii="Arial" w:hAnsi="Arial"/>
                <w:sz w:val="15"/>
              </w:rPr>
              <w:t>Account Management</w:t>
            </w:r>
          </w:p>
        </w:tc>
        <w:tc>
          <w:tcPr>
            <w:tcW w:type="dxa" w:w="4896"/>
          </w:tcPr>
          <w:p>
            <w:r/>
            <w:r>
              <w:rPr>
                <w:rFonts w:ascii="Arial" w:hAnsi="Arial"/>
                <w:sz w:val="15"/>
              </w:rPr>
              <w:t>Nine-level role hierarchy; account creation, role change and deactivation are audited</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AC-3</w:t>
            </w:r>
          </w:p>
        </w:tc>
        <w:tc>
          <w:tcPr>
            <w:tcW w:type="dxa" w:w="1944"/>
            <w:shd w:val="clear" w:color="auto" w:fill="F2F4F7"/>
          </w:tcPr>
          <w:p>
            <w:r/>
            <w:r>
              <w:rPr>
                <w:rFonts w:ascii="Arial" w:hAnsi="Arial"/>
                <w:sz w:val="15"/>
              </w:rPr>
              <w:t>Access Enforcement</w:t>
            </w:r>
          </w:p>
        </w:tc>
        <w:tc>
          <w:tcPr>
            <w:tcW w:type="dxa" w:w="4896"/>
            <w:shd w:val="clear" w:color="auto" w:fill="F2F4F7"/>
          </w:tcPr>
          <w:p>
            <w:r/>
            <w:r>
              <w:rPr>
                <w:rFonts w:ascii="Arial" w:hAnsi="Arial"/>
                <w:sz w:val="15"/>
              </w:rPr>
              <w:t>Minimum-role dependency on every protected router</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AC-6</w:t>
            </w:r>
          </w:p>
        </w:tc>
        <w:tc>
          <w:tcPr>
            <w:tcW w:type="dxa" w:w="1944"/>
          </w:tcPr>
          <w:p>
            <w:r/>
            <w:r>
              <w:rPr>
                <w:rFonts w:ascii="Arial" w:hAnsi="Arial"/>
                <w:sz w:val="15"/>
              </w:rPr>
              <w:t>Least Privilege</w:t>
            </w:r>
          </w:p>
        </w:tc>
        <w:tc>
          <w:tcPr>
            <w:tcW w:type="dxa" w:w="4896"/>
          </w:tcPr>
          <w:p>
            <w:r/>
            <w:r>
              <w:rPr>
                <w:rFonts w:ascii="Arial" w:hAnsi="Arial"/>
                <w:sz w:val="15"/>
              </w:rPr>
              <w:t>Roles graded viewer through admin; destructive operations are admin-only</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AC-7</w:t>
            </w:r>
          </w:p>
        </w:tc>
        <w:tc>
          <w:tcPr>
            <w:tcW w:type="dxa" w:w="1944"/>
            <w:shd w:val="clear" w:color="auto" w:fill="F2F4F7"/>
          </w:tcPr>
          <w:p>
            <w:r/>
            <w:r>
              <w:rPr>
                <w:rFonts w:ascii="Arial" w:hAnsi="Arial"/>
                <w:sz w:val="15"/>
              </w:rPr>
              <w:t>Unsuccessful Logon Attempts</w:t>
            </w:r>
          </w:p>
        </w:tc>
        <w:tc>
          <w:tcPr>
            <w:tcW w:type="dxa" w:w="4896"/>
            <w:shd w:val="clear" w:color="auto" w:fill="F2F4F7"/>
          </w:tcPr>
          <w:p>
            <w:r/>
            <w:r>
              <w:rPr>
                <w:rFonts w:ascii="Arial" w:hAnsi="Arial"/>
                <w:sz w:val="15"/>
              </w:rPr>
              <w:t>Account lockout at 5 failures per 15 minutes</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AC-12</w:t>
            </w:r>
          </w:p>
        </w:tc>
        <w:tc>
          <w:tcPr>
            <w:tcW w:type="dxa" w:w="1944"/>
          </w:tcPr>
          <w:p>
            <w:r/>
            <w:r>
              <w:rPr>
                <w:rFonts w:ascii="Arial" w:hAnsi="Arial"/>
                <w:sz w:val="15"/>
              </w:rPr>
              <w:t>Session Termination</w:t>
            </w:r>
          </w:p>
        </w:tc>
        <w:tc>
          <w:tcPr>
            <w:tcW w:type="dxa" w:w="4896"/>
          </w:tcPr>
          <w:p>
            <w:r/>
            <w:r>
              <w:rPr>
                <w:rFonts w:ascii="Arial" w:hAnsi="Arial"/>
                <w:sz w:val="15"/>
              </w:rPr>
              <w:t>Token revocation timestamp invalidates prior sessions</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AU-2</w:t>
            </w:r>
          </w:p>
        </w:tc>
        <w:tc>
          <w:tcPr>
            <w:tcW w:type="dxa" w:w="1944"/>
            <w:shd w:val="clear" w:color="auto" w:fill="F2F4F7"/>
          </w:tcPr>
          <w:p>
            <w:r/>
            <w:r>
              <w:rPr>
                <w:rFonts w:ascii="Arial" w:hAnsi="Arial"/>
                <w:sz w:val="15"/>
              </w:rPr>
              <w:t>Event Logging</w:t>
            </w:r>
          </w:p>
        </w:tc>
        <w:tc>
          <w:tcPr>
            <w:tcW w:type="dxa" w:w="4896"/>
            <w:shd w:val="clear" w:color="auto" w:fill="F2F4F7"/>
          </w:tcPr>
          <w:p>
            <w:r/>
            <w:r>
              <w:rPr>
                <w:rFonts w:ascii="Arial" w:hAnsi="Arial"/>
                <w:sz w:val="15"/>
              </w:rPr>
              <w:t>Every state-changing action writes an audit entry</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AU-3</w:t>
            </w:r>
          </w:p>
        </w:tc>
        <w:tc>
          <w:tcPr>
            <w:tcW w:type="dxa" w:w="1944"/>
          </w:tcPr>
          <w:p>
            <w:r/>
            <w:r>
              <w:rPr>
                <w:rFonts w:ascii="Arial" w:hAnsi="Arial"/>
                <w:sz w:val="15"/>
              </w:rPr>
              <w:t>Content of Audit Records</w:t>
            </w:r>
          </w:p>
        </w:tc>
        <w:tc>
          <w:tcPr>
            <w:tcW w:type="dxa" w:w="4896"/>
          </w:tcPr>
          <w:p>
            <w:r/>
            <w:r>
              <w:rPr>
                <w:rFonts w:ascii="Arial" w:hAnsi="Arial"/>
                <w:sz w:val="15"/>
              </w:rPr>
              <w:t>Actor, action, entity, IP address and timestamp</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AU-9</w:t>
            </w:r>
          </w:p>
        </w:tc>
        <w:tc>
          <w:tcPr>
            <w:tcW w:type="dxa" w:w="1944"/>
            <w:shd w:val="clear" w:color="auto" w:fill="F2F4F7"/>
          </w:tcPr>
          <w:p>
            <w:r/>
            <w:r>
              <w:rPr>
                <w:rFonts w:ascii="Arial" w:hAnsi="Arial"/>
                <w:sz w:val="15"/>
              </w:rPr>
              <w:t>Protection of Audit Information</w:t>
            </w:r>
          </w:p>
        </w:tc>
        <w:tc>
          <w:tcPr>
            <w:tcW w:type="dxa" w:w="4896"/>
            <w:shd w:val="clear" w:color="auto" w:fill="F2F4F7"/>
          </w:tcPr>
          <w:p>
            <w:r/>
            <w:r>
              <w:rPr>
                <w:rFonts w:ascii="Arial" w:hAnsi="Arial"/>
                <w:sz w:val="15"/>
              </w:rPr>
              <w:t>Append-only; no update or delete path exposed</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AU-11</w:t>
            </w:r>
          </w:p>
        </w:tc>
        <w:tc>
          <w:tcPr>
            <w:tcW w:type="dxa" w:w="1944"/>
          </w:tcPr>
          <w:p>
            <w:r/>
            <w:r>
              <w:rPr>
                <w:rFonts w:ascii="Arial" w:hAnsi="Arial"/>
                <w:sz w:val="15"/>
              </w:rPr>
              <w:t>Audit Record Retention</w:t>
            </w:r>
          </w:p>
        </w:tc>
        <w:tc>
          <w:tcPr>
            <w:tcW w:type="dxa" w:w="4896"/>
          </w:tcPr>
          <w:p>
            <w:r/>
            <w:r>
              <w:rPr>
                <w:rFonts w:ascii="Arial" w:hAnsi="Arial"/>
                <w:sz w:val="15"/>
              </w:rPr>
              <w:t>Seven-year retention specified; automated enforcement not yet built</w:t>
            </w:r>
          </w:p>
        </w:tc>
        <w:tc>
          <w:tcPr>
            <w:tcW w:type="dxa" w:w="1368"/>
          </w:tcPr>
          <w:p>
            <w:r/>
            <w:r>
              <w:rPr>
                <w:rFonts w:ascii="Arial" w:hAnsi="Arial"/>
                <w:sz w:val="15"/>
              </w:rPr>
              <w:t>Partial</w:t>
            </w:r>
          </w:p>
        </w:tc>
      </w:tr>
      <w:tr>
        <w:tc>
          <w:tcPr>
            <w:tcW w:type="dxa" w:w="936"/>
            <w:shd w:val="clear" w:color="auto" w:fill="F2F4F7"/>
          </w:tcPr>
          <w:p>
            <w:r/>
            <w:r>
              <w:rPr>
                <w:rFonts w:ascii="Arial" w:hAnsi="Arial"/>
                <w:sz w:val="15"/>
              </w:rPr>
              <w:t>CA-5</w:t>
            </w:r>
          </w:p>
        </w:tc>
        <w:tc>
          <w:tcPr>
            <w:tcW w:type="dxa" w:w="1944"/>
            <w:shd w:val="clear" w:color="auto" w:fill="F2F4F7"/>
          </w:tcPr>
          <w:p>
            <w:r/>
            <w:r>
              <w:rPr>
                <w:rFonts w:ascii="Arial" w:hAnsi="Arial"/>
                <w:sz w:val="15"/>
              </w:rPr>
              <w:t>Plan of Action and Milestones</w:t>
            </w:r>
          </w:p>
        </w:tc>
        <w:tc>
          <w:tcPr>
            <w:tcW w:type="dxa" w:w="4896"/>
            <w:shd w:val="clear" w:color="auto" w:fill="F2F4F7"/>
          </w:tcPr>
          <w:p>
            <w:r/>
            <w:r>
              <w:rPr>
                <w:rFonts w:ascii="Arial" w:hAnsi="Arial"/>
                <w:sz w:val="15"/>
              </w:rPr>
              <w:t>Risk acceptance register with review dates</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CM-2</w:t>
            </w:r>
          </w:p>
        </w:tc>
        <w:tc>
          <w:tcPr>
            <w:tcW w:type="dxa" w:w="1944"/>
          </w:tcPr>
          <w:p>
            <w:r/>
            <w:r>
              <w:rPr>
                <w:rFonts w:ascii="Arial" w:hAnsi="Arial"/>
                <w:sz w:val="15"/>
              </w:rPr>
              <w:t>Baseline Configuration</w:t>
            </w:r>
          </w:p>
        </w:tc>
        <w:tc>
          <w:tcPr>
            <w:tcW w:type="dxa" w:w="4896"/>
          </w:tcPr>
          <w:p>
            <w:r/>
            <w:r>
              <w:rPr>
                <w:rFonts w:ascii="Arial" w:hAnsi="Arial"/>
                <w:sz w:val="15"/>
              </w:rPr>
              <w:t>API frozen as version 1.0 with an archived specification</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CM-3</w:t>
            </w:r>
          </w:p>
        </w:tc>
        <w:tc>
          <w:tcPr>
            <w:tcW w:type="dxa" w:w="1944"/>
            <w:shd w:val="clear" w:color="auto" w:fill="F2F4F7"/>
          </w:tcPr>
          <w:p>
            <w:r/>
            <w:r>
              <w:rPr>
                <w:rFonts w:ascii="Arial" w:hAnsi="Arial"/>
                <w:sz w:val="15"/>
              </w:rPr>
              <w:t>Configuration Change Control</w:t>
            </w:r>
          </w:p>
        </w:tc>
        <w:tc>
          <w:tcPr>
            <w:tcW w:type="dxa" w:w="4896"/>
            <w:shd w:val="clear" w:color="auto" w:fill="F2F4F7"/>
          </w:tcPr>
          <w:p>
            <w:r/>
            <w:r>
              <w:rPr>
                <w:rFonts w:ascii="Arial" w:hAnsi="Arial"/>
                <w:sz w:val="15"/>
              </w:rPr>
              <w:t>Deployment gate; rollback artefact retained per release</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CP-9</w:t>
            </w:r>
          </w:p>
        </w:tc>
        <w:tc>
          <w:tcPr>
            <w:tcW w:type="dxa" w:w="1944"/>
          </w:tcPr>
          <w:p>
            <w:r/>
            <w:r>
              <w:rPr>
                <w:rFonts w:ascii="Arial" w:hAnsi="Arial"/>
                <w:sz w:val="15"/>
              </w:rPr>
              <w:t>System Backup</w:t>
            </w:r>
          </w:p>
        </w:tc>
        <w:tc>
          <w:tcPr>
            <w:tcW w:type="dxa" w:w="4896"/>
          </w:tcPr>
          <w:p>
            <w:r/>
            <w:r>
              <w:rPr>
                <w:rFonts w:ascii="Arial" w:hAnsi="Arial"/>
                <w:sz w:val="15"/>
              </w:rPr>
              <w:t>Automated daily backup, 14-day point-in-time restore in production</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CP-10</w:t>
            </w:r>
          </w:p>
        </w:tc>
        <w:tc>
          <w:tcPr>
            <w:tcW w:type="dxa" w:w="1944"/>
            <w:shd w:val="clear" w:color="auto" w:fill="F2F4F7"/>
          </w:tcPr>
          <w:p>
            <w:r/>
            <w:r>
              <w:rPr>
                <w:rFonts w:ascii="Arial" w:hAnsi="Arial"/>
                <w:sz w:val="15"/>
              </w:rPr>
              <w:t>System Recovery</w:t>
            </w:r>
          </w:p>
        </w:tc>
        <w:tc>
          <w:tcPr>
            <w:tcW w:type="dxa" w:w="4896"/>
            <w:shd w:val="clear" w:color="auto" w:fill="F2F4F7"/>
          </w:tcPr>
          <w:p>
            <w:r/>
            <w:r>
              <w:rPr>
                <w:rFonts w:ascii="Arial" w:hAnsi="Arial"/>
                <w:sz w:val="15"/>
              </w:rPr>
              <w:t>Procedure documented; never rehearsed, so RTO is unmeasured</w:t>
            </w:r>
          </w:p>
        </w:tc>
        <w:tc>
          <w:tcPr>
            <w:tcW w:type="dxa" w:w="1368"/>
            <w:shd w:val="clear" w:color="auto" w:fill="F2F4F7"/>
          </w:tcPr>
          <w:p>
            <w:r/>
            <w:r>
              <w:rPr>
                <w:rFonts w:ascii="Arial" w:hAnsi="Arial"/>
                <w:sz w:val="15"/>
              </w:rPr>
              <w:t>Partial</w:t>
            </w:r>
          </w:p>
        </w:tc>
      </w:tr>
      <w:tr>
        <w:tc>
          <w:tcPr>
            <w:tcW w:type="dxa" w:w="936"/>
          </w:tcPr>
          <w:p>
            <w:r/>
            <w:r>
              <w:rPr>
                <w:rFonts w:ascii="Arial" w:hAnsi="Arial"/>
                <w:sz w:val="15"/>
              </w:rPr>
              <w:t>IA-2</w:t>
            </w:r>
          </w:p>
        </w:tc>
        <w:tc>
          <w:tcPr>
            <w:tcW w:type="dxa" w:w="1944"/>
          </w:tcPr>
          <w:p>
            <w:r/>
            <w:r>
              <w:rPr>
                <w:rFonts w:ascii="Arial" w:hAnsi="Arial"/>
                <w:sz w:val="15"/>
              </w:rPr>
              <w:t>Identification and Authentication</w:t>
            </w:r>
          </w:p>
        </w:tc>
        <w:tc>
          <w:tcPr>
            <w:tcW w:type="dxa" w:w="4896"/>
          </w:tcPr>
          <w:p>
            <w:r/>
            <w:r>
              <w:rPr>
                <w:rFonts w:ascii="Arial" w:hAnsi="Arial"/>
                <w:sz w:val="15"/>
              </w:rPr>
              <w:t>JWT bearer authentication with role claims</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IA-5</w:t>
            </w:r>
          </w:p>
        </w:tc>
        <w:tc>
          <w:tcPr>
            <w:tcW w:type="dxa" w:w="1944"/>
            <w:shd w:val="clear" w:color="auto" w:fill="F2F4F7"/>
          </w:tcPr>
          <w:p>
            <w:r/>
            <w:r>
              <w:rPr>
                <w:rFonts w:ascii="Arial" w:hAnsi="Arial"/>
                <w:sz w:val="15"/>
              </w:rPr>
              <w:t>Authenticator Management</w:t>
            </w:r>
          </w:p>
        </w:tc>
        <w:tc>
          <w:tcPr>
            <w:tcW w:type="dxa" w:w="4896"/>
            <w:shd w:val="clear" w:color="auto" w:fill="F2F4F7"/>
          </w:tcPr>
          <w:p>
            <w:r/>
            <w:r>
              <w:rPr>
                <w:rFonts w:ascii="Arial" w:hAnsi="Arial"/>
                <w:sz w:val="15"/>
              </w:rPr>
              <w:t>bcrypt hashing; rotation performed; sessions terminated on change</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RA-5</w:t>
            </w:r>
          </w:p>
        </w:tc>
        <w:tc>
          <w:tcPr>
            <w:tcW w:type="dxa" w:w="1944"/>
          </w:tcPr>
          <w:p>
            <w:r/>
            <w:r>
              <w:rPr>
                <w:rFonts w:ascii="Arial" w:hAnsi="Arial"/>
                <w:sz w:val="15"/>
              </w:rPr>
              <w:t>Vulnerability Monitoring</w:t>
            </w:r>
          </w:p>
        </w:tc>
        <w:tc>
          <w:tcPr>
            <w:tcW w:type="dxa" w:w="4896"/>
          </w:tcPr>
          <w:p>
            <w:r/>
            <w:r>
              <w:rPr>
                <w:rFonts w:ascii="Arial" w:hAnsi="Arial"/>
                <w:sz w:val="15"/>
              </w:rPr>
              <w:t>Static analysis and dependency scanning on every push; dynamic testing built but not yet executed</w:t>
            </w:r>
          </w:p>
        </w:tc>
        <w:tc>
          <w:tcPr>
            <w:tcW w:type="dxa" w:w="1368"/>
          </w:tcPr>
          <w:p>
            <w:r/>
            <w:r>
              <w:rPr>
                <w:rFonts w:ascii="Arial" w:hAnsi="Arial"/>
                <w:sz w:val="15"/>
              </w:rPr>
              <w:t>Partial</w:t>
            </w:r>
          </w:p>
        </w:tc>
      </w:tr>
      <w:tr>
        <w:tc>
          <w:tcPr>
            <w:tcW w:type="dxa" w:w="936"/>
            <w:shd w:val="clear" w:color="auto" w:fill="F2F4F7"/>
          </w:tcPr>
          <w:p>
            <w:r/>
            <w:r>
              <w:rPr>
                <w:rFonts w:ascii="Arial" w:hAnsi="Arial"/>
                <w:sz w:val="15"/>
              </w:rPr>
              <w:t>SC-8</w:t>
            </w:r>
          </w:p>
        </w:tc>
        <w:tc>
          <w:tcPr>
            <w:tcW w:type="dxa" w:w="1944"/>
            <w:shd w:val="clear" w:color="auto" w:fill="F2F4F7"/>
          </w:tcPr>
          <w:p>
            <w:r/>
            <w:r>
              <w:rPr>
                <w:rFonts w:ascii="Arial" w:hAnsi="Arial"/>
                <w:sz w:val="15"/>
              </w:rPr>
              <w:t>Transmission Confidentiality</w:t>
            </w:r>
          </w:p>
        </w:tc>
        <w:tc>
          <w:tcPr>
            <w:tcW w:type="dxa" w:w="4896"/>
            <w:shd w:val="clear" w:color="auto" w:fill="F2F4F7"/>
          </w:tcPr>
          <w:p>
            <w:r/>
            <w:r>
              <w:rPr>
                <w:rFonts w:ascii="Arial" w:hAnsi="Arial"/>
                <w:sz w:val="15"/>
              </w:rPr>
              <w:t>TLS enforced on every host</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SC-13</w:t>
            </w:r>
          </w:p>
        </w:tc>
        <w:tc>
          <w:tcPr>
            <w:tcW w:type="dxa" w:w="1944"/>
          </w:tcPr>
          <w:p>
            <w:r/>
            <w:r>
              <w:rPr>
                <w:rFonts w:ascii="Arial" w:hAnsi="Arial"/>
                <w:sz w:val="15"/>
              </w:rPr>
              <w:t>Cryptographic Protection</w:t>
            </w:r>
          </w:p>
        </w:tc>
        <w:tc>
          <w:tcPr>
            <w:tcW w:type="dxa" w:w="4896"/>
          </w:tcPr>
          <w:p>
            <w:r/>
            <w:r>
              <w:rPr>
                <w:rFonts w:ascii="Arial" w:hAnsi="Arial"/>
                <w:sz w:val="15"/>
              </w:rPr>
              <w:t>TLS in transit; Azure-managed encryption at rest</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SC-28</w:t>
            </w:r>
          </w:p>
        </w:tc>
        <w:tc>
          <w:tcPr>
            <w:tcW w:type="dxa" w:w="1944"/>
            <w:shd w:val="clear" w:color="auto" w:fill="F2F4F7"/>
          </w:tcPr>
          <w:p>
            <w:r/>
            <w:r>
              <w:rPr>
                <w:rFonts w:ascii="Arial" w:hAnsi="Arial"/>
                <w:sz w:val="15"/>
              </w:rPr>
              <w:t>Protection of Information at Rest</w:t>
            </w:r>
          </w:p>
        </w:tc>
        <w:tc>
          <w:tcPr>
            <w:tcW w:type="dxa" w:w="4896"/>
            <w:shd w:val="clear" w:color="auto" w:fill="F2F4F7"/>
          </w:tcPr>
          <w:p>
            <w:r/>
            <w:r>
              <w:rPr>
                <w:rFonts w:ascii="Arial" w:hAnsi="Arial"/>
                <w:sz w:val="15"/>
              </w:rPr>
              <w:t>Azure-managed database and storage encryption</w:t>
            </w:r>
          </w:p>
        </w:tc>
        <w:tc>
          <w:tcPr>
            <w:tcW w:type="dxa" w:w="1368"/>
            <w:shd w:val="clear" w:color="auto" w:fill="F2F4F7"/>
          </w:tcPr>
          <w:p>
            <w:r/>
            <w:r>
              <w:rPr>
                <w:rFonts w:ascii="Arial" w:hAnsi="Arial"/>
                <w:sz w:val="15"/>
              </w:rPr>
              <w:t>Implemented</w:t>
            </w:r>
          </w:p>
        </w:tc>
      </w:tr>
      <w:tr>
        <w:tc>
          <w:tcPr>
            <w:tcW w:type="dxa" w:w="936"/>
          </w:tcPr>
          <w:p>
            <w:r/>
            <w:r>
              <w:rPr>
                <w:rFonts w:ascii="Arial" w:hAnsi="Arial"/>
                <w:sz w:val="15"/>
              </w:rPr>
              <w:t>SI-10</w:t>
            </w:r>
          </w:p>
        </w:tc>
        <w:tc>
          <w:tcPr>
            <w:tcW w:type="dxa" w:w="1944"/>
          </w:tcPr>
          <w:p>
            <w:r/>
            <w:r>
              <w:rPr>
                <w:rFonts w:ascii="Arial" w:hAnsi="Arial"/>
                <w:sz w:val="15"/>
              </w:rPr>
              <w:t>Information Input Validation</w:t>
            </w:r>
          </w:p>
        </w:tc>
        <w:tc>
          <w:tcPr>
            <w:tcW w:type="dxa" w:w="4896"/>
          </w:tcPr>
          <w:p>
            <w:r/>
            <w:r>
              <w:rPr>
                <w:rFonts w:ascii="Arial" w:hAnsi="Arial"/>
                <w:sz w:val="15"/>
              </w:rPr>
              <w:t>Schema validation, parameterised queries, XXE-safe XML parsing</w:t>
            </w:r>
          </w:p>
        </w:tc>
        <w:tc>
          <w:tcPr>
            <w:tcW w:type="dxa" w:w="1368"/>
          </w:tcPr>
          <w:p>
            <w:r/>
            <w:r>
              <w:rPr>
                <w:rFonts w:ascii="Arial" w:hAnsi="Arial"/>
                <w:sz w:val="15"/>
              </w:rPr>
              <w:t>Implemented</w:t>
            </w:r>
          </w:p>
        </w:tc>
      </w:tr>
      <w:tr>
        <w:tc>
          <w:tcPr>
            <w:tcW w:type="dxa" w:w="936"/>
            <w:shd w:val="clear" w:color="auto" w:fill="F2F4F7"/>
          </w:tcPr>
          <w:p>
            <w:r/>
            <w:r>
              <w:rPr>
                <w:rFonts w:ascii="Arial" w:hAnsi="Arial"/>
                <w:sz w:val="15"/>
              </w:rPr>
              <w:t>SI-11</w:t>
            </w:r>
          </w:p>
        </w:tc>
        <w:tc>
          <w:tcPr>
            <w:tcW w:type="dxa" w:w="1944"/>
            <w:shd w:val="clear" w:color="auto" w:fill="F2F4F7"/>
          </w:tcPr>
          <w:p>
            <w:r/>
            <w:r>
              <w:rPr>
                <w:rFonts w:ascii="Arial" w:hAnsi="Arial"/>
                <w:sz w:val="15"/>
              </w:rPr>
              <w:t>Error Handling</w:t>
            </w:r>
          </w:p>
        </w:tc>
        <w:tc>
          <w:tcPr>
            <w:tcW w:type="dxa" w:w="4896"/>
            <w:shd w:val="clear" w:color="auto" w:fill="F2F4F7"/>
          </w:tcPr>
          <w:p>
            <w:r/>
            <w:r>
              <w:rPr>
                <w:rFonts w:ascii="Arial" w:hAnsi="Arial"/>
                <w:sz w:val="15"/>
              </w:rPr>
              <w:t>Structured errors; identical response for unknown account and wrong password to prevent enumeration</w:t>
            </w:r>
          </w:p>
        </w:tc>
        <w:tc>
          <w:tcPr>
            <w:tcW w:type="dxa" w:w="1368"/>
            <w:shd w:val="clear" w:color="auto" w:fill="F2F4F7"/>
          </w:tcPr>
          <w:p>
            <w:r/>
            <w:r>
              <w:rPr>
                <w:rFonts w:ascii="Arial" w:hAnsi="Arial"/>
                <w:sz w:val="15"/>
              </w:rPr>
              <w:t>Implemented</w:t>
            </w:r>
          </w:p>
        </w:tc>
      </w:tr>
    </w:tbl>
    <w:p/>
    <w:p>
      <w:pPr>
        <w:pStyle w:val="Heading2"/>
      </w:pPr>
      <w:r>
        <w:t>6.3 Data classification and handling</w:t>
      </w:r>
    </w:p>
    <w:p>
      <w:r>
        <w:rPr>
          <w:rFonts w:ascii="Arial" w:hAnsi="Arial"/>
          <w:b w:val="0"/>
          <w:i w:val="0"/>
          <w:sz w:val="20"/>
        </w:rPr>
        <w:t>Per-table classification, sensitivity, encryption and audit requirements are specified in AGT-DA-001 §8, and retention in AGT-DA-001 §9. Architecturally the consequence is that CUI-classified tables are never exported to a destination outside the authorisation boundary, and the bulletin domain — which carries no CUI — is the only data set permitted in a public response.</w:t>
      </w:r>
    </w:p>
    <w:p>
      <w:r>
        <w:br w:type="page"/>
      </w:r>
    </w:p>
    <w:p>
      <w:pPr>
        <w:pStyle w:val="Heading1"/>
      </w:pPr>
      <w:r>
        <w:t>7. Infrastructure Architecture</w:t>
      </w:r>
    </w:p>
    <w:p>
      <w:pPr>
        <w:pStyle w:val="Heading2"/>
      </w:pPr>
      <w:r>
        <w:t>7.1 Azure Resource Inventory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3C5D"/>
          </w:tcPr>
          <w:p>
            <w:r/>
            <w:r>
              <w:rPr>
                <w:rFonts w:ascii="Arial" w:hAnsi="Arial"/>
                <w:b/>
                <w:color w:val="FFFFFF"/>
                <w:sz w:val="17"/>
              </w:rPr>
              <w:t>Resource</w:t>
            </w:r>
          </w:p>
        </w:tc>
        <w:tc>
          <w:tcPr>
            <w:tcW w:type="dxa" w:w="3600"/>
            <w:shd w:val="clear" w:color="auto" w:fill="0B3C5D"/>
          </w:tcPr>
          <w:p>
            <w:r/>
            <w:r>
              <w:rPr>
                <w:rFonts w:ascii="Arial" w:hAnsi="Arial"/>
                <w:b/>
                <w:color w:val="FFFFFF"/>
                <w:sz w:val="17"/>
              </w:rPr>
              <w:t>Development</w:t>
            </w:r>
          </w:p>
        </w:tc>
        <w:tc>
          <w:tcPr>
            <w:tcW w:type="dxa" w:w="3600"/>
            <w:shd w:val="clear" w:color="auto" w:fill="0B3C5D"/>
          </w:tcPr>
          <w:p>
            <w:r/>
            <w:r>
              <w:rPr>
                <w:rFonts w:ascii="Arial" w:hAnsi="Arial"/>
                <w:b/>
                <w:color w:val="FFFFFF"/>
                <w:sz w:val="17"/>
              </w:rPr>
              <w:t>Production</w:t>
            </w:r>
          </w:p>
        </w:tc>
      </w:tr>
      <w:tr>
        <w:tc>
          <w:tcPr>
            <w:tcW w:type="dxa" w:w="2160"/>
          </w:tcPr>
          <w:p>
            <w:r/>
            <w:r>
              <w:rPr>
                <w:rFonts w:ascii="Arial" w:hAnsi="Arial"/>
                <w:sz w:val="17"/>
              </w:rPr>
              <w:t>Backend App Service</w:t>
            </w:r>
          </w:p>
        </w:tc>
        <w:tc>
          <w:tcPr>
            <w:tcW w:type="dxa" w:w="3600"/>
          </w:tcPr>
          <w:p>
            <w:r/>
            <w:r>
              <w:rPr>
                <w:rFonts w:ascii="Arial" w:hAnsi="Arial"/>
                <w:sz w:val="17"/>
              </w:rPr>
              <w:t>docuaction-dev (rg-docuaction-dev)</w:t>
            </w:r>
          </w:p>
        </w:tc>
        <w:tc>
          <w:tcPr>
            <w:tcW w:type="dxa" w:w="3600"/>
          </w:tcPr>
          <w:p>
            <w:r/>
            <w:r>
              <w:rPr>
                <w:rFonts w:ascii="Arial" w:hAnsi="Arial"/>
                <w:sz w:val="17"/>
              </w:rPr>
              <w:t>Docuaction (rg-docuaction-prod)</w:t>
            </w:r>
          </w:p>
        </w:tc>
      </w:tr>
      <w:tr>
        <w:tc>
          <w:tcPr>
            <w:tcW w:type="dxa" w:w="2160"/>
            <w:shd w:val="clear" w:color="auto" w:fill="F2F4F7"/>
          </w:tcPr>
          <w:p>
            <w:r/>
            <w:r>
              <w:rPr>
                <w:rFonts w:ascii="Arial" w:hAnsi="Arial"/>
                <w:sz w:val="17"/>
              </w:rPr>
              <w:t>Backend host</w:t>
            </w:r>
          </w:p>
        </w:tc>
        <w:tc>
          <w:tcPr>
            <w:tcW w:type="dxa" w:w="3600"/>
            <w:shd w:val="clear" w:color="auto" w:fill="F2F4F7"/>
          </w:tcPr>
          <w:p>
            <w:r/>
            <w:r>
              <w:rPr>
                <w:rFonts w:ascii="Arial" w:hAnsi="Arial"/>
                <w:sz w:val="17"/>
              </w:rPr>
              <w:t>docuaction-dev.azurewebsites.net</w:t>
            </w:r>
          </w:p>
        </w:tc>
        <w:tc>
          <w:tcPr>
            <w:tcW w:type="dxa" w:w="3600"/>
            <w:shd w:val="clear" w:color="auto" w:fill="F2F4F7"/>
          </w:tcPr>
          <w:p>
            <w:r/>
            <w:r>
              <w:rPr>
                <w:rFonts w:ascii="Arial" w:hAnsi="Arial"/>
                <w:sz w:val="17"/>
              </w:rPr>
              <w:t>api-prod.docuaction.io</w:t>
            </w:r>
          </w:p>
        </w:tc>
      </w:tr>
      <w:tr>
        <w:tc>
          <w:tcPr>
            <w:tcW w:type="dxa" w:w="2160"/>
          </w:tcPr>
          <w:p>
            <w:r/>
            <w:r>
              <w:rPr>
                <w:rFonts w:ascii="Arial" w:hAnsi="Arial"/>
                <w:sz w:val="17"/>
              </w:rPr>
              <w:t>Frontend Static Web App</w:t>
            </w:r>
          </w:p>
        </w:tc>
        <w:tc>
          <w:tcPr>
            <w:tcW w:type="dxa" w:w="3600"/>
          </w:tcPr>
          <w:p>
            <w:r/>
            <w:r>
              <w:rPr>
                <w:rFonts w:ascii="Arial" w:hAnsi="Arial"/>
                <w:sz w:val="17"/>
              </w:rPr>
              <w:t>docuaction-frontend-dev</w:t>
            </w:r>
          </w:p>
        </w:tc>
        <w:tc>
          <w:tcPr>
            <w:tcW w:type="dxa" w:w="3600"/>
          </w:tcPr>
          <w:p>
            <w:r/>
            <w:r>
              <w:rPr>
                <w:rFonts w:ascii="Arial" w:hAnsi="Arial"/>
                <w:sz w:val="17"/>
              </w:rPr>
              <w:t>docuaction-frontend</w:t>
            </w:r>
          </w:p>
        </w:tc>
      </w:tr>
      <w:tr>
        <w:tc>
          <w:tcPr>
            <w:tcW w:type="dxa" w:w="2160"/>
            <w:shd w:val="clear" w:color="auto" w:fill="F2F4F7"/>
          </w:tcPr>
          <w:p>
            <w:r/>
            <w:r>
              <w:rPr>
                <w:rFonts w:ascii="Arial" w:hAnsi="Arial"/>
                <w:sz w:val="17"/>
              </w:rPr>
              <w:t>Frontend host</w:t>
            </w:r>
          </w:p>
        </w:tc>
        <w:tc>
          <w:tcPr>
            <w:tcW w:type="dxa" w:w="3600"/>
            <w:shd w:val="clear" w:color="auto" w:fill="F2F4F7"/>
          </w:tcPr>
          <w:p>
            <w:r/>
            <w:r>
              <w:rPr>
                <w:rFonts w:ascii="Arial" w:hAnsi="Arial"/>
                <w:sz w:val="17"/>
              </w:rPr>
              <w:t>witty-dune-0dd70870f.7.azurestaticapps.net</w:t>
            </w:r>
          </w:p>
        </w:tc>
        <w:tc>
          <w:tcPr>
            <w:tcW w:type="dxa" w:w="3600"/>
            <w:shd w:val="clear" w:color="auto" w:fill="F2F4F7"/>
          </w:tcPr>
          <w:p>
            <w:r/>
            <w:r>
              <w:rPr>
                <w:rFonts w:ascii="Arial" w:hAnsi="Arial"/>
                <w:sz w:val="17"/>
              </w:rPr>
              <w:t>witty-tree-0a448a70f.7.azurestaticapps.net</w:t>
            </w:r>
          </w:p>
        </w:tc>
      </w:tr>
      <w:tr>
        <w:tc>
          <w:tcPr>
            <w:tcW w:type="dxa" w:w="2160"/>
          </w:tcPr>
          <w:p>
            <w:r/>
            <w:r>
              <w:rPr>
                <w:rFonts w:ascii="Arial" w:hAnsi="Arial"/>
                <w:sz w:val="17"/>
              </w:rPr>
              <w:t>Database</w:t>
            </w:r>
          </w:p>
        </w:tc>
        <w:tc>
          <w:tcPr>
            <w:tcW w:type="dxa" w:w="3600"/>
          </w:tcPr>
          <w:p>
            <w:r/>
            <w:r>
              <w:rPr>
                <w:rFonts w:ascii="Arial" w:hAnsi="Arial"/>
                <w:sz w:val="17"/>
              </w:rPr>
              <w:t>docuaction-db-dev, PostgreSQL 16, 7-day retention</w:t>
            </w:r>
          </w:p>
        </w:tc>
        <w:tc>
          <w:tcPr>
            <w:tcW w:type="dxa" w:w="3600"/>
          </w:tcPr>
          <w:p>
            <w:r/>
            <w:r>
              <w:rPr>
                <w:rFonts w:ascii="Arial" w:hAnsi="Arial"/>
                <w:sz w:val="17"/>
              </w:rPr>
              <w:t>docuaction-db, PostgreSQL 16, 14-day retention</w:t>
            </w:r>
          </w:p>
        </w:tc>
      </w:tr>
      <w:tr>
        <w:tc>
          <w:tcPr>
            <w:tcW w:type="dxa" w:w="2160"/>
            <w:shd w:val="clear" w:color="auto" w:fill="F2F4F7"/>
          </w:tcPr>
          <w:p>
            <w:r/>
            <w:r>
              <w:rPr>
                <w:rFonts w:ascii="Arial" w:hAnsi="Arial"/>
                <w:sz w:val="17"/>
              </w:rPr>
              <w:t>Geo-redundant database</w:t>
            </w:r>
          </w:p>
        </w:tc>
        <w:tc>
          <w:tcPr>
            <w:tcW w:type="dxa" w:w="3600"/>
            <w:shd w:val="clear" w:color="auto" w:fill="F2F4F7"/>
          </w:tcPr>
          <w:p>
            <w:r/>
            <w:r>
              <w:rPr>
                <w:rFonts w:ascii="Arial" w:hAnsi="Arial"/>
                <w:sz w:val="17"/>
              </w:rPr>
              <w:t>Not provisioned</w:t>
            </w:r>
          </w:p>
        </w:tc>
        <w:tc>
          <w:tcPr>
            <w:tcW w:type="dxa" w:w="3600"/>
            <w:shd w:val="clear" w:color="auto" w:fill="F2F4F7"/>
          </w:tcPr>
          <w:p>
            <w:r/>
            <w:r>
              <w:rPr>
                <w:rFonts w:ascii="Arial" w:hAnsi="Arial"/>
                <w:sz w:val="17"/>
              </w:rPr>
              <w:t>docuaction-db-geo (14-day, geo-redundant) — cutover pending</w:t>
            </w:r>
          </w:p>
        </w:tc>
      </w:tr>
      <w:tr>
        <w:tc>
          <w:tcPr>
            <w:tcW w:type="dxa" w:w="2160"/>
          </w:tcPr>
          <w:p>
            <w:r/>
            <w:r>
              <w:rPr>
                <w:rFonts w:ascii="Arial" w:hAnsi="Arial"/>
                <w:sz w:val="17"/>
              </w:rPr>
              <w:t>Key Vault</w:t>
            </w:r>
          </w:p>
        </w:tc>
        <w:tc>
          <w:tcPr>
            <w:tcW w:type="dxa" w:w="3600"/>
          </w:tcPr>
          <w:p>
            <w:r/>
            <w:r>
              <w:rPr>
                <w:rFonts w:ascii="Arial" w:hAnsi="Arial"/>
                <w:sz w:val="17"/>
              </w:rPr>
              <w:t>docuaction-kv-dev — firewalled to private link</w:t>
            </w:r>
          </w:p>
        </w:tc>
        <w:tc>
          <w:tcPr>
            <w:tcW w:type="dxa" w:w="3600"/>
          </w:tcPr>
          <w:p>
            <w:r/>
            <w:r>
              <w:rPr>
                <w:rFonts w:ascii="Arial" w:hAnsi="Arial"/>
                <w:sz w:val="17"/>
              </w:rPr>
              <w:t>docuaction-kv-prod — firewalled to private link</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MATERIAL: </w:t>
            </w:r>
            <w:r>
              <w:rPr>
                <w:rFonts w:ascii="Arial" w:hAnsi="Arial"/>
                <w:sz w:val="18"/>
              </w:rPr>
              <w:t>A material fact for any reader assessing deployment currency: the customer-facing host api.docuaction.io is still served by the legacy Railway platform, not by the Azure App Service above. It resolves to thzu1ngo.up.railway.app and returns Server: railway-hikari. Code deployed to Azure production is NOT live on that host until the DNS cutover documented in docs/RAILWAY_DNS_CUTOVER_PLAN.md is executed. This is risk R-16 in AGT-EX-001 §7.</w:t>
            </w:r>
          </w:p>
        </w:tc>
      </w:tr>
    </w:tbl>
    <w:p/>
    <w:p>
      <w:pPr>
        <w:pStyle w:val="Heading2"/>
      </w:pPr>
      <w:r>
        <w:t>7.2 Environment Strategy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656"/>
            <w:shd w:val="clear" w:color="auto" w:fill="0B3C5D"/>
          </w:tcPr>
          <w:p>
            <w:r/>
            <w:r>
              <w:rPr>
                <w:rFonts w:ascii="Arial" w:hAnsi="Arial"/>
                <w:b/>
                <w:color w:val="FFFFFF"/>
                <w:sz w:val="17"/>
              </w:rPr>
              <w:t>Environment</w:t>
            </w:r>
          </w:p>
        </w:tc>
        <w:tc>
          <w:tcPr>
            <w:tcW w:type="dxa" w:w="2664"/>
            <w:shd w:val="clear" w:color="auto" w:fill="0B3C5D"/>
          </w:tcPr>
          <w:p>
            <w:r/>
            <w:r>
              <w:rPr>
                <w:rFonts w:ascii="Arial" w:hAnsi="Arial"/>
                <w:b/>
                <w:color w:val="FFFFFF"/>
                <w:sz w:val="17"/>
              </w:rPr>
              <w:t>Purpose</w:t>
            </w:r>
          </w:p>
        </w:tc>
        <w:tc>
          <w:tcPr>
            <w:tcW w:type="dxa" w:w="2736"/>
            <w:shd w:val="clear" w:color="auto" w:fill="0B3C5D"/>
          </w:tcPr>
          <w:p>
            <w:r/>
            <w:r>
              <w:rPr>
                <w:rFonts w:ascii="Arial" w:hAnsi="Arial"/>
                <w:b/>
                <w:color w:val="FFFFFF"/>
                <w:sz w:val="17"/>
              </w:rPr>
              <w:t>Data</w:t>
            </w:r>
          </w:p>
        </w:tc>
        <w:tc>
          <w:tcPr>
            <w:tcW w:type="dxa" w:w="2304"/>
            <w:shd w:val="clear" w:color="auto" w:fill="0B3C5D"/>
          </w:tcPr>
          <w:p>
            <w:r/>
            <w:r>
              <w:rPr>
                <w:rFonts w:ascii="Arial" w:hAnsi="Arial"/>
                <w:b/>
                <w:color w:val="FFFFFF"/>
                <w:sz w:val="17"/>
              </w:rPr>
              <w:t>Promotion gate</w:t>
            </w:r>
          </w:p>
        </w:tc>
      </w:tr>
      <w:tr>
        <w:tc>
          <w:tcPr>
            <w:tcW w:type="dxa" w:w="1656"/>
          </w:tcPr>
          <w:p>
            <w:r/>
            <w:r>
              <w:rPr>
                <w:rFonts w:ascii="Arial" w:hAnsi="Arial"/>
                <w:sz w:val="17"/>
              </w:rPr>
              <w:t>Development</w:t>
            </w:r>
          </w:p>
        </w:tc>
        <w:tc>
          <w:tcPr>
            <w:tcW w:type="dxa" w:w="2664"/>
          </w:tcPr>
          <w:p>
            <w:r/>
            <w:r>
              <w:rPr>
                <w:rFonts w:ascii="Arial" w:hAnsi="Arial"/>
                <w:sz w:val="17"/>
              </w:rPr>
              <w:t>Feature work, integration testing, DAST target</w:t>
            </w:r>
          </w:p>
        </w:tc>
        <w:tc>
          <w:tcPr>
            <w:tcW w:type="dxa" w:w="2736"/>
          </w:tcPr>
          <w:p>
            <w:r/>
            <w:r>
              <w:rPr>
                <w:rFonts w:ascii="Arial" w:hAnsi="Arial"/>
                <w:sz w:val="17"/>
              </w:rPr>
              <w:t>Synthetic entities plus five real NPIs</w:t>
            </w:r>
          </w:p>
        </w:tc>
        <w:tc>
          <w:tcPr>
            <w:tcW w:type="dxa" w:w="2304"/>
          </w:tcPr>
          <w:p>
            <w:r/>
            <w:r>
              <w:rPr>
                <w:rFonts w:ascii="Arial" w:hAnsi="Arial"/>
                <w:sz w:val="17"/>
              </w:rPr>
              <w:t>Tests pass and /health returns 200</w:t>
            </w:r>
          </w:p>
        </w:tc>
      </w:tr>
      <w:tr>
        <w:tc>
          <w:tcPr>
            <w:tcW w:type="dxa" w:w="1656"/>
            <w:shd w:val="clear" w:color="auto" w:fill="F2F4F7"/>
          </w:tcPr>
          <w:p>
            <w:r/>
            <w:r>
              <w:rPr>
                <w:rFonts w:ascii="Arial" w:hAnsi="Arial"/>
                <w:sz w:val="17"/>
              </w:rPr>
              <w:t>Production</w:t>
            </w:r>
          </w:p>
        </w:tc>
        <w:tc>
          <w:tcPr>
            <w:tcW w:type="dxa" w:w="2664"/>
            <w:shd w:val="clear" w:color="auto" w:fill="F2F4F7"/>
          </w:tcPr>
          <w:p>
            <w:r/>
            <w:r>
              <w:rPr>
                <w:rFonts w:ascii="Arial" w:hAnsi="Arial"/>
                <w:sz w:val="17"/>
              </w:rPr>
              <w:t>Live ONC-facing service</w:t>
            </w:r>
          </w:p>
        </w:tc>
        <w:tc>
          <w:tcPr>
            <w:tcW w:type="dxa" w:w="2736"/>
            <w:shd w:val="clear" w:color="auto" w:fill="F2F4F7"/>
          </w:tcPr>
          <w:p>
            <w:r/>
            <w:r>
              <w:rPr>
                <w:rFonts w:ascii="Arial" w:hAnsi="Arial"/>
                <w:sz w:val="17"/>
              </w:rPr>
              <w:t>ONC-supplied data only — never seeded with test identifiers</w:t>
            </w:r>
          </w:p>
        </w:tc>
        <w:tc>
          <w:tcPr>
            <w:tcW w:type="dxa" w:w="2304"/>
            <w:shd w:val="clear" w:color="auto" w:fill="F2F4F7"/>
          </w:tcPr>
          <w:p>
            <w:r/>
            <w:r>
              <w:rPr>
                <w:rFonts w:ascii="Arial" w:hAnsi="Arial"/>
                <w:sz w:val="17"/>
              </w:rPr>
              <w:t>Development verified first, then deploy and restart, then verify</w:t>
            </w:r>
          </w:p>
        </w:tc>
      </w:tr>
    </w:tbl>
    <w:p/>
    <w:p>
      <w:r>
        <w:rPr>
          <w:rFonts w:ascii="Arial" w:hAnsi="Arial"/>
          <w:b w:val="0"/>
          <w:i w:val="0"/>
          <w:sz w:val="20"/>
        </w:rPr>
        <w:t>There is currently no QA, UAT or staging environment. The consequence is that development serves as both the integration environment and the security-testing target, and production changes are validated only after deployment. Adding a UAT environment ahead of production promotion is recommended and is recorded in §9.1.</w:t>
      </w:r>
    </w:p>
    <w:p>
      <w:pPr>
        <w:pStyle w:val="Heading2"/>
      </w:pPr>
      <w:r>
        <w:t>7.3 CI/CD Pipeline</w:t>
      </w:r>
    </w:p>
    <w:tbl>
      <w:tblPr>
        <w:tblStyle w:val="TableGrid"/>
        <w:tblW w:type="auto" w:w="0"/>
        <w:tblLook w:firstColumn="1" w:firstRow="1" w:lastColumn="0" w:lastRow="0" w:noHBand="0" w:noVBand="1" w:val="04A0"/>
      </w:tblPr>
      <w:tblGrid>
        <w:gridCol w:w="9360"/>
      </w:tblGrid>
      <w:tr>
        <w:tc>
          <w:tcPr>
            <w:tcW w:type="dxa" w:w="9360"/>
            <w:shd w:val="clear" w:color="auto" w:fill="F7F9FC"/>
          </w:tcPr>
          <w:p>
            <w:pPr>
              <w:spacing w:after="0" w:line="240" w:lineRule="auto"/>
            </w:pPr>
            <w:r/>
            <w:r>
              <w:rPr>
                <w:rFonts w:ascii="Consolas" w:hAnsi="Consolas"/>
                <w:sz w:val="15"/>
                <w:rFonts w:ascii="Consolas" w:hAnsi="Consolas" w:cs="Consolas"/>
              </w:rPr>
              <w:t xml:space="preserve">  PUSH to main</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+--&gt; [ CodeQL ]        static analysis</w:t>
            </w:r>
            <w:r>
              <w:rPr>
                <w:rFonts w:ascii="Consolas" w:hAnsi="Consolas"/>
                <w:sz w:val="15"/>
                <w:rFonts w:ascii="Consolas" w:hAnsi="Consolas" w:cs="Consolas"/>
              </w:rPr>
              <w:br/>
              <w:t xml:space="preserve">     +--&gt; [ Bandit ]        Python security linting</w:t>
            </w:r>
            <w:r>
              <w:rPr>
                <w:rFonts w:ascii="Consolas" w:hAnsi="Consolas"/>
                <w:sz w:val="15"/>
                <w:rFonts w:ascii="Consolas" w:hAnsi="Consolas" w:cs="Consolas"/>
              </w:rPr>
              <w:br/>
              <w:t xml:space="preserve">     +--&gt; [ pip-audit ]     dependency advisories</w:t>
            </w:r>
            <w:r>
              <w:rPr>
                <w:rFonts w:ascii="Consolas" w:hAnsi="Consolas"/>
                <w:sz w:val="15"/>
                <w:rFonts w:ascii="Consolas" w:hAnsi="Consolas" w:cs="Consolas"/>
              </w:rPr>
              <w:br/>
              <w:t xml:space="preserve">     +--&gt; [ pytest ]        274 tests</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Build deployment zip ]   Python zipfile, NEVER PowerShell</w:t>
            </w:r>
            <w:r>
              <w:rPr>
                <w:rFonts w:ascii="Consolas" w:hAnsi="Consolas"/>
                <w:sz w:val="15"/>
                <w:rFonts w:ascii="Consolas" w:hAnsi="Consolas" w:cs="Consolas"/>
              </w:rPr>
              <w:br/>
              <w:t xml:space="preserve">              |</w:t>
            </w:r>
            <w:r>
              <w:rPr>
                <w:rFonts w:ascii="Consolas" w:hAnsi="Consolas"/>
                <w:sz w:val="15"/>
                <w:rFonts w:ascii="Consolas" w:hAnsi="Consolas" w:cs="Consolas"/>
              </w:rPr>
              <w:br/>
              <w:t xml:space="preserve">              v</w:t>
            </w:r>
            <w:r>
              <w:rPr>
                <w:rFonts w:ascii="Consolas" w:hAnsi="Consolas"/>
                <w:sz w:val="15"/>
                <w:rFonts w:ascii="Consolas" w:hAnsi="Consolas" w:cs="Consolas"/>
              </w:rPr>
              <w:br/>
              <w:t xml:space="preserve">     [ Deploy to Azure ] --&gt; [ RESTART ] --&gt; [ Verify /health + /api/config ]</w:t>
            </w:r>
            <w:r>
              <w:rPr>
                <w:rFonts w:ascii="Consolas" w:hAnsi="Consolas"/>
                <w:sz w:val="15"/>
                <w:rFonts w:ascii="Consolas" w:hAnsi="Consolas" w:cs="Consolas"/>
              </w:rPr>
              <w:br/>
              <w:t/>
            </w:r>
            <w:r>
              <w:rPr>
                <w:rFonts w:ascii="Consolas" w:hAnsi="Consolas"/>
                <w:sz w:val="15"/>
                <w:rFonts w:ascii="Consolas" w:hAnsi="Consolas" w:cs="Consolas"/>
              </w:rPr>
              <w:br/>
              <w:t xml:space="preserve">  SCHEDULED (Mondays)</w:t>
            </w:r>
            <w:r>
              <w:rPr>
                <w:rFonts w:ascii="Consolas" w:hAnsi="Consolas"/>
                <w:sz w:val="15"/>
                <w:rFonts w:ascii="Consolas" w:hAnsi="Consolas" w:cs="Consolas"/>
              </w:rPr>
              <w:br/>
              <w:t xml:space="preserve">     +--&gt; [ OWASP ZAP ]     unauthenticated, development only</w:t>
            </w:r>
            <w:r>
              <w:rPr>
                <w:rFonts w:ascii="Consolas" w:hAnsi="Consolas"/>
                <w:sz w:val="15"/>
                <w:rFonts w:ascii="Consolas" w:hAnsi="Consolas" w:cs="Consolas"/>
              </w:rPr>
              <w:br/>
              <w:t xml:space="preserve">     +--&gt; [ StackHawk ]     authenticated, development only</w:t>
            </w:r>
          </w:p>
        </w:tc>
      </w:tr>
    </w:tbl>
    <w:p>
      <w:r>
        <w:rPr>
          <w:rFonts w:ascii="Arial" w:hAnsi="Arial"/>
          <w:i/>
          <w:color w:val="555555"/>
          <w:sz w:val="16"/>
        </w:rPr>
        <w:t>Figure 8. Pipeline. The explicit restart step is not redundant: a deployment reporting success is not proof the new code is serving.</w:t>
      </w:r>
    </w:p>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0B3C5D"/>
          </w:tcPr>
          <w:p>
            <w:r/>
            <w:r>
              <w:rPr>
                <w:rFonts w:ascii="Arial" w:hAnsi="Arial"/>
                <w:b/>
                <w:color w:val="FFFFFF"/>
                <w:sz w:val="17"/>
              </w:rPr>
              <w:t>Rule</w:t>
            </w:r>
          </w:p>
        </w:tc>
        <w:tc>
          <w:tcPr>
            <w:tcW w:type="dxa" w:w="6048"/>
            <w:shd w:val="clear" w:color="auto" w:fill="0B3C5D"/>
          </w:tcPr>
          <w:p>
            <w:r/>
            <w:r>
              <w:rPr>
                <w:rFonts w:ascii="Arial" w:hAnsi="Arial"/>
                <w:b/>
                <w:color w:val="FFFFFF"/>
                <w:sz w:val="17"/>
              </w:rPr>
              <w:t>Reason</w:t>
            </w:r>
          </w:p>
        </w:tc>
      </w:tr>
      <w:tr>
        <w:tc>
          <w:tcPr>
            <w:tcW w:type="dxa" w:w="3312"/>
          </w:tcPr>
          <w:p>
            <w:r/>
            <w:r>
              <w:rPr>
                <w:rFonts w:ascii="Arial" w:hAnsi="Arial"/>
                <w:sz w:val="17"/>
              </w:rPr>
              <w:t>Build archives with Python zipfile, never PowerShell Compress-Archive</w:t>
            </w:r>
          </w:p>
        </w:tc>
        <w:tc>
          <w:tcPr>
            <w:tcW w:type="dxa" w:w="6048"/>
          </w:tcPr>
          <w:p>
            <w:r/>
            <w:r>
              <w:rPr>
                <w:rFonts w:ascii="Arial" w:hAnsi="Arial"/>
                <w:sz w:val="17"/>
              </w:rPr>
              <w:t>PowerShell writes backslash path separators, which Linux App Service does not read as directories. A clean deploy of such an archive replaces a working application with unusable flat files.</w:t>
            </w:r>
          </w:p>
        </w:tc>
      </w:tr>
      <w:tr>
        <w:tc>
          <w:tcPr>
            <w:tcW w:type="dxa" w:w="3312"/>
            <w:shd w:val="clear" w:color="auto" w:fill="F2F4F7"/>
          </w:tcPr>
          <w:p>
            <w:r/>
            <w:r>
              <w:rPr>
                <w:rFonts w:ascii="Arial" w:hAnsi="Arial"/>
                <w:sz w:val="17"/>
              </w:rPr>
              <w:t>Always restart explicitly after deploying</w:t>
            </w:r>
          </w:p>
        </w:tc>
        <w:tc>
          <w:tcPr>
            <w:tcW w:type="dxa" w:w="6048"/>
            <w:shd w:val="clear" w:color="auto" w:fill="F2F4F7"/>
          </w:tcPr>
          <w:p>
            <w:r/>
            <w:r>
              <w:rPr>
                <w:rFonts w:ascii="Arial" w:hAnsi="Arial"/>
                <w:sz w:val="17"/>
              </w:rPr>
              <w:t>A deployment status of active is not proof the new code is serving. Every deployment in this programme has required an explicit restart before new behaviour appeared.</w:t>
            </w:r>
          </w:p>
        </w:tc>
      </w:tr>
      <w:tr>
        <w:tc>
          <w:tcPr>
            <w:tcW w:type="dxa" w:w="3312"/>
          </w:tcPr>
          <w:p>
            <w:r/>
            <w:r>
              <w:rPr>
                <w:rFonts w:ascii="Arial" w:hAnsi="Arial"/>
                <w:sz w:val="17"/>
              </w:rPr>
              <w:t>Never retry a deploy on a CLI error</w:t>
            </w:r>
          </w:p>
        </w:tc>
        <w:tc>
          <w:tcPr>
            <w:tcW w:type="dxa" w:w="6048"/>
          </w:tcPr>
          <w:p>
            <w:r/>
            <w:r>
              <w:rPr>
                <w:rFonts w:ascii="Arial" w:hAnsi="Arial"/>
                <w:sz w:val="17"/>
              </w:rPr>
              <w:t>The command frequently reports a disconnect while the server continues building. Query deployment status instead; a blind retry during a live build is how partial deploys happen.</w:t>
            </w:r>
          </w:p>
        </w:tc>
      </w:tr>
      <w:tr>
        <w:tc>
          <w:tcPr>
            <w:tcW w:type="dxa" w:w="3312"/>
            <w:shd w:val="clear" w:color="auto" w:fill="F2F4F7"/>
          </w:tcPr>
          <w:p>
            <w:r/>
            <w:r>
              <w:rPr>
                <w:rFonts w:ascii="Arial" w:hAnsi="Arial"/>
                <w:sz w:val="17"/>
              </w:rPr>
              <w:t>Verify with an endpoint unique to the new build</w:t>
            </w:r>
          </w:p>
        </w:tc>
        <w:tc>
          <w:tcPr>
            <w:tcW w:type="dxa" w:w="6048"/>
            <w:shd w:val="clear" w:color="auto" w:fill="F2F4F7"/>
          </w:tcPr>
          <w:p>
            <w:r/>
            <w:r>
              <w:rPr>
                <w:rFonts w:ascii="Arial" w:hAnsi="Arial"/>
                <w:sz w:val="17"/>
              </w:rPr>
              <w:t>A 200 from /health can come from the previous build, or from an entirely different platform serving the same hostname.</w:t>
            </w:r>
          </w:p>
        </w:tc>
      </w:tr>
    </w:tbl>
    <w:p/>
    <w:p>
      <w:pPr>
        <w:pStyle w:val="Heading2"/>
      </w:pPr>
      <w:r>
        <w:t>7.4 Backup and Recovery</w:t>
      </w:r>
    </w:p>
    <w:p>
      <w:r>
        <w:rPr>
          <w:rFonts w:ascii="Arial" w:hAnsi="Arial"/>
          <w:b w:val="0"/>
          <w:i w:val="0"/>
          <w:sz w:val="20"/>
        </w:rPr>
        <w:t>Detailed in docs/BACKUP_RESTORE_PROCEDURE.md. Architecturally: production carries 14-day point-in-time restore, development 7-day. Restore provisions a new server rather than restoring in place, so recovery requires repointing the application's database configuration and restarting.</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LIMITATION: </w:t>
            </w:r>
            <w:r>
              <w:rPr>
                <w:rFonts w:ascii="Arial" w:hAnsi="Arial"/>
                <w:sz w:val="18"/>
              </w:rPr>
              <w:t>Geo-redundant backup is disabled on the production database in use and cannot be enabled after server creation. A geo-redundant server exists and is the intended destination at cutover. Until then production backups are regionally redundant only. Recorded as RA-005.</w:t>
            </w:r>
          </w:p>
        </w:tc>
      </w:tr>
    </w:tbl>
    <w:p/>
    <w:p>
      <w:r>
        <w:br w:type="page"/>
      </w:r>
    </w:p>
    <w:p>
      <w:pPr>
        <w:pStyle w:val="Heading1"/>
      </w:pPr>
      <w:r>
        <w:t>8. Operations Architecture</w:t>
      </w:r>
    </w:p>
    <w:p>
      <w:pPr>
        <w:pStyle w:val="Heading2"/>
      </w:pPr>
      <w:r>
        <w:t>8.1 Monitoring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0B3C5D"/>
          </w:tcPr>
          <w:p>
            <w:r/>
            <w:r>
              <w:rPr>
                <w:rFonts w:ascii="Arial" w:hAnsi="Arial"/>
                <w:b/>
                <w:color w:val="FFFFFF"/>
                <w:sz w:val="17"/>
              </w:rPr>
              <w:t>Signal</w:t>
            </w:r>
          </w:p>
        </w:tc>
        <w:tc>
          <w:tcPr>
            <w:tcW w:type="dxa" w:w="1656"/>
            <w:shd w:val="clear" w:color="auto" w:fill="0B3C5D"/>
          </w:tcPr>
          <w:p>
            <w:r/>
            <w:r>
              <w:rPr>
                <w:rFonts w:ascii="Arial" w:hAnsi="Arial"/>
                <w:b/>
                <w:color w:val="FFFFFF"/>
                <w:sz w:val="17"/>
              </w:rPr>
              <w:t>Source</w:t>
            </w:r>
          </w:p>
        </w:tc>
        <w:tc>
          <w:tcPr>
            <w:tcW w:type="dxa" w:w="3168"/>
            <w:shd w:val="clear" w:color="auto" w:fill="0B3C5D"/>
          </w:tcPr>
          <w:p>
            <w:r/>
            <w:r>
              <w:rPr>
                <w:rFonts w:ascii="Arial" w:hAnsi="Arial"/>
                <w:b/>
                <w:color w:val="FFFFFF"/>
                <w:sz w:val="17"/>
              </w:rPr>
              <w:t>Covers</w:t>
            </w:r>
          </w:p>
        </w:tc>
        <w:tc>
          <w:tcPr>
            <w:tcW w:type="dxa" w:w="2664"/>
            <w:shd w:val="clear" w:color="auto" w:fill="0B3C5D"/>
          </w:tcPr>
          <w:p>
            <w:r/>
            <w:r>
              <w:rPr>
                <w:rFonts w:ascii="Arial" w:hAnsi="Arial"/>
                <w:b/>
                <w:color w:val="FFFFFF"/>
                <w:sz w:val="17"/>
              </w:rPr>
              <w:t>Gap</w:t>
            </w:r>
          </w:p>
        </w:tc>
      </w:tr>
      <w:tr>
        <w:tc>
          <w:tcPr>
            <w:tcW w:type="dxa" w:w="1872"/>
          </w:tcPr>
          <w:p>
            <w:r/>
            <w:r>
              <w:rPr>
                <w:rFonts w:ascii="Arial" w:hAnsi="Arial"/>
                <w:sz w:val="17"/>
              </w:rPr>
              <w:t>/health</w:t>
            </w:r>
          </w:p>
        </w:tc>
        <w:tc>
          <w:tcPr>
            <w:tcW w:type="dxa" w:w="1656"/>
          </w:tcPr>
          <w:p>
            <w:r/>
            <w:r>
              <w:rPr>
                <w:rFonts w:ascii="Arial" w:hAnsi="Arial"/>
                <w:sz w:val="17"/>
              </w:rPr>
              <w:t>Application</w:t>
            </w:r>
          </w:p>
        </w:tc>
        <w:tc>
          <w:tcPr>
            <w:tcW w:type="dxa" w:w="3168"/>
          </w:tcPr>
          <w:p>
            <w:r/>
            <w:r>
              <w:rPr>
                <w:rFonts w:ascii="Arial" w:hAnsi="Arial"/>
                <w:sz w:val="17"/>
              </w:rPr>
              <w:t>Liveness and connector reachability</w:t>
            </w:r>
          </w:p>
        </w:tc>
        <w:tc>
          <w:tcPr>
            <w:tcW w:type="dxa" w:w="2664"/>
          </w:tcPr>
          <w:p>
            <w:r/>
            <w:r>
              <w:rPr>
                <w:rFonts w:ascii="Arial" w:hAnsi="Arial"/>
                <w:sz w:val="17"/>
              </w:rPr>
              <w:t>Polled manually; no alerting on failure</w:t>
            </w:r>
          </w:p>
        </w:tc>
      </w:tr>
      <w:tr>
        <w:tc>
          <w:tcPr>
            <w:tcW w:type="dxa" w:w="1872"/>
            <w:shd w:val="clear" w:color="auto" w:fill="F2F4F7"/>
          </w:tcPr>
          <w:p>
            <w:r/>
            <w:r>
              <w:rPr>
                <w:rFonts w:ascii="Arial" w:hAnsi="Arial"/>
                <w:sz w:val="17"/>
              </w:rPr>
              <w:t>/api/config</w:t>
            </w:r>
          </w:p>
        </w:tc>
        <w:tc>
          <w:tcPr>
            <w:tcW w:type="dxa" w:w="1656"/>
            <w:shd w:val="clear" w:color="auto" w:fill="F2F4F7"/>
          </w:tcPr>
          <w:p>
            <w:r/>
            <w:r>
              <w:rPr>
                <w:rFonts w:ascii="Arial" w:hAnsi="Arial"/>
                <w:sz w:val="17"/>
              </w:rPr>
              <w:t>Application</w:t>
            </w:r>
          </w:p>
        </w:tc>
        <w:tc>
          <w:tcPr>
            <w:tcW w:type="dxa" w:w="3168"/>
            <w:shd w:val="clear" w:color="auto" w:fill="F2F4F7"/>
          </w:tcPr>
          <w:p>
            <w:r/>
            <w:r>
              <w:rPr>
                <w:rFonts w:ascii="Arial" w:hAnsi="Arial"/>
                <w:sz w:val="17"/>
              </w:rPr>
              <w:t>Which build and which environment is serving</w:t>
            </w:r>
          </w:p>
        </w:tc>
        <w:tc>
          <w:tcPr>
            <w:tcW w:type="dxa" w:w="2664"/>
            <w:shd w:val="clear" w:color="auto" w:fill="F2F4F7"/>
          </w:tcPr>
          <w:p>
            <w:r/>
            <w:r>
              <w:rPr>
                <w:rFonts w:ascii="Arial" w:hAnsi="Arial"/>
                <w:sz w:val="17"/>
              </w:rPr>
              <w:t>—</w:t>
            </w:r>
          </w:p>
        </w:tc>
      </w:tr>
      <w:tr>
        <w:tc>
          <w:tcPr>
            <w:tcW w:type="dxa" w:w="1872"/>
          </w:tcPr>
          <w:p>
            <w:r/>
            <w:r>
              <w:rPr>
                <w:rFonts w:ascii="Arial" w:hAnsi="Arial"/>
                <w:sz w:val="17"/>
              </w:rPr>
              <w:t>App Service metrics</w:t>
            </w:r>
          </w:p>
        </w:tc>
        <w:tc>
          <w:tcPr>
            <w:tcW w:type="dxa" w:w="1656"/>
          </w:tcPr>
          <w:p>
            <w:r/>
            <w:r>
              <w:rPr>
                <w:rFonts w:ascii="Arial" w:hAnsi="Arial"/>
                <w:sz w:val="17"/>
              </w:rPr>
              <w:t>Azure</w:t>
            </w:r>
          </w:p>
        </w:tc>
        <w:tc>
          <w:tcPr>
            <w:tcW w:type="dxa" w:w="3168"/>
          </w:tcPr>
          <w:p>
            <w:r/>
            <w:r>
              <w:rPr>
                <w:rFonts w:ascii="Arial" w:hAnsi="Arial"/>
                <w:sz w:val="17"/>
              </w:rPr>
              <w:t>CPU, memory, request rate, HTTP status distribution</w:t>
            </w:r>
          </w:p>
        </w:tc>
        <w:tc>
          <w:tcPr>
            <w:tcW w:type="dxa" w:w="2664"/>
          </w:tcPr>
          <w:p>
            <w:r/>
            <w:r>
              <w:rPr>
                <w:rFonts w:ascii="Arial" w:hAnsi="Arial"/>
                <w:sz w:val="17"/>
              </w:rPr>
              <w:t>Alert rules configured for a subset only</w:t>
            </w:r>
          </w:p>
        </w:tc>
      </w:tr>
      <w:tr>
        <w:tc>
          <w:tcPr>
            <w:tcW w:type="dxa" w:w="1872"/>
            <w:shd w:val="clear" w:color="auto" w:fill="F2F4F7"/>
          </w:tcPr>
          <w:p>
            <w:r/>
            <w:r>
              <w:rPr>
                <w:rFonts w:ascii="Arial" w:hAnsi="Arial"/>
                <w:sz w:val="17"/>
              </w:rPr>
              <w:t>Scheduler job status</w:t>
            </w:r>
          </w:p>
        </w:tc>
        <w:tc>
          <w:tcPr>
            <w:tcW w:type="dxa" w:w="1656"/>
            <w:shd w:val="clear" w:color="auto" w:fill="F2F4F7"/>
          </w:tcPr>
          <w:p>
            <w:r/>
            <w:r>
              <w:rPr>
                <w:rFonts w:ascii="Arial" w:hAnsi="Arial"/>
                <w:sz w:val="17"/>
              </w:rPr>
              <w:t>Application</w:t>
            </w:r>
          </w:p>
        </w:tc>
        <w:tc>
          <w:tcPr>
            <w:tcW w:type="dxa" w:w="3168"/>
            <w:shd w:val="clear" w:color="auto" w:fill="F2F4F7"/>
          </w:tcPr>
          <w:p>
            <w:r/>
            <w:r>
              <w:rPr>
                <w:rFonts w:ascii="Arial" w:hAnsi="Arial"/>
                <w:sz w:val="17"/>
              </w:rPr>
              <w:t>Bulletin collection runs with a self-healing watchdog</w:t>
            </w:r>
          </w:p>
        </w:tc>
        <w:tc>
          <w:tcPr>
            <w:tcW w:type="dxa" w:w="2664"/>
            <w:shd w:val="clear" w:color="auto" w:fill="F2F4F7"/>
          </w:tcPr>
          <w:p>
            <w:r/>
            <w:r>
              <w:rPr>
                <w:rFonts w:ascii="Arial" w:hAnsi="Arial"/>
                <w:sz w:val="17"/>
              </w:rPr>
              <w:t>Gated on a configuration flag that has been found disabled in production before</w:t>
            </w:r>
          </w:p>
        </w:tc>
      </w:tr>
      <w:tr>
        <w:tc>
          <w:tcPr>
            <w:tcW w:type="dxa" w:w="1872"/>
          </w:tcPr>
          <w:p>
            <w:r/>
            <w:r>
              <w:rPr>
                <w:rFonts w:ascii="Arial" w:hAnsi="Arial"/>
                <w:sz w:val="17"/>
              </w:rPr>
              <w:t>Connector monitoring</w:t>
            </w:r>
          </w:p>
        </w:tc>
        <w:tc>
          <w:tcPr>
            <w:tcW w:type="dxa" w:w="1656"/>
          </w:tcPr>
          <w:p>
            <w:r/>
            <w:r>
              <w:rPr>
                <w:rFonts w:ascii="Arial" w:hAnsi="Arial"/>
                <w:sz w:val="17"/>
              </w:rPr>
              <w:t>Assessment activity</w:t>
            </w:r>
          </w:p>
        </w:tc>
        <w:tc>
          <w:tcPr>
            <w:tcW w:type="dxa" w:w="3168"/>
          </w:tcPr>
          <w:p>
            <w:r/>
            <w:r>
              <w:rPr>
                <w:rFonts w:ascii="Arial" w:hAnsi="Arial"/>
                <w:sz w:val="17"/>
              </w:rPr>
              <w:t>Per-source reachability and latency</w:t>
            </w:r>
          </w:p>
        </w:tc>
        <w:tc>
          <w:tcPr>
            <w:tcW w:type="dxa" w:w="2664"/>
          </w:tcPr>
          <w:p>
            <w:r/>
            <w:r>
              <w:rPr>
                <w:rFonts w:ascii="Arial" w:hAnsi="Arial"/>
                <w:sz w:val="17"/>
              </w:rPr>
              <w:t>Point-in-time only; no continuous monitoring exists</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GAP: </w:t>
            </w:r>
            <w:r>
              <w:rPr>
                <w:rFonts w:ascii="Arial" w:hAnsi="Arial"/>
                <w:sz w:val="18"/>
              </w:rPr>
              <w:t>No continuous availability monitoring is in place. The 99.5% availability target in AGT-REQ-001 (NFR-05) therefore cannot currently be evidenced, and is reported as Partial rather than met.</w:t>
            </w:r>
          </w:p>
        </w:tc>
      </w:tr>
    </w:tbl>
    <w:p/>
    <w:p>
      <w:pPr>
        <w:pStyle w:val="Heading2"/>
      </w:pPr>
      <w:r>
        <w:t>8.2 Incident Response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3C5D"/>
          </w:tcPr>
          <w:p>
            <w:r/>
            <w:r>
              <w:rPr>
                <w:rFonts w:ascii="Arial" w:hAnsi="Arial"/>
                <w:b/>
                <w:color w:val="FFFFFF"/>
                <w:sz w:val="17"/>
              </w:rPr>
              <w:t>Step</w:t>
            </w:r>
          </w:p>
        </w:tc>
        <w:tc>
          <w:tcPr>
            <w:tcW w:type="dxa" w:w="7200"/>
            <w:shd w:val="clear" w:color="auto" w:fill="0B3C5D"/>
          </w:tcPr>
          <w:p>
            <w:r/>
            <w:r>
              <w:rPr>
                <w:rFonts w:ascii="Arial" w:hAnsi="Arial"/>
                <w:b/>
                <w:color w:val="FFFFFF"/>
                <w:sz w:val="17"/>
              </w:rPr>
              <w:t>Action</w:t>
            </w:r>
          </w:p>
        </w:tc>
      </w:tr>
      <w:tr>
        <w:tc>
          <w:tcPr>
            <w:tcW w:type="dxa" w:w="2160"/>
          </w:tcPr>
          <w:p>
            <w:r/>
            <w:r>
              <w:rPr>
                <w:rFonts w:ascii="Arial" w:hAnsi="Arial"/>
                <w:sz w:val="17"/>
              </w:rPr>
              <w:t>1. Detect</w:t>
            </w:r>
          </w:p>
        </w:tc>
        <w:tc>
          <w:tcPr>
            <w:tcW w:type="dxa" w:w="7200"/>
          </w:tcPr>
          <w:p>
            <w:r/>
            <w:r>
              <w:rPr>
                <w:rFonts w:ascii="Arial" w:hAnsi="Arial"/>
                <w:sz w:val="17"/>
              </w:rPr>
              <w:t>Health check failure, error rate, or user report</w:t>
            </w:r>
          </w:p>
        </w:tc>
      </w:tr>
      <w:tr>
        <w:tc>
          <w:tcPr>
            <w:tcW w:type="dxa" w:w="2160"/>
            <w:shd w:val="clear" w:color="auto" w:fill="F2F4F7"/>
          </w:tcPr>
          <w:p>
            <w:r/>
            <w:r>
              <w:rPr>
                <w:rFonts w:ascii="Arial" w:hAnsi="Arial"/>
                <w:sz w:val="17"/>
              </w:rPr>
              <w:t>2. Identify what is actually serving</w:t>
            </w:r>
          </w:p>
        </w:tc>
        <w:tc>
          <w:tcPr>
            <w:tcW w:type="dxa" w:w="7200"/>
            <w:shd w:val="clear" w:color="auto" w:fill="F2F4F7"/>
          </w:tcPr>
          <w:p>
            <w:r/>
            <w:r>
              <w:rPr>
                <w:rFonts w:ascii="Arial" w:hAnsi="Arial"/>
                <w:sz w:val="17"/>
              </w:rPr>
              <w:t>Query /api/config and inspect the Server response header — a 200 from /health does not establish which build or which platform answered</w:t>
            </w:r>
          </w:p>
        </w:tc>
      </w:tr>
      <w:tr>
        <w:tc>
          <w:tcPr>
            <w:tcW w:type="dxa" w:w="2160"/>
          </w:tcPr>
          <w:p>
            <w:r/>
            <w:r>
              <w:rPr>
                <w:rFonts w:ascii="Arial" w:hAnsi="Arial"/>
                <w:sz w:val="17"/>
              </w:rPr>
              <w:t>3. Contain</w:t>
            </w:r>
          </w:p>
        </w:tc>
        <w:tc>
          <w:tcPr>
            <w:tcW w:type="dxa" w:w="7200"/>
          </w:tcPr>
          <w:p>
            <w:r/>
            <w:r>
              <w:rPr>
                <w:rFonts w:ascii="Arial" w:hAnsi="Arial"/>
                <w:sz w:val="17"/>
              </w:rPr>
              <w:t>Roll back by deploying the retained previous artefact with a clean deploy, then restart explicitly</w:t>
            </w:r>
          </w:p>
        </w:tc>
      </w:tr>
      <w:tr>
        <w:tc>
          <w:tcPr>
            <w:tcW w:type="dxa" w:w="2160"/>
            <w:shd w:val="clear" w:color="auto" w:fill="F2F4F7"/>
          </w:tcPr>
          <w:p>
            <w:r/>
            <w:r>
              <w:rPr>
                <w:rFonts w:ascii="Arial" w:hAnsi="Arial"/>
                <w:sz w:val="17"/>
              </w:rPr>
              <w:t>4. Verify</w:t>
            </w:r>
          </w:p>
        </w:tc>
        <w:tc>
          <w:tcPr>
            <w:tcW w:type="dxa" w:w="7200"/>
            <w:shd w:val="clear" w:color="auto" w:fill="F2F4F7"/>
          </w:tcPr>
          <w:p>
            <w:r/>
            <w:r>
              <w:rPr>
                <w:rFonts w:ascii="Arial" w:hAnsi="Arial"/>
                <w:sz w:val="17"/>
              </w:rPr>
              <w:t>/health returns 200 and /api/config reports the expected environment</w:t>
            </w:r>
          </w:p>
        </w:tc>
      </w:tr>
      <w:tr>
        <w:tc>
          <w:tcPr>
            <w:tcW w:type="dxa" w:w="2160"/>
          </w:tcPr>
          <w:p>
            <w:r/>
            <w:r>
              <w:rPr>
                <w:rFonts w:ascii="Arial" w:hAnsi="Arial"/>
                <w:sz w:val="17"/>
              </w:rPr>
              <w:t>5. Investigate</w:t>
            </w:r>
          </w:p>
        </w:tc>
        <w:tc>
          <w:tcPr>
            <w:tcW w:type="dxa" w:w="7200"/>
          </w:tcPr>
          <w:p>
            <w:r/>
            <w:r>
              <w:rPr>
                <w:rFonts w:ascii="Arial" w:hAnsi="Arial"/>
                <w:sz w:val="17"/>
              </w:rPr>
              <w:t>Reproduce on development, never on production</w:t>
            </w:r>
          </w:p>
        </w:tc>
      </w:tr>
      <w:tr>
        <w:tc>
          <w:tcPr>
            <w:tcW w:type="dxa" w:w="2160"/>
            <w:shd w:val="clear" w:color="auto" w:fill="F2F4F7"/>
          </w:tcPr>
          <w:p>
            <w:r/>
            <w:r>
              <w:rPr>
                <w:rFonts w:ascii="Arial" w:hAnsi="Arial"/>
                <w:sz w:val="17"/>
              </w:rPr>
              <w:t>6. Record</w:t>
            </w:r>
          </w:p>
        </w:tc>
        <w:tc>
          <w:tcPr>
            <w:tcW w:type="dxa" w:w="7200"/>
            <w:shd w:val="clear" w:color="auto" w:fill="F2F4F7"/>
          </w:tcPr>
          <w:p>
            <w:r/>
            <w:r>
              <w:rPr>
                <w:rFonts w:ascii="Arial" w:hAnsi="Arial"/>
                <w:sz w:val="17"/>
              </w:rPr>
              <w:t>Root cause and corrective action</w:t>
            </w:r>
          </w:p>
        </w:tc>
      </w:tr>
    </w:tbl>
    <w:p/>
    <w:p>
      <w:pPr>
        <w:pStyle w:val="Heading2"/>
      </w:pPr>
      <w:r>
        <w:t>8.3 Operational Procedures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0B3C5D"/>
          </w:tcPr>
          <w:p>
            <w:r/>
            <w:r>
              <w:rPr>
                <w:rFonts w:ascii="Arial" w:hAnsi="Arial"/>
                <w:b/>
                <w:color w:val="FFFFFF"/>
                <w:sz w:val="17"/>
              </w:rPr>
              <w:t>Procedure</w:t>
            </w:r>
          </w:p>
        </w:tc>
        <w:tc>
          <w:tcPr>
            <w:tcW w:type="dxa" w:w="5760"/>
            <w:shd w:val="clear" w:color="auto" w:fill="0B3C5D"/>
          </w:tcPr>
          <w:p>
            <w:r/>
            <w:r>
              <w:rPr>
                <w:rFonts w:ascii="Arial" w:hAnsi="Arial"/>
                <w:b/>
                <w:color w:val="FFFFFF"/>
                <w:sz w:val="17"/>
              </w:rPr>
              <w:t>Reference</w:t>
            </w:r>
          </w:p>
        </w:tc>
      </w:tr>
      <w:tr>
        <w:tc>
          <w:tcPr>
            <w:tcW w:type="dxa" w:w="3600"/>
          </w:tcPr>
          <w:p>
            <w:r/>
            <w:r>
              <w:rPr>
                <w:rFonts w:ascii="Arial" w:hAnsi="Arial"/>
                <w:sz w:val="17"/>
              </w:rPr>
              <w:t>Deployment</w:t>
            </w:r>
          </w:p>
        </w:tc>
        <w:tc>
          <w:tcPr>
            <w:tcW w:type="dxa" w:w="5760"/>
          </w:tcPr>
          <w:p>
            <w:r/>
            <w:r>
              <w:rPr>
                <w:rFonts w:ascii="Arial" w:hAnsi="Arial"/>
                <w:sz w:val="17"/>
              </w:rPr>
              <w:t>docs/DEPLOYMENT_GUIDE.md</w:t>
            </w:r>
          </w:p>
        </w:tc>
      </w:tr>
      <w:tr>
        <w:tc>
          <w:tcPr>
            <w:tcW w:type="dxa" w:w="3600"/>
            <w:shd w:val="clear" w:color="auto" w:fill="F2F4F7"/>
          </w:tcPr>
          <w:p>
            <w:r/>
            <w:r>
              <w:rPr>
                <w:rFonts w:ascii="Arial" w:hAnsi="Arial"/>
                <w:sz w:val="17"/>
              </w:rPr>
              <w:t>Backup and restore</w:t>
            </w:r>
          </w:p>
        </w:tc>
        <w:tc>
          <w:tcPr>
            <w:tcW w:type="dxa" w:w="5760"/>
            <w:shd w:val="clear" w:color="auto" w:fill="F2F4F7"/>
          </w:tcPr>
          <w:p>
            <w:r/>
            <w:r>
              <w:rPr>
                <w:rFonts w:ascii="Arial" w:hAnsi="Arial"/>
                <w:sz w:val="17"/>
              </w:rPr>
              <w:t>docs/BACKUP_RESTORE_PROCEDURE.md</w:t>
            </w:r>
          </w:p>
        </w:tc>
      </w:tr>
      <w:tr>
        <w:tc>
          <w:tcPr>
            <w:tcW w:type="dxa" w:w="3600"/>
          </w:tcPr>
          <w:p>
            <w:r/>
            <w:r>
              <w:rPr>
                <w:rFonts w:ascii="Arial" w:hAnsi="Arial"/>
                <w:sz w:val="17"/>
              </w:rPr>
              <w:t>DNS cutover</w:t>
            </w:r>
          </w:p>
        </w:tc>
        <w:tc>
          <w:tcPr>
            <w:tcW w:type="dxa" w:w="5760"/>
          </w:tcPr>
          <w:p>
            <w:r/>
            <w:r>
              <w:rPr>
                <w:rFonts w:ascii="Arial" w:hAnsi="Arial"/>
                <w:sz w:val="17"/>
              </w:rPr>
              <w:t>docs/RAILWAY_DNS_CUTOVER_PLAN.md</w:t>
            </w:r>
          </w:p>
        </w:tc>
      </w:tr>
      <w:tr>
        <w:tc>
          <w:tcPr>
            <w:tcW w:type="dxa" w:w="3600"/>
            <w:shd w:val="clear" w:color="auto" w:fill="F2F4F7"/>
          </w:tcPr>
          <w:p>
            <w:r/>
            <w:r>
              <w:rPr>
                <w:rFonts w:ascii="Arial" w:hAnsi="Arial"/>
                <w:sz w:val="17"/>
              </w:rPr>
              <w:t>DAST execution and finding validation</w:t>
            </w:r>
          </w:p>
        </w:tc>
        <w:tc>
          <w:tcPr>
            <w:tcW w:type="dxa" w:w="5760"/>
            <w:shd w:val="clear" w:color="auto" w:fill="F2F4F7"/>
          </w:tcPr>
          <w:p>
            <w:r/>
            <w:r>
              <w:rPr>
                <w:rFonts w:ascii="Arial" w:hAnsi="Arial"/>
                <w:sz w:val="17"/>
              </w:rPr>
              <w:t>docs/DAST_CI_SETUP.md</w:t>
            </w:r>
          </w:p>
        </w:tc>
      </w:tr>
      <w:tr>
        <w:tc>
          <w:tcPr>
            <w:tcW w:type="dxa" w:w="3600"/>
          </w:tcPr>
          <w:p>
            <w:r/>
            <w:r>
              <w:rPr>
                <w:rFonts w:ascii="Arial" w:hAnsi="Arial"/>
                <w:sz w:val="17"/>
              </w:rPr>
              <w:t>SAM.gov key provisioning</w:t>
            </w:r>
          </w:p>
        </w:tc>
        <w:tc>
          <w:tcPr>
            <w:tcW w:type="dxa" w:w="5760"/>
          </w:tcPr>
          <w:p>
            <w:r/>
            <w:r>
              <w:rPr>
                <w:rFonts w:ascii="Arial" w:hAnsi="Arial"/>
                <w:sz w:val="17"/>
              </w:rPr>
              <w:t>docs/SAM_GOV_API_KEY_SETUP.md</w:t>
            </w:r>
          </w:p>
        </w:tc>
      </w:tr>
      <w:tr>
        <w:tc>
          <w:tcPr>
            <w:tcW w:type="dxa" w:w="3600"/>
            <w:shd w:val="clear" w:color="auto" w:fill="F2F4F7"/>
          </w:tcPr>
          <w:p>
            <w:r/>
            <w:r>
              <w:rPr>
                <w:rFonts w:ascii="Arial" w:hAnsi="Arial"/>
                <w:sz w:val="17"/>
              </w:rPr>
              <w:t>State registry strategy</w:t>
            </w:r>
          </w:p>
        </w:tc>
        <w:tc>
          <w:tcPr>
            <w:tcW w:type="dxa" w:w="5760"/>
            <w:shd w:val="clear" w:color="auto" w:fill="F2F4F7"/>
          </w:tcPr>
          <w:p>
            <w:r/>
            <w:r>
              <w:rPr>
                <w:rFonts w:ascii="Arial" w:hAnsi="Arial"/>
                <w:sz w:val="17"/>
              </w:rPr>
              <w:t>docs/STATE_REGISTRY_STRATEGY.md</w:t>
            </w:r>
          </w:p>
        </w:tc>
      </w:tr>
      <w:tr>
        <w:tc>
          <w:tcPr>
            <w:tcW w:type="dxa" w:w="3600"/>
          </w:tcPr>
          <w:p>
            <w:r/>
            <w:r>
              <w:rPr>
                <w:rFonts w:ascii="Arial" w:hAnsi="Arial"/>
                <w:sz w:val="17"/>
              </w:rPr>
              <w:t>Risk acceptance</w:t>
            </w:r>
          </w:p>
        </w:tc>
        <w:tc>
          <w:tcPr>
            <w:tcW w:type="dxa" w:w="5760"/>
          </w:tcPr>
          <w:p>
            <w:r/>
            <w:r>
              <w:rPr>
                <w:rFonts w:ascii="Arial" w:hAnsi="Arial"/>
                <w:sz w:val="17"/>
              </w:rPr>
              <w:t>docs/RISK_ACCEPTANCE_REGISTER.md</w:t>
            </w:r>
          </w:p>
        </w:tc>
      </w:tr>
      <w:tr>
        <w:tc>
          <w:tcPr>
            <w:tcW w:type="dxa" w:w="3600"/>
            <w:shd w:val="clear" w:color="auto" w:fill="F2F4F7"/>
          </w:tcPr>
          <w:p>
            <w:r/>
            <w:r>
              <w:rPr>
                <w:rFonts w:ascii="Arial" w:hAnsi="Arial"/>
                <w:sz w:val="17"/>
              </w:rPr>
              <w:t>API version baseline</w:t>
            </w:r>
          </w:p>
        </w:tc>
        <w:tc>
          <w:tcPr>
            <w:tcW w:type="dxa" w:w="5760"/>
            <w:shd w:val="clear" w:color="auto" w:fill="F2F4F7"/>
          </w:tcPr>
          <w:p>
            <w:r/>
            <w:r>
              <w:rPr>
                <w:rFonts w:ascii="Arial" w:hAnsi="Arial"/>
                <w:sz w:val="17"/>
              </w:rPr>
              <w:t>docs/API_VERSION_1.0_BASELINE.md</w:t>
            </w:r>
          </w:p>
        </w:tc>
      </w:tr>
    </w:tbl>
    <w:p/>
    <w:p>
      <w:r>
        <w:br w:type="page"/>
      </w:r>
    </w:p>
    <w:p>
      <w:pPr>
        <w:pStyle w:val="Heading1"/>
      </w:pPr>
      <w:r>
        <w:t>9. Future State Architecture</w:t>
      </w:r>
    </w:p>
    <w:p>
      <w:pPr>
        <w:pStyle w:val="Heading2"/>
      </w:pPr>
      <w:r>
        <w:t>9.1 Near term — Q4 2026</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0B3C5D"/>
          </w:tcPr>
          <w:p>
            <w:r/>
            <w:r>
              <w:rPr>
                <w:rFonts w:ascii="Arial" w:hAnsi="Arial"/>
                <w:b/>
                <w:color w:val="FFFFFF"/>
                <w:sz w:val="17"/>
              </w:rPr>
              <w:t>Initiative</w:t>
            </w:r>
          </w:p>
        </w:tc>
        <w:tc>
          <w:tcPr>
            <w:tcW w:type="dxa" w:w="3744"/>
            <w:shd w:val="clear" w:color="auto" w:fill="0B3C5D"/>
          </w:tcPr>
          <w:p>
            <w:r/>
            <w:r>
              <w:rPr>
                <w:rFonts w:ascii="Arial" w:hAnsi="Arial"/>
                <w:b/>
                <w:color w:val="FFFFFF"/>
                <w:sz w:val="17"/>
              </w:rPr>
              <w:t>Driver</w:t>
            </w:r>
          </w:p>
        </w:tc>
        <w:tc>
          <w:tcPr>
            <w:tcW w:type="dxa" w:w="2736"/>
            <w:shd w:val="clear" w:color="auto" w:fill="0B3C5D"/>
          </w:tcPr>
          <w:p>
            <w:r/>
            <w:r>
              <w:rPr>
                <w:rFonts w:ascii="Arial" w:hAnsi="Arial"/>
                <w:b/>
                <w:color w:val="FFFFFF"/>
                <w:sz w:val="17"/>
              </w:rPr>
              <w:t>Dependency</w:t>
            </w:r>
          </w:p>
        </w:tc>
      </w:tr>
      <w:tr>
        <w:tc>
          <w:tcPr>
            <w:tcW w:type="dxa" w:w="2880"/>
          </w:tcPr>
          <w:p>
            <w:r/>
            <w:r>
              <w:rPr>
                <w:rFonts w:ascii="Arial" w:hAnsi="Arial"/>
                <w:sz w:val="17"/>
              </w:rPr>
              <w:t>Execute the DNS cutover to Azure</w:t>
            </w:r>
          </w:p>
        </w:tc>
        <w:tc>
          <w:tcPr>
            <w:tcW w:type="dxa" w:w="3744"/>
          </w:tcPr>
          <w:p>
            <w:r/>
            <w:r>
              <w:rPr>
                <w:rFonts w:ascii="Arial" w:hAnsi="Arial"/>
                <w:sz w:val="17"/>
              </w:rPr>
              <w:t>Risk R-16 — deployed fixes are not live on the customer-facing host</w:t>
            </w:r>
          </w:p>
        </w:tc>
        <w:tc>
          <w:tcPr>
            <w:tcW w:type="dxa" w:w="2736"/>
          </w:tcPr>
          <w:p>
            <w:r/>
            <w:r>
              <w:rPr>
                <w:rFonts w:ascii="Arial" w:hAnsi="Arial"/>
                <w:sz w:val="17"/>
              </w:rPr>
              <w:t>Registrar access</w:t>
            </w:r>
          </w:p>
        </w:tc>
      </w:tr>
      <w:tr>
        <w:tc>
          <w:tcPr>
            <w:tcW w:type="dxa" w:w="2880"/>
            <w:shd w:val="clear" w:color="auto" w:fill="F2F4F7"/>
          </w:tcPr>
          <w:p>
            <w:r/>
            <w:r>
              <w:rPr>
                <w:rFonts w:ascii="Arial" w:hAnsi="Arial"/>
                <w:sz w:val="17"/>
              </w:rPr>
              <w:t>Provision the SAM.gov API key</w:t>
            </w:r>
          </w:p>
        </w:tc>
        <w:tc>
          <w:tcPr>
            <w:tcW w:type="dxa" w:w="3744"/>
            <w:shd w:val="clear" w:color="auto" w:fill="F2F4F7"/>
          </w:tcPr>
          <w:p>
            <w:r/>
            <w:r>
              <w:rPr>
                <w:rFonts w:ascii="Arial" w:hAnsi="Arial"/>
                <w:sz w:val="17"/>
              </w:rPr>
              <w:t>Gap G-01 — federal registration and debarment unverified</w:t>
            </w:r>
          </w:p>
        </w:tc>
        <w:tc>
          <w:tcPr>
            <w:tcW w:type="dxa" w:w="2736"/>
            <w:shd w:val="clear" w:color="auto" w:fill="F2F4F7"/>
          </w:tcPr>
          <w:p>
            <w:r/>
            <w:r>
              <w:rPr>
                <w:rFonts w:ascii="Arial" w:hAnsi="Arial"/>
                <w:sz w:val="17"/>
              </w:rPr>
              <w:t>Interactive SAM.gov login</w:t>
            </w:r>
          </w:p>
        </w:tc>
      </w:tr>
      <w:tr>
        <w:tc>
          <w:tcPr>
            <w:tcW w:type="dxa" w:w="2880"/>
          </w:tcPr>
          <w:p>
            <w:r/>
            <w:r>
              <w:rPr>
                <w:rFonts w:ascii="Arial" w:hAnsi="Arial"/>
                <w:sz w:val="17"/>
              </w:rPr>
              <w:t>Execute the first DAST runs</w:t>
            </w:r>
          </w:p>
        </w:tc>
        <w:tc>
          <w:tcPr>
            <w:tcW w:type="dxa" w:w="3744"/>
          </w:tcPr>
          <w:p>
            <w:r/>
            <w:r>
              <w:rPr>
                <w:rFonts w:ascii="Arial" w:hAnsi="Arial"/>
                <w:sz w:val="17"/>
              </w:rPr>
              <w:t>Gap G-05 — no dynamic testing evidence</w:t>
            </w:r>
          </w:p>
        </w:tc>
        <w:tc>
          <w:tcPr>
            <w:tcW w:type="dxa" w:w="2736"/>
          </w:tcPr>
          <w:p>
            <w:r/>
            <w:r>
              <w:rPr>
                <w:rFonts w:ascii="Arial" w:hAnsi="Arial"/>
                <w:sz w:val="17"/>
              </w:rPr>
              <w:t>StackHawk API key</w:t>
            </w:r>
          </w:p>
        </w:tc>
      </w:tr>
      <w:tr>
        <w:tc>
          <w:tcPr>
            <w:tcW w:type="dxa" w:w="2880"/>
            <w:shd w:val="clear" w:color="auto" w:fill="F2F4F7"/>
          </w:tcPr>
          <w:p>
            <w:r/>
            <w:r>
              <w:rPr>
                <w:rFonts w:ascii="Arial" w:hAnsi="Arial"/>
                <w:sz w:val="17"/>
              </w:rPr>
              <w:t>Rehearse a database restore</w:t>
            </w:r>
          </w:p>
        </w:tc>
        <w:tc>
          <w:tcPr>
            <w:tcW w:type="dxa" w:w="3744"/>
            <w:shd w:val="clear" w:color="auto" w:fill="F2F4F7"/>
          </w:tcPr>
          <w:p>
            <w:r/>
            <w:r>
              <w:rPr>
                <w:rFonts w:ascii="Arial" w:hAnsi="Arial"/>
                <w:sz w:val="17"/>
              </w:rPr>
              <w:t>Gap G-06 — recovery time objective unmeasured</w:t>
            </w:r>
          </w:p>
        </w:tc>
        <w:tc>
          <w:tcPr>
            <w:tcW w:type="dxa" w:w="2736"/>
            <w:shd w:val="clear" w:color="auto" w:fill="F2F4F7"/>
          </w:tcPr>
          <w:p>
            <w:r/>
            <w:r>
              <w:rPr>
                <w:rFonts w:ascii="Arial" w:hAnsi="Arial"/>
                <w:sz w:val="17"/>
              </w:rPr>
              <w:t>Scratch server</w:t>
            </w:r>
          </w:p>
        </w:tc>
      </w:tr>
      <w:tr>
        <w:tc>
          <w:tcPr>
            <w:tcW w:type="dxa" w:w="2880"/>
          </w:tcPr>
          <w:p>
            <w:r/>
            <w:r>
              <w:rPr>
                <w:rFonts w:ascii="Arial" w:hAnsi="Arial"/>
                <w:sz w:val="17"/>
              </w:rPr>
              <w:t>Complete Key Vault migration</w:t>
            </w:r>
          </w:p>
        </w:tc>
        <w:tc>
          <w:tcPr>
            <w:tcW w:type="dxa" w:w="3744"/>
          </w:tcPr>
          <w:p>
            <w:r/>
            <w:r>
              <w:rPr>
                <w:rFonts w:ascii="Arial" w:hAnsi="Arial"/>
                <w:sz w:val="17"/>
              </w:rPr>
              <w:t>Gap G-08 — no secret rotation or access audit</w:t>
            </w:r>
          </w:p>
        </w:tc>
        <w:tc>
          <w:tcPr>
            <w:tcW w:type="dxa" w:w="2736"/>
          </w:tcPr>
          <w:p>
            <w:r/>
            <w:r>
              <w:rPr>
                <w:rFonts w:ascii="Arial" w:hAnsi="Arial"/>
                <w:sz w:val="17"/>
              </w:rPr>
              <w:t>Approved network path</w:t>
            </w:r>
          </w:p>
        </w:tc>
      </w:tr>
      <w:tr>
        <w:tc>
          <w:tcPr>
            <w:tcW w:type="dxa" w:w="2880"/>
            <w:shd w:val="clear" w:color="auto" w:fill="F2F4F7"/>
          </w:tcPr>
          <w:p>
            <w:r/>
            <w:r>
              <w:rPr>
                <w:rFonts w:ascii="Arial" w:hAnsi="Arial"/>
                <w:sz w:val="17"/>
              </w:rPr>
              <w:t>Add a UAT environment</w:t>
            </w:r>
          </w:p>
        </w:tc>
        <w:tc>
          <w:tcPr>
            <w:tcW w:type="dxa" w:w="3744"/>
            <w:shd w:val="clear" w:color="auto" w:fill="F2F4F7"/>
          </w:tcPr>
          <w:p>
            <w:r/>
            <w:r>
              <w:rPr>
                <w:rFonts w:ascii="Arial" w:hAnsi="Arial"/>
                <w:sz w:val="17"/>
              </w:rPr>
              <w:t>Production changes are currently validated only after deployment</w:t>
            </w:r>
          </w:p>
        </w:tc>
        <w:tc>
          <w:tcPr>
            <w:tcW w:type="dxa" w:w="2736"/>
            <w:shd w:val="clear" w:color="auto" w:fill="F2F4F7"/>
          </w:tcPr>
          <w:p>
            <w:r/>
            <w:r>
              <w:rPr>
                <w:rFonts w:ascii="Arial" w:hAnsi="Arial"/>
                <w:sz w:val="17"/>
              </w:rPr>
              <w:t>Azure subscription capacity</w:t>
            </w:r>
          </w:p>
        </w:tc>
      </w:tr>
      <w:tr>
        <w:tc>
          <w:tcPr>
            <w:tcW w:type="dxa" w:w="2880"/>
          </w:tcPr>
          <w:p>
            <w:r/>
            <w:r>
              <w:rPr>
                <w:rFonts w:ascii="Arial" w:hAnsi="Arial"/>
                <w:sz w:val="17"/>
              </w:rPr>
              <w:t>Automated regression testing</w:t>
            </w:r>
          </w:p>
        </w:tc>
        <w:tc>
          <w:tcPr>
            <w:tcW w:type="dxa" w:w="3744"/>
          </w:tcPr>
          <w:p>
            <w:r/>
            <w:r>
              <w:rPr>
                <w:rFonts w:ascii="Arial" w:hAnsi="Arial"/>
                <w:sz w:val="17"/>
              </w:rPr>
              <w:t>Frontend has no end-to-end coverage</w:t>
            </w:r>
          </w:p>
        </w:tc>
        <w:tc>
          <w:tcPr>
            <w:tcW w:type="dxa" w:w="2736"/>
          </w:tcPr>
          <w:p>
            <w:r/>
            <w:r>
              <w:rPr>
                <w:rFonts w:ascii="Arial" w:hAnsi="Arial"/>
                <w:sz w:val="17"/>
              </w:rPr>
              <w:t>Test authoring effort</w:t>
            </w:r>
          </w:p>
        </w:tc>
      </w:tr>
      <w:tr>
        <w:tc>
          <w:tcPr>
            <w:tcW w:type="dxa" w:w="2880"/>
            <w:shd w:val="clear" w:color="auto" w:fill="F2F4F7"/>
          </w:tcPr>
          <w:p>
            <w:r/>
            <w:r>
              <w:rPr>
                <w:rFonts w:ascii="Arial" w:hAnsi="Arial"/>
                <w:sz w:val="17"/>
              </w:rPr>
              <w:t>Next.js upgrade</w:t>
            </w:r>
          </w:p>
        </w:tc>
        <w:tc>
          <w:tcPr>
            <w:tcW w:type="dxa" w:w="3744"/>
            <w:shd w:val="clear" w:color="auto" w:fill="F2F4F7"/>
          </w:tcPr>
          <w:p>
            <w:r/>
            <w:r>
              <w:rPr>
                <w:rFonts w:ascii="Arial" w:hAnsi="Arial"/>
                <w:sz w:val="17"/>
              </w:rPr>
              <w:t>RA-001 and RA-002 advisories</w:t>
            </w:r>
          </w:p>
        </w:tc>
        <w:tc>
          <w:tcPr>
            <w:tcW w:type="dxa" w:w="2736"/>
            <w:shd w:val="clear" w:color="auto" w:fill="F2F4F7"/>
          </w:tcPr>
          <w:p>
            <w:r/>
            <w:r>
              <w:rPr>
                <w:rFonts w:ascii="Arial" w:hAnsi="Arial"/>
                <w:sz w:val="17"/>
              </w:rPr>
              <w:t>A stable release outside the advisory range</w:t>
            </w:r>
          </w:p>
        </w:tc>
      </w:tr>
    </w:tbl>
    <w:p/>
    <w:p>
      <w:pPr>
        <w:pStyle w:val="Heading2"/>
      </w:pPr>
      <w:r>
        <w:t>9.2 Medium term — 2027</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B3C5D"/>
          </w:tcPr>
          <w:p>
            <w:r/>
            <w:r>
              <w:rPr>
                <w:rFonts w:ascii="Arial" w:hAnsi="Arial"/>
                <w:b/>
                <w:color w:val="FFFFFF"/>
                <w:sz w:val="17"/>
              </w:rPr>
              <w:t>Initiative</w:t>
            </w:r>
          </w:p>
        </w:tc>
        <w:tc>
          <w:tcPr>
            <w:tcW w:type="dxa" w:w="6480"/>
            <w:shd w:val="clear" w:color="auto" w:fill="0B3C5D"/>
          </w:tcPr>
          <w:p>
            <w:r/>
            <w:r>
              <w:rPr>
                <w:rFonts w:ascii="Arial" w:hAnsi="Arial"/>
                <w:b/>
                <w:color w:val="FFFFFF"/>
                <w:sz w:val="17"/>
              </w:rPr>
              <w:t>Description</w:t>
            </w:r>
          </w:p>
        </w:tc>
      </w:tr>
      <w:tr>
        <w:tc>
          <w:tcPr>
            <w:tcW w:type="dxa" w:w="2880"/>
          </w:tcPr>
          <w:p>
            <w:r/>
            <w:r>
              <w:rPr>
                <w:rFonts w:ascii="Arial" w:hAnsi="Arial"/>
                <w:sz w:val="17"/>
              </w:rPr>
              <w:t>Case management module</w:t>
            </w:r>
          </w:p>
        </w:tc>
        <w:tc>
          <w:tcPr>
            <w:tcW w:type="dxa" w:w="6480"/>
          </w:tcPr>
          <w:p>
            <w:r/>
            <w:r>
              <w:rPr>
                <w:rFonts w:ascii="Arial" w:hAnsi="Arial"/>
                <w:sz w:val="17"/>
              </w:rPr>
              <w:t>Configurable multi-agency workflow. Tables exist; explicitly out of TEFCA ARC scope (AGT-EX-001 §4.2)</w:t>
            </w:r>
          </w:p>
        </w:tc>
      </w:tr>
      <w:tr>
        <w:tc>
          <w:tcPr>
            <w:tcW w:type="dxa" w:w="2880"/>
            <w:shd w:val="clear" w:color="auto" w:fill="F2F4F7"/>
          </w:tcPr>
          <w:p>
            <w:r/>
            <w:r>
              <w:rPr>
                <w:rFonts w:ascii="Arial" w:hAnsi="Arial"/>
                <w:sz w:val="17"/>
              </w:rPr>
              <w:t>Additional agency configurations</w:t>
            </w:r>
          </w:p>
        </w:tc>
        <w:tc>
          <w:tcPr>
            <w:tcW w:type="dxa" w:w="6480"/>
            <w:shd w:val="clear" w:color="auto" w:fill="F2F4F7"/>
          </w:tcPr>
          <w:p>
            <w:r/>
            <w:r>
              <w:rPr>
                <w:rFonts w:ascii="Arial" w:hAnsi="Arial"/>
                <w:sz w:val="17"/>
              </w:rPr>
              <w:t>Reuse of the verification and classification core for other federal registry owners</w:t>
            </w:r>
          </w:p>
        </w:tc>
      </w:tr>
      <w:tr>
        <w:tc>
          <w:tcPr>
            <w:tcW w:type="dxa" w:w="2880"/>
          </w:tcPr>
          <w:p>
            <w:r/>
            <w:r>
              <w:rPr>
                <w:rFonts w:ascii="Arial" w:hAnsi="Arial"/>
                <w:sz w:val="17"/>
              </w:rPr>
              <w:t>Automated retention enforcement</w:t>
            </w:r>
          </w:p>
        </w:tc>
        <w:tc>
          <w:tcPr>
            <w:tcW w:type="dxa" w:w="6480"/>
          </w:tcPr>
          <w:p>
            <w:r/>
            <w:r>
              <w:rPr>
                <w:rFonts w:ascii="Arial" w:hAnsi="Arial"/>
                <w:sz w:val="17"/>
              </w:rPr>
              <w:t>Archival and purge jobs implementing the schedule in AGT-DA-001 §9 — currently specified but not enforced</w:t>
            </w:r>
          </w:p>
        </w:tc>
      </w:tr>
      <w:tr>
        <w:tc>
          <w:tcPr>
            <w:tcW w:type="dxa" w:w="2880"/>
            <w:shd w:val="clear" w:color="auto" w:fill="F2F4F7"/>
          </w:tcPr>
          <w:p>
            <w:r/>
            <w:r>
              <w:rPr>
                <w:rFonts w:ascii="Arial" w:hAnsi="Arial"/>
                <w:sz w:val="17"/>
              </w:rPr>
              <w:t>FedRAMP authorisation</w:t>
            </w:r>
          </w:p>
        </w:tc>
        <w:tc>
          <w:tcPr>
            <w:tcW w:type="dxa" w:w="6480"/>
            <w:shd w:val="clear" w:color="auto" w:fill="F2F4F7"/>
          </w:tcPr>
          <w:p>
            <w:r/>
            <w:r>
              <w:rPr>
                <w:rFonts w:ascii="Arial" w:hAnsi="Arial"/>
                <w:sz w:val="17"/>
              </w:rPr>
              <w:t>Required if the platform is offered as a shared service</w:t>
            </w:r>
          </w:p>
        </w:tc>
      </w:tr>
      <w:tr>
        <w:tc>
          <w:tcPr>
            <w:tcW w:type="dxa" w:w="2880"/>
          </w:tcPr>
          <w:p>
            <w:r/>
            <w:r>
              <w:rPr>
                <w:rFonts w:ascii="Arial" w:hAnsi="Arial"/>
                <w:sz w:val="17"/>
              </w:rPr>
              <w:t>SOC 2 Type II</w:t>
            </w:r>
          </w:p>
        </w:tc>
        <w:tc>
          <w:tcPr>
            <w:tcW w:type="dxa" w:w="6480"/>
          </w:tcPr>
          <w:p>
            <w:r/>
            <w:r>
              <w:rPr>
                <w:rFonts w:ascii="Arial" w:hAnsi="Arial"/>
                <w:sz w:val="17"/>
              </w:rPr>
              <w:t>Commercial assurance for non-federal customers</w:t>
            </w:r>
          </w:p>
        </w:tc>
      </w:tr>
      <w:tr>
        <w:tc>
          <w:tcPr>
            <w:tcW w:type="dxa" w:w="2880"/>
            <w:shd w:val="clear" w:color="auto" w:fill="F2F4F7"/>
          </w:tcPr>
          <w:p>
            <w:r/>
            <w:r>
              <w:rPr>
                <w:rFonts w:ascii="Arial" w:hAnsi="Arial"/>
                <w:sz w:val="17"/>
              </w:rPr>
              <w:t>Independent accessibility audit</w:t>
            </w:r>
          </w:p>
        </w:tc>
        <w:tc>
          <w:tcPr>
            <w:tcW w:type="dxa" w:w="6480"/>
            <w:shd w:val="clear" w:color="auto" w:fill="F2F4F7"/>
          </w:tcPr>
          <w:p>
            <w:r/>
            <w:r>
              <w:rPr>
                <w:rFonts w:ascii="Arial" w:hAnsi="Arial"/>
                <w:sz w:val="17"/>
              </w:rPr>
              <w:t>Section 508 conformance is currently unverified (NFR-11)</w:t>
            </w:r>
          </w:p>
        </w:tc>
      </w:tr>
    </w:tbl>
    <w:p/>
    <w:p>
      <w:pPr>
        <w:pStyle w:val="Heading2"/>
      </w:pPr>
      <w:r>
        <w:t>9.3 Long term — 2028 and beyond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0B3C5D"/>
          </w:tcPr>
          <w:p>
            <w:r/>
            <w:r>
              <w:rPr>
                <w:rFonts w:ascii="Arial" w:hAnsi="Arial"/>
                <w:b/>
                <w:color w:val="FFFFFF"/>
                <w:sz w:val="17"/>
              </w:rPr>
              <w:t>Initiative</w:t>
            </w:r>
          </w:p>
        </w:tc>
        <w:tc>
          <w:tcPr>
            <w:tcW w:type="dxa" w:w="4320"/>
            <w:shd w:val="clear" w:color="auto" w:fill="0B3C5D"/>
          </w:tcPr>
          <w:p>
            <w:r/>
            <w:r>
              <w:rPr>
                <w:rFonts w:ascii="Arial" w:hAnsi="Arial"/>
                <w:b/>
                <w:color w:val="FFFFFF"/>
                <w:sz w:val="17"/>
              </w:rPr>
              <w:t>Description</w:t>
            </w:r>
          </w:p>
        </w:tc>
        <w:tc>
          <w:tcPr>
            <w:tcW w:type="dxa" w:w="2592"/>
            <w:shd w:val="clear" w:color="auto" w:fill="0B3C5D"/>
          </w:tcPr>
          <w:p>
            <w:r/>
            <w:r>
              <w:rPr>
                <w:rFonts w:ascii="Arial" w:hAnsi="Arial"/>
                <w:b/>
                <w:color w:val="FFFFFF"/>
                <w:sz w:val="17"/>
              </w:rPr>
              <w:t>Precondition</w:t>
            </w:r>
          </w:p>
        </w:tc>
      </w:tr>
      <w:tr>
        <w:tc>
          <w:tcPr>
            <w:tcW w:type="dxa" w:w="2448"/>
          </w:tcPr>
          <w:p>
            <w:r/>
            <w:r>
              <w:rPr>
                <w:rFonts w:ascii="Arial" w:hAnsi="Arial"/>
                <w:sz w:val="17"/>
              </w:rPr>
              <w:t>Event-driven architecture</w:t>
            </w:r>
          </w:p>
        </w:tc>
        <w:tc>
          <w:tcPr>
            <w:tcW w:type="dxa" w:w="4320"/>
          </w:tcPr>
          <w:p>
            <w:r/>
            <w:r>
              <w:rPr>
                <w:rFonts w:ascii="Arial" w:hAnsi="Arial"/>
                <w:sz w:val="17"/>
              </w:rPr>
              <w:t>Streaming ingestion and reactive verification in place of batch cycles</w:t>
            </w:r>
          </w:p>
        </w:tc>
        <w:tc>
          <w:tcPr>
            <w:tcW w:type="dxa" w:w="2592"/>
          </w:tcPr>
          <w:p>
            <w:r/>
            <w:r>
              <w:rPr>
                <w:rFonts w:ascii="Arial" w:hAnsi="Arial"/>
                <w:sz w:val="17"/>
              </w:rPr>
              <w:t>Sustained volume that batch processing cannot serve</w:t>
            </w:r>
          </w:p>
        </w:tc>
      </w:tr>
      <w:tr>
        <w:tc>
          <w:tcPr>
            <w:tcW w:type="dxa" w:w="2448"/>
            <w:shd w:val="clear" w:color="auto" w:fill="F2F4F7"/>
          </w:tcPr>
          <w:p>
            <w:r/>
            <w:r>
              <w:rPr>
                <w:rFonts w:ascii="Arial" w:hAnsi="Arial"/>
                <w:sz w:val="17"/>
              </w:rPr>
              <w:t>Identity resolution graph</w:t>
            </w:r>
          </w:p>
        </w:tc>
        <w:tc>
          <w:tcPr>
            <w:tcW w:type="dxa" w:w="4320"/>
            <w:shd w:val="clear" w:color="auto" w:fill="F2F4F7"/>
          </w:tcPr>
          <w:p>
            <w:r/>
            <w:r>
              <w:rPr>
                <w:rFonts w:ascii="Arial" w:hAnsi="Arial"/>
                <w:sz w:val="17"/>
              </w:rPr>
              <w:t>Provenance and cross-registry entity resolution</w:t>
            </w:r>
          </w:p>
        </w:tc>
        <w:tc>
          <w:tcPr>
            <w:tcW w:type="dxa" w:w="2592"/>
            <w:shd w:val="clear" w:color="auto" w:fill="F2F4F7"/>
          </w:tcPr>
          <w:p>
            <w:r/>
            <w:r>
              <w:rPr>
                <w:rFonts w:ascii="Arial" w:hAnsi="Arial"/>
                <w:sz w:val="17"/>
              </w:rPr>
              <w:t>Multiple registries under management</w:t>
            </w:r>
          </w:p>
        </w:tc>
      </w:tr>
      <w:tr>
        <w:tc>
          <w:tcPr>
            <w:tcW w:type="dxa" w:w="2448"/>
          </w:tcPr>
          <w:p>
            <w:r/>
            <w:r>
              <w:rPr>
                <w:rFonts w:ascii="Arial" w:hAnsi="Arial"/>
                <w:sz w:val="17"/>
              </w:rPr>
              <w:t>Machine-assisted classification</w:t>
            </w:r>
          </w:p>
        </w:tc>
        <w:tc>
          <w:tcPr>
            <w:tcW w:type="dxa" w:w="4320"/>
          </w:tcPr>
          <w:p>
            <w:r/>
            <w:r>
              <w:rPr>
                <w:rFonts w:ascii="Arial" w:hAnsi="Arial"/>
                <w:sz w:val="17"/>
              </w:rPr>
              <w:t>Model-assisted triage of B3 cases</w:t>
            </w:r>
          </w:p>
        </w:tc>
        <w:tc>
          <w:tcPr>
            <w:tcW w:type="dxa" w:w="2592"/>
          </w:tcPr>
          <w:p>
            <w:r/>
            <w:r>
              <w:rPr>
                <w:rFonts w:ascii="Arial" w:hAnsi="Arial"/>
                <w:sz w:val="17"/>
              </w:rPr>
              <w:t>A labelled corpus of resolved B3 decisions large enough to evaluate honestly</w:t>
            </w:r>
          </w:p>
        </w:tc>
      </w:tr>
      <w:tr>
        <w:tc>
          <w:tcPr>
            <w:tcW w:type="dxa" w:w="2448"/>
            <w:shd w:val="clear" w:color="auto" w:fill="F2F4F7"/>
          </w:tcPr>
          <w:p>
            <w:r/>
            <w:r>
              <w:rPr>
                <w:rFonts w:ascii="Arial" w:hAnsi="Arial"/>
                <w:sz w:val="17"/>
              </w:rPr>
              <w:t>Multi-agency shared service</w:t>
            </w:r>
          </w:p>
        </w:tc>
        <w:tc>
          <w:tcPr>
            <w:tcW w:type="dxa" w:w="4320"/>
            <w:shd w:val="clear" w:color="auto" w:fill="F2F4F7"/>
          </w:tcPr>
          <w:p>
            <w:r/>
            <w:r>
              <w:rPr>
                <w:rFonts w:ascii="Arial" w:hAnsi="Arial"/>
                <w:sz w:val="17"/>
              </w:rPr>
              <w:t>The platform offered to several agencies from one authorisation boundary</w:t>
            </w:r>
          </w:p>
        </w:tc>
        <w:tc>
          <w:tcPr>
            <w:tcW w:type="dxa" w:w="2592"/>
            <w:shd w:val="clear" w:color="auto" w:fill="F2F4F7"/>
          </w:tcPr>
          <w:p>
            <w:r/>
            <w:r>
              <w:rPr>
                <w:rFonts w:ascii="Arial" w:hAnsi="Arial"/>
                <w:sz w:val="17"/>
              </w:rPr>
              <w:t>FedRAMP authorisation</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w:t>
            </w:r>
            <w:r>
              <w:rPr>
                <w:rFonts w:ascii="Arial" w:hAnsi="Arial"/>
                <w:sz w:val="18"/>
              </w:rPr>
              <w:t>Section 9 describes candidate direction, not committed scope. Nothing in it is funded under Contract 7571MN26F80064.</w:t>
            </w:r>
          </w:p>
        </w:tc>
      </w:tr>
    </w:tbl>
    <w:p/>
    <w:p>
      <w:r>
        <w:br w:type="page"/>
      </w:r>
    </w:p>
    <w:p>
      <w:pPr>
        <w:pStyle w:val="Heading1"/>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0B3C5D"/>
          </w:tcPr>
          <w:p>
            <w:r/>
            <w:r>
              <w:rPr>
                <w:rFonts w:ascii="Arial" w:hAnsi="Arial"/>
                <w:b/>
                <w:color w:val="FFFFFF"/>
                <w:sz w:val="17"/>
              </w:rPr>
              <w:t>Version</w:t>
            </w:r>
          </w:p>
        </w:tc>
        <w:tc>
          <w:tcPr>
            <w:tcW w:type="dxa" w:w="1872"/>
            <w:shd w:val="clear" w:color="auto" w:fill="0B3C5D"/>
          </w:tcPr>
          <w:p>
            <w:r/>
            <w:r>
              <w:rPr>
                <w:rFonts w:ascii="Arial" w:hAnsi="Arial"/>
                <w:b/>
                <w:color w:val="FFFFFF"/>
                <w:sz w:val="17"/>
              </w:rPr>
              <w:t>Date</w:t>
            </w:r>
          </w:p>
        </w:tc>
        <w:tc>
          <w:tcPr>
            <w:tcW w:type="dxa" w:w="2448"/>
            <w:shd w:val="clear" w:color="auto" w:fill="0B3C5D"/>
          </w:tcPr>
          <w:p>
            <w:r/>
            <w:r>
              <w:rPr>
                <w:rFonts w:ascii="Arial" w:hAnsi="Arial"/>
                <w:b/>
                <w:color w:val="FFFFFF"/>
                <w:sz w:val="17"/>
              </w:rPr>
              <w:t>Author</w:t>
            </w:r>
          </w:p>
        </w:tc>
        <w:tc>
          <w:tcPr>
            <w:tcW w:type="dxa" w:w="3744"/>
            <w:shd w:val="clear" w:color="auto" w:fill="0B3C5D"/>
          </w:tcPr>
          <w:p>
            <w:r/>
            <w:r>
              <w:rPr>
                <w:rFonts w:ascii="Arial" w:hAnsi="Arial"/>
                <w:b/>
                <w:color w:val="FFFFFF"/>
                <w:sz w:val="17"/>
              </w:rPr>
              <w:t>Description</w:t>
            </w:r>
          </w:p>
        </w:tc>
      </w:tr>
      <w:tr>
        <w:tc>
          <w:tcPr>
            <w:tcW w:type="dxa" w:w="1296"/>
          </w:tcPr>
          <w:p>
            <w:r/>
            <w:r>
              <w:rPr>
                <w:rFonts w:ascii="Arial" w:hAnsi="Arial"/>
                <w:sz w:val="17"/>
              </w:rPr>
              <w:t>1.0</w:t>
            </w:r>
          </w:p>
        </w:tc>
        <w:tc>
          <w:tcPr>
            <w:tcW w:type="dxa" w:w="1872"/>
          </w:tcPr>
          <w:p>
            <w:r/>
            <w:r>
              <w:rPr>
                <w:rFonts w:ascii="Arial" w:hAnsi="Arial"/>
                <w:sz w:val="17"/>
              </w:rPr>
              <w:t>August 2026</w:t>
            </w:r>
          </w:p>
        </w:tc>
        <w:tc>
          <w:tcPr>
            <w:tcW w:type="dxa" w:w="2448"/>
          </w:tcPr>
          <w:p>
            <w:r/>
            <w:r>
              <w:rPr>
                <w:rFonts w:ascii="Arial" w:hAnsi="Arial"/>
                <w:sz w:val="17"/>
              </w:rPr>
              <w:t>Imran Siddiqui</w:t>
            </w:r>
          </w:p>
        </w:tc>
        <w:tc>
          <w:tcPr>
            <w:tcW w:type="dxa" w:w="3744"/>
          </w:tcPr>
          <w:p>
            <w:r/>
            <w:r>
              <w:rPr>
                <w:rFonts w:ascii="Arial" w:hAnsi="Arial"/>
                <w:sz w:val="17"/>
              </w:rPr>
              <w:t>Initial release</w:t>
            </w:r>
          </w:p>
        </w:tc>
      </w:tr>
    </w:tbl>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color w:val="0B3C5D"/>
        <w:sz w:val="16"/>
      </w:rPr>
      <w:t>Alliance Global Tech, Inc.</w:t>
      <w:tab/>
    </w:r>
    <w:r>
      <w:rPr>
        <w:rFonts w:ascii="Arial" w:hAnsi="Arial"/>
        <w:sz w:val="16"/>
      </w:rPr>
      <w:t xml:space="preserve">Page </w:t>
    </w:r>
    <w:r>
      <w:fldChar w:fldCharType="begin"/>
    </w:r>
    <w:r>
      <w:instrText xml:space="preserve">PAGE</w:instrText>
    </w:r>
    <w:r>
      <w:fldChar w:fldCharType="separate"/>
    </w:r>
    <w:r>
      <w:rPr>
        <w:rFonts w:ascii="Arial" w:hAnsi="Arial"/>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3C5D"/>
        <w:sz w:val="16"/>
      </w:rPr>
      <w:t>AGT-EA-001</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B3C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