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Arial" w:hAnsi="Arial"/>
          <w:b/>
          <w:color w:val="D4A843"/>
          <w:sz w:val="26"/>
        </w:rPr>
        <w:t>ALLIANCE GLOBAL TECH, INC.</w:t>
      </w:r>
    </w:p>
    <w:p>
      <w:pPr>
        <w:jc w:val="center"/>
      </w:pPr>
      <w:r>
        <w:rPr>
          <w:rFonts w:ascii="Arial" w:hAnsi="Arial"/>
          <w:b/>
          <w:color w:val="0B3C5D"/>
          <w:sz w:val="52"/>
        </w:rPr>
        <w:t>DocuAction TEFCA ARC Platform</w:t>
      </w:r>
    </w:p>
    <w:p>
      <w:pPr>
        <w:jc w:val="center"/>
      </w:pPr>
      <w:r>
        <w:rPr>
          <w:rFonts w:ascii="Arial" w:hAnsi="Arial"/>
          <w:color w:val="0078D4"/>
          <w:sz w:val="32"/>
        </w:rPr>
        <w:t>Volume I — Executive Documentation</w:t>
      </w:r>
    </w:p>
    <w:p>
      <w:pPr>
        <w:jc w:val="center"/>
      </w:pPr>
      <w:r>
        <w:rPr>
          <w:color w:val="D4A843"/>
        </w:rPr>
        <w:t>__________________________________________________________</w:t>
      </w:r>
    </w:p>
    <w:p>
      <w:pPr>
        <w:jc w:val="center"/>
      </w:pPr>
      <w:r>
        <w:rPr>
          <w:rFonts w:ascii="Arial" w:hAnsi="Arial"/>
          <w:b w:val="0"/>
          <w:color w:val="333333"/>
          <w:sz w:val="22"/>
        </w:rPr>
        <w:t>Prepared for the Assistant Secretary for Technology Policy / Office of the National Coordinator for Health IT (ASTP/ONC)</w:t>
      </w:r>
    </w:p>
    <w:p>
      <w:pPr>
        <w:jc w:val="center"/>
      </w:pPr>
      <w:r>
        <w:rPr>
          <w:rFonts w:ascii="Arial" w:hAnsi="Arial"/>
          <w:b/>
          <w:color w:val="0B3C5D"/>
          <w:sz w:val="22"/>
        </w:rPr>
        <w:t>Contract 7571MN26F80064</w:t>
      </w:r>
    </w:p>
    <w:p>
      <w:pPr>
        <w:jc w:val="center"/>
      </w:pPr>
      <w:r>
        <w:rPr>
          <w:rFonts w:ascii="Arial" w:hAnsi="Arial"/>
          <w:b w:val="0"/>
          <w:color w:val="333333"/>
          <w:sz w:val="20"/>
        </w:rPr>
        <w:t>CAGE 8ERE8  |  UEI MP2FLV1MAW93</w:t>
      </w:r>
    </w:p>
    <w:p>
      <w:pPr>
        <w:jc w:val="center"/>
      </w:pPr>
      <w:r>
        <w:rPr>
          <w:rFonts w:ascii="Arial" w:hAnsi="Arial"/>
          <w:b w:val="0"/>
          <w:color w:val="333333"/>
          <w:sz w:val="20"/>
        </w:rPr>
      </w:r>
    </w:p>
    <w:p>
      <w:pPr>
        <w:jc w:val="center"/>
      </w:pPr>
      <w:r>
        <w:rPr>
          <w:rFonts w:ascii="Arial" w:hAnsi="Arial"/>
          <w:b w:val="0"/>
          <w:color w:val="333333"/>
          <w:sz w:val="20"/>
        </w:rPr>
        <w:t>Document ID: AGT-EX-001</w:t>
      </w:r>
    </w:p>
    <w:p>
      <w:pPr>
        <w:jc w:val="center"/>
      </w:pPr>
      <w:r>
        <w:rPr>
          <w:rFonts w:ascii="Arial" w:hAnsi="Arial"/>
          <w:b w:val="0"/>
          <w:color w:val="333333"/>
          <w:sz w:val="20"/>
        </w:rPr>
        <w:t>Version 1.0  |  August 2026</w:t>
      </w:r>
    </w:p>
    <w:p/>
    <w:p/>
    <w:p/>
    <w:p/>
    <w:p/>
    <w:p/>
    <w:p>
      <w:pPr>
        <w:jc w:val="center"/>
      </w:pPr>
      <w:r>
        <w:rPr>
          <w:rFonts w:ascii="Arial" w:hAnsi="Arial"/>
          <w:b/>
          <w:color w:val="0B3C5D"/>
          <w:sz w:val="18"/>
        </w:rPr>
        <w:t>CONFIDENTIAL — Contains Controlled Unclassified Information (CUI)</w:t>
      </w:r>
    </w:p>
    <w:p>
      <w:r>
        <w:br w:type="page"/>
      </w:r>
    </w:p>
    <w:p>
      <w:pPr>
        <w:pStyle w:val="Heading1"/>
      </w:pPr>
      <w:r>
        <w:t>Document Control</w:t>
      </w:r>
    </w:p>
    <w:tbl>
      <w:tblPr>
        <w:tblStyle w:val="TableGrid"/>
        <w:tblW w:type="auto" w:w="0"/>
        <w:jc w:val="center"/>
        <w:tblLook w:firstColumn="1" w:firstRow="1" w:lastColumn="0" w:lastRow="0" w:noHBand="0" w:noVBand="1" w:val="04A0"/>
      </w:tblPr>
      <w:tblGrid>
        <w:gridCol w:w="4680"/>
        <w:gridCol w:w="4680"/>
      </w:tblGrid>
      <w:tr>
        <w:tc>
          <w:tcPr>
            <w:tcW w:type="dxa" w:w="3168"/>
            <w:shd w:val="clear" w:color="auto" w:fill="0B3C5D"/>
          </w:tcPr>
          <w:p>
            <w:r/>
            <w:r>
              <w:rPr>
                <w:rFonts w:ascii="Arial" w:hAnsi="Arial"/>
                <w:b/>
                <w:color w:val="FFFFFF"/>
                <w:sz w:val="17"/>
              </w:rPr>
              <w:t>Field</w:t>
            </w:r>
          </w:p>
        </w:tc>
        <w:tc>
          <w:tcPr>
            <w:tcW w:type="dxa" w:w="6192"/>
            <w:shd w:val="clear" w:color="auto" w:fill="0B3C5D"/>
          </w:tcPr>
          <w:p>
            <w:r/>
            <w:r>
              <w:rPr>
                <w:rFonts w:ascii="Arial" w:hAnsi="Arial"/>
                <w:b/>
                <w:color w:val="FFFFFF"/>
                <w:sz w:val="17"/>
              </w:rPr>
              <w:t>Value</w:t>
            </w:r>
          </w:p>
        </w:tc>
      </w:tr>
      <w:tr>
        <w:tc>
          <w:tcPr>
            <w:tcW w:type="dxa" w:w="3168"/>
          </w:tcPr>
          <w:p>
            <w:r/>
            <w:r>
              <w:rPr>
                <w:rFonts w:ascii="Arial" w:hAnsi="Arial"/>
                <w:sz w:val="17"/>
              </w:rPr>
              <w:t>Document ID</w:t>
            </w:r>
          </w:p>
        </w:tc>
        <w:tc>
          <w:tcPr>
            <w:tcW w:type="dxa" w:w="6192"/>
          </w:tcPr>
          <w:p>
            <w:r/>
            <w:r>
              <w:rPr>
                <w:rFonts w:ascii="Arial" w:hAnsi="Arial"/>
                <w:sz w:val="17"/>
              </w:rPr>
              <w:t>AGT-EX-001</w:t>
            </w:r>
          </w:p>
        </w:tc>
      </w:tr>
      <w:tr>
        <w:tc>
          <w:tcPr>
            <w:tcW w:type="dxa" w:w="3168"/>
            <w:shd w:val="clear" w:color="auto" w:fill="F2F4F7"/>
          </w:tcPr>
          <w:p>
            <w:r/>
            <w:r>
              <w:rPr>
                <w:rFonts w:ascii="Arial" w:hAnsi="Arial"/>
                <w:sz w:val="17"/>
              </w:rPr>
              <w:t>Document Title</w:t>
            </w:r>
          </w:p>
        </w:tc>
        <w:tc>
          <w:tcPr>
            <w:tcW w:type="dxa" w:w="6192"/>
            <w:shd w:val="clear" w:color="auto" w:fill="F2F4F7"/>
          </w:tcPr>
          <w:p>
            <w:r/>
            <w:r>
              <w:rPr>
                <w:rFonts w:ascii="Arial" w:hAnsi="Arial"/>
                <w:sz w:val="17"/>
              </w:rPr>
              <w:t>Volume I — Executive Documentation</w:t>
            </w:r>
          </w:p>
        </w:tc>
      </w:tr>
      <w:tr>
        <w:tc>
          <w:tcPr>
            <w:tcW w:type="dxa" w:w="3168"/>
          </w:tcPr>
          <w:p>
            <w:r/>
            <w:r>
              <w:rPr>
                <w:rFonts w:ascii="Arial" w:hAnsi="Arial"/>
                <w:sz w:val="17"/>
              </w:rPr>
              <w:t>Version</w:t>
            </w:r>
          </w:p>
        </w:tc>
        <w:tc>
          <w:tcPr>
            <w:tcW w:type="dxa" w:w="6192"/>
          </w:tcPr>
          <w:p>
            <w:r/>
            <w:r>
              <w:rPr>
                <w:rFonts w:ascii="Arial" w:hAnsi="Arial"/>
                <w:sz w:val="17"/>
              </w:rPr>
              <w:t>1.0</w:t>
            </w:r>
          </w:p>
        </w:tc>
      </w:tr>
      <w:tr>
        <w:tc>
          <w:tcPr>
            <w:tcW w:type="dxa" w:w="3168"/>
            <w:shd w:val="clear" w:color="auto" w:fill="F2F4F7"/>
          </w:tcPr>
          <w:p>
            <w:r/>
            <w:r>
              <w:rPr>
                <w:rFonts w:ascii="Arial" w:hAnsi="Arial"/>
                <w:sz w:val="17"/>
              </w:rPr>
              <w:t>Status</w:t>
            </w:r>
          </w:p>
        </w:tc>
        <w:tc>
          <w:tcPr>
            <w:tcW w:type="dxa" w:w="6192"/>
            <w:shd w:val="clear" w:color="auto" w:fill="F2F4F7"/>
          </w:tcPr>
          <w:p>
            <w:r/>
            <w:r>
              <w:rPr>
                <w:rFonts w:ascii="Arial" w:hAnsi="Arial"/>
                <w:sz w:val="17"/>
              </w:rPr>
              <w:t>Released</w:t>
            </w:r>
          </w:p>
        </w:tc>
      </w:tr>
      <w:tr>
        <w:tc>
          <w:tcPr>
            <w:tcW w:type="dxa" w:w="3168"/>
          </w:tcPr>
          <w:p>
            <w:r/>
            <w:r>
              <w:rPr>
                <w:rFonts w:ascii="Arial" w:hAnsi="Arial"/>
                <w:sz w:val="17"/>
              </w:rPr>
              <w:t>Date</w:t>
            </w:r>
          </w:p>
        </w:tc>
        <w:tc>
          <w:tcPr>
            <w:tcW w:type="dxa" w:w="6192"/>
          </w:tcPr>
          <w:p>
            <w:r/>
            <w:r>
              <w:rPr>
                <w:rFonts w:ascii="Arial" w:hAnsi="Arial"/>
                <w:sz w:val="17"/>
              </w:rPr>
              <w:t>August 2026</w:t>
            </w:r>
          </w:p>
        </w:tc>
      </w:tr>
      <w:tr>
        <w:tc>
          <w:tcPr>
            <w:tcW w:type="dxa" w:w="3168"/>
            <w:shd w:val="clear" w:color="auto" w:fill="F2F4F7"/>
          </w:tcPr>
          <w:p>
            <w:r/>
            <w:r>
              <w:rPr>
                <w:rFonts w:ascii="Arial" w:hAnsi="Arial"/>
                <w:sz w:val="17"/>
              </w:rPr>
              <w:t>Contract Number</w:t>
            </w:r>
          </w:p>
        </w:tc>
        <w:tc>
          <w:tcPr>
            <w:tcW w:type="dxa" w:w="6192"/>
            <w:shd w:val="clear" w:color="auto" w:fill="F2F4F7"/>
          </w:tcPr>
          <w:p>
            <w:r/>
            <w:r>
              <w:rPr>
                <w:rFonts w:ascii="Arial" w:hAnsi="Arial"/>
                <w:sz w:val="17"/>
              </w:rPr>
              <w:t>7571MN26F80064</w:t>
            </w:r>
          </w:p>
        </w:tc>
      </w:tr>
      <w:tr>
        <w:tc>
          <w:tcPr>
            <w:tcW w:type="dxa" w:w="3168"/>
          </w:tcPr>
          <w:p>
            <w:r/>
            <w:r>
              <w:rPr>
                <w:rFonts w:ascii="Arial" w:hAnsi="Arial"/>
                <w:sz w:val="17"/>
              </w:rPr>
              <w:t>Contractor</w:t>
            </w:r>
          </w:p>
        </w:tc>
        <w:tc>
          <w:tcPr>
            <w:tcW w:type="dxa" w:w="6192"/>
          </w:tcPr>
          <w:p>
            <w:r/>
            <w:r>
              <w:rPr>
                <w:rFonts w:ascii="Arial" w:hAnsi="Arial"/>
                <w:sz w:val="17"/>
              </w:rPr>
              <w:t>Alliance Global Tech, Inc. (AGT)</w:t>
            </w:r>
          </w:p>
        </w:tc>
      </w:tr>
      <w:tr>
        <w:tc>
          <w:tcPr>
            <w:tcW w:type="dxa" w:w="3168"/>
            <w:shd w:val="clear" w:color="auto" w:fill="F2F4F7"/>
          </w:tcPr>
          <w:p>
            <w:r/>
            <w:r>
              <w:rPr>
                <w:rFonts w:ascii="Arial" w:hAnsi="Arial"/>
                <w:sz w:val="17"/>
              </w:rPr>
              <w:t>CAGE Code</w:t>
            </w:r>
          </w:p>
        </w:tc>
        <w:tc>
          <w:tcPr>
            <w:tcW w:type="dxa" w:w="6192"/>
            <w:shd w:val="clear" w:color="auto" w:fill="F2F4F7"/>
          </w:tcPr>
          <w:p>
            <w:r/>
            <w:r>
              <w:rPr>
                <w:rFonts w:ascii="Arial" w:hAnsi="Arial"/>
                <w:sz w:val="17"/>
              </w:rPr>
              <w:t>8ERE8</w:t>
            </w:r>
          </w:p>
        </w:tc>
      </w:tr>
      <w:tr>
        <w:tc>
          <w:tcPr>
            <w:tcW w:type="dxa" w:w="3168"/>
          </w:tcPr>
          <w:p>
            <w:r/>
            <w:r>
              <w:rPr>
                <w:rFonts w:ascii="Arial" w:hAnsi="Arial"/>
                <w:sz w:val="17"/>
              </w:rPr>
              <w:t>UEI</w:t>
            </w:r>
          </w:p>
        </w:tc>
        <w:tc>
          <w:tcPr>
            <w:tcW w:type="dxa" w:w="6192"/>
          </w:tcPr>
          <w:p>
            <w:r/>
            <w:r>
              <w:rPr>
                <w:rFonts w:ascii="Arial" w:hAnsi="Arial"/>
                <w:sz w:val="17"/>
              </w:rPr>
              <w:t>MP2FLV1MAW93</w:t>
            </w:r>
          </w:p>
        </w:tc>
      </w:tr>
      <w:tr>
        <w:tc>
          <w:tcPr>
            <w:tcW w:type="dxa" w:w="3168"/>
            <w:shd w:val="clear" w:color="auto" w:fill="F2F4F7"/>
          </w:tcPr>
          <w:p>
            <w:r/>
            <w:r>
              <w:rPr>
                <w:rFonts w:ascii="Arial" w:hAnsi="Arial"/>
                <w:sz w:val="17"/>
              </w:rPr>
              <w:t>Contracting Officer</w:t>
            </w:r>
          </w:p>
        </w:tc>
        <w:tc>
          <w:tcPr>
            <w:tcW w:type="dxa" w:w="6192"/>
            <w:shd w:val="clear" w:color="auto" w:fill="F2F4F7"/>
          </w:tcPr>
          <w:p>
            <w:r/>
            <w:r>
              <w:rPr>
                <w:rFonts w:ascii="Arial" w:hAnsi="Arial"/>
                <w:sz w:val="17"/>
              </w:rPr>
              <w:t>Lydina M. Battle, HHS OMAS</w:t>
            </w:r>
          </w:p>
        </w:tc>
      </w:tr>
      <w:tr>
        <w:tc>
          <w:tcPr>
            <w:tcW w:type="dxa" w:w="3168"/>
          </w:tcPr>
          <w:p>
            <w:r/>
            <w:r>
              <w:rPr>
                <w:rFonts w:ascii="Arial" w:hAnsi="Arial"/>
                <w:sz w:val="17"/>
              </w:rPr>
              <w:t>Contracting Officer's Representative</w:t>
            </w:r>
          </w:p>
        </w:tc>
        <w:tc>
          <w:tcPr>
            <w:tcW w:type="dxa" w:w="6192"/>
          </w:tcPr>
          <w:p>
            <w:r/>
            <w:r>
              <w:rPr>
                <w:rFonts w:ascii="Arial" w:hAnsi="Arial"/>
                <w:sz w:val="17"/>
              </w:rPr>
              <w:t>Jeff Riordan, ONC</w:t>
            </w:r>
          </w:p>
        </w:tc>
      </w:tr>
      <w:tr>
        <w:tc>
          <w:tcPr>
            <w:tcW w:type="dxa" w:w="3168"/>
            <w:shd w:val="clear" w:color="auto" w:fill="F2F4F7"/>
          </w:tcPr>
          <w:p>
            <w:r/>
            <w:r>
              <w:rPr>
                <w:rFonts w:ascii="Arial" w:hAnsi="Arial"/>
                <w:sz w:val="17"/>
              </w:rPr>
              <w:t>Base Period of Performance</w:t>
            </w:r>
          </w:p>
        </w:tc>
        <w:tc>
          <w:tcPr>
            <w:tcW w:type="dxa" w:w="6192"/>
            <w:shd w:val="clear" w:color="auto" w:fill="F2F4F7"/>
          </w:tcPr>
          <w:p>
            <w:r/>
            <w:r>
              <w:rPr>
                <w:rFonts w:ascii="Arial" w:hAnsi="Arial"/>
                <w:sz w:val="17"/>
              </w:rPr>
              <w:t>25 June 2026 – 24 June 2027</w:t>
            </w:r>
          </w:p>
        </w:tc>
      </w:tr>
      <w:tr>
        <w:tc>
          <w:tcPr>
            <w:tcW w:type="dxa" w:w="3168"/>
          </w:tcPr>
          <w:p>
            <w:r/>
            <w:r>
              <w:rPr>
                <w:rFonts w:ascii="Arial" w:hAnsi="Arial"/>
                <w:sz w:val="17"/>
              </w:rPr>
              <w:t>Year 1 Value</w:t>
            </w:r>
          </w:p>
        </w:tc>
        <w:tc>
          <w:tcPr>
            <w:tcW w:type="dxa" w:w="6192"/>
          </w:tcPr>
          <w:p>
            <w:r/>
            <w:r>
              <w:rPr>
                <w:rFonts w:ascii="Arial" w:hAnsi="Arial"/>
                <w:sz w:val="17"/>
              </w:rPr>
              <w:t>$1,258,524</w:t>
            </w:r>
          </w:p>
        </w:tc>
      </w:tr>
      <w:tr>
        <w:tc>
          <w:tcPr>
            <w:tcW w:type="dxa" w:w="3168"/>
            <w:shd w:val="clear" w:color="auto" w:fill="F2F4F7"/>
          </w:tcPr>
          <w:p>
            <w:r/>
            <w:r>
              <w:rPr>
                <w:rFonts w:ascii="Arial" w:hAnsi="Arial"/>
                <w:sz w:val="17"/>
              </w:rPr>
              <w:t>Five-Year Ceiling</w:t>
            </w:r>
          </w:p>
        </w:tc>
        <w:tc>
          <w:tcPr>
            <w:tcW w:type="dxa" w:w="6192"/>
            <w:shd w:val="clear" w:color="auto" w:fill="F2F4F7"/>
          </w:tcPr>
          <w:p>
            <w:r/>
            <w:r>
              <w:rPr>
                <w:rFonts w:ascii="Arial" w:hAnsi="Arial"/>
                <w:sz w:val="17"/>
              </w:rPr>
              <w:t>$5,620,291</w:t>
            </w:r>
          </w:p>
        </w:tc>
      </w:tr>
      <w:tr>
        <w:tc>
          <w:tcPr>
            <w:tcW w:type="dxa" w:w="3168"/>
          </w:tcPr>
          <w:p>
            <w:r/>
            <w:r>
              <w:rPr>
                <w:rFonts w:ascii="Arial" w:hAnsi="Arial"/>
                <w:sz w:val="17"/>
              </w:rPr>
              <w:t>Author</w:t>
            </w:r>
          </w:p>
        </w:tc>
        <w:tc>
          <w:tcPr>
            <w:tcW w:type="dxa" w:w="6192"/>
          </w:tcPr>
          <w:p>
            <w:r/>
            <w:r>
              <w:rPr>
                <w:rFonts w:ascii="Arial" w:hAnsi="Arial"/>
                <w:sz w:val="17"/>
              </w:rPr>
              <w:t>Imran Siddiqui, Chief Executive Officer</w:t>
            </w:r>
          </w:p>
        </w:tc>
      </w:tr>
      <w:tr>
        <w:tc>
          <w:tcPr>
            <w:tcW w:type="dxa" w:w="3168"/>
            <w:shd w:val="clear" w:color="auto" w:fill="F2F4F7"/>
          </w:tcPr>
          <w:p>
            <w:r/>
            <w:r>
              <w:rPr>
                <w:rFonts w:ascii="Arial" w:hAnsi="Arial"/>
                <w:sz w:val="17"/>
              </w:rPr>
              <w:t>Classification</w:t>
            </w:r>
          </w:p>
        </w:tc>
        <w:tc>
          <w:tcPr>
            <w:tcW w:type="dxa" w:w="6192"/>
            <w:shd w:val="clear" w:color="auto" w:fill="F2F4F7"/>
          </w:tcPr>
          <w:p>
            <w:r/>
            <w:r>
              <w:rPr>
                <w:rFonts w:ascii="Arial" w:hAnsi="Arial"/>
                <w:sz w:val="17"/>
              </w:rPr>
              <w:t>CONFIDENTIAL — Controlled Unclassified Information (CUI)</w:t>
            </w:r>
          </w:p>
        </w:tc>
      </w:tr>
      <w:tr>
        <w:tc>
          <w:tcPr>
            <w:tcW w:type="dxa" w:w="3168"/>
          </w:tcPr>
          <w:p>
            <w:r/>
            <w:r>
              <w:rPr>
                <w:rFonts w:ascii="Arial" w:hAnsi="Arial"/>
                <w:sz w:val="17"/>
              </w:rPr>
              <w:t>Distribution</w:t>
            </w:r>
          </w:p>
        </w:tc>
        <w:tc>
          <w:tcPr>
            <w:tcW w:type="dxa" w:w="6192"/>
          </w:tcPr>
          <w:p>
            <w:r/>
            <w:r>
              <w:rPr>
                <w:rFonts w:ascii="Arial" w:hAnsi="Arial"/>
                <w:sz w:val="17"/>
              </w:rPr>
              <w:t>ASTP/ONC programme staff; AGT programme staff</w:t>
            </w:r>
          </w:p>
        </w:tc>
      </w:tr>
      <w:tr>
        <w:tc>
          <w:tcPr>
            <w:tcW w:type="dxa" w:w="3168"/>
            <w:shd w:val="clear" w:color="auto" w:fill="F2F4F7"/>
          </w:tcPr>
          <w:p>
            <w:r/>
            <w:r>
              <w:rPr>
                <w:rFonts w:ascii="Arial" w:hAnsi="Arial"/>
                <w:sz w:val="17"/>
              </w:rPr>
              <w:t>Related Documents</w:t>
            </w:r>
          </w:p>
        </w:tc>
        <w:tc>
          <w:tcPr>
            <w:tcW w:type="dxa" w:w="6192"/>
            <w:shd w:val="clear" w:color="auto" w:fill="F2F4F7"/>
          </w:tcPr>
          <w:p>
            <w:r/>
            <w:r>
              <w:rPr>
                <w:rFonts w:ascii="Arial" w:hAnsi="Arial"/>
                <w:sz w:val="17"/>
              </w:rPr>
              <w:t>AGT-REQ-001, AGT-EA-001, AGT-SD-001, AGT-DA-001, AGT-SA-001, AGT-TE-005, AGT-TE-006</w:t>
            </w:r>
          </w:p>
        </w:tc>
      </w:tr>
    </w:tbl>
    <w:p/>
    <w:p>
      <w:r>
        <w:br w:type="page"/>
      </w:r>
    </w:p>
    <w:p>
      <w:pPr>
        <w:pStyle w:val="Heading1"/>
      </w:pPr>
      <w:r>
        <w:t>Table of Contents</w:t>
      </w:r>
    </w:p>
    <w:p>
      <w:r>
        <w:fldChar w:fldCharType="begin"/>
      </w:r>
      <w:r>
        <w:instrText xml:space="preserve">TOC \o "1-3" \h \z \u</w:instrText>
      </w:r>
      <w:r>
        <w:fldChar w:fldCharType="separate"/>
      </w:r>
      <w:r>
        <w:t>1</w:t>
      </w:r>
      <w:r>
        <w:fldChar w:fldCharType="end"/>
      </w:r>
    </w:p>
    <w:p>
      <w:r>
        <w:rPr>
          <w:i/>
          <w:color w:val="666666"/>
          <w:sz w:val="16"/>
        </w:rPr>
        <w:t>If the contents above appear as a single line, open in Microsoft Word and press Ctrl+A then F9 to populate the table of contents.</w:t>
      </w:r>
    </w:p>
    <w:p>
      <w:r>
        <w:br w:type="page"/>
      </w:r>
    </w:p>
    <w:p>
      <w:pPr>
        <w:pStyle w:val="Heading1"/>
      </w:pPr>
      <w:r>
        <w:t>1. Executive Summary</w:t>
      </w:r>
    </w:p>
    <w:p>
      <w:r>
        <w:rPr>
          <w:rFonts w:ascii="Arial" w:hAnsi="Arial"/>
          <w:b w:val="0"/>
          <w:i w:val="0"/>
          <w:sz w:val="20"/>
        </w:rPr>
        <w:t>DocuAction is an automated entity verification and review platform built by Alliance Global Tech, Inc. (AGT) to support the Assistant Secretary for Technology Policy / Office of the National Coordinator for Health IT (ASTP/ONC) in reviewing the accuracy of the Trusted Exchange Framework and Common Agreement (TEFCA) participant registry.</w:t>
      </w:r>
    </w:p>
    <w:p>
      <w:pPr>
        <w:pStyle w:val="Heading2"/>
      </w:pPr>
      <w:r>
        <w:t>1.1 The problem</w:t>
      </w:r>
    </w:p>
    <w:p>
      <w:r>
        <w:rPr>
          <w:rFonts w:ascii="Arial" w:hAnsi="Arial"/>
          <w:b w:val="0"/>
          <w:i w:val="0"/>
          <w:sz w:val="20"/>
        </w:rPr>
        <w:t>Under TEFCA, Qualified Health Information Networks (QHINs) submit registry entries describing themselves, their Participants and their Sub-Participants. The resulting population is large — on the order of 96,000 entities and growing — and self-reported. ONC has no practical way to confirm, at that scale and by hand, that a registry entry corresponds to a real, currently operating, non-excluded healthcare organisation.</w:t>
      </w:r>
    </w:p>
    <w:p>
      <w:r>
        <w:rPr>
          <w:rFonts w:ascii="Arial" w:hAnsi="Arial"/>
          <w:b w:val="0"/>
          <w:i w:val="0"/>
          <w:sz w:val="20"/>
        </w:rPr>
        <w:t>Manual review does not close this gap. A reviewer verifying one entity against the National Plan and Provider Enumeration System (NPPES), the Provider Enrollment, Chain and Ownership System (PECOS) and the HHS Office of Inspector General List of Excluded Individuals and Entities (OIG LEIE) performs several minutes of work per record. Applied to the full population that is tens of thousands of staff-hours per cycle, and it produces a result that is out of date before it is finished.</w:t>
      </w:r>
    </w:p>
    <w:p>
      <w:pPr>
        <w:pStyle w:val="Heading2"/>
      </w:pPr>
      <w:r>
        <w:t>1.2 What DocuAction does</w:t>
      </w:r>
    </w:p>
    <w:p>
      <w:r>
        <w:rPr>
          <w:rFonts w:ascii="Arial" w:hAnsi="Arial"/>
          <w:b w:val="0"/>
          <w:i w:val="0"/>
          <w:sz w:val="20"/>
        </w:rPr>
        <w:t>DocuAction automates the verification and classification steps while keeping the judgement steps with people.</w:t>
      </w:r>
    </w:p>
    <w:p>
      <w:pPr>
        <w:pStyle w:val="ListBullet"/>
      </w:pPr>
      <w:r>
        <w:rPr>
          <w:rFonts w:ascii="Arial" w:hAnsi="Arial"/>
          <w:sz w:val="20"/>
        </w:rPr>
        <w:t>Ingests the registry population from ONC-supplied data.</w:t>
      </w:r>
    </w:p>
    <w:p>
      <w:pPr>
        <w:pStyle w:val="ListBullet"/>
      </w:pPr>
      <w:r>
        <w:rPr>
          <w:rFonts w:ascii="Arial" w:hAnsi="Arial"/>
          <w:sz w:val="20"/>
        </w:rPr>
        <w:t>Queries authoritative federal sources for each entity and records what each source actually returned, with a timestamp and a hash of the response.</w:t>
      </w:r>
    </w:p>
    <w:p>
      <w:pPr>
        <w:pStyle w:val="ListBullet"/>
      </w:pPr>
      <w:r>
        <w:rPr>
          <w:rFonts w:ascii="Arial" w:hAnsi="Arial"/>
          <w:sz w:val="20"/>
        </w:rPr>
        <w:t>Classifies each entity into one of four buckets (B1–B4) using a versioned, database-driven rule set, so the rule that produced a classification is recoverable months later.</w:t>
      </w:r>
    </w:p>
    <w:p>
      <w:pPr>
        <w:pStyle w:val="ListBullet"/>
      </w:pPr>
      <w:r>
        <w:rPr>
          <w:rFonts w:ascii="Arial" w:hAnsi="Arial"/>
          <w:sz w:val="20"/>
        </w:rPr>
        <w:t>Draws statistically valid samples using Cochran's formula with a finite population correction, and reports discrepancy rates with Wilson score confidence intervals.</w:t>
      </w:r>
    </w:p>
    <w:p>
      <w:pPr>
        <w:pStyle w:val="ListBullet"/>
      </w:pPr>
      <w:r>
        <w:rPr>
          <w:rFonts w:ascii="Arial" w:hAnsi="Arial"/>
          <w:sz w:val="20"/>
        </w:rPr>
        <w:t>Routes entities that cannot be resolved automatically (B3) to a human reviewer, and records that reviewer's decision and rationale.</w:t>
      </w:r>
    </w:p>
    <w:p>
      <w:pPr>
        <w:pStyle w:val="ListBullet"/>
      </w:pPr>
      <w:r>
        <w:rPr>
          <w:rFonts w:ascii="Arial" w:hAnsi="Arial"/>
          <w:sz w:val="20"/>
        </w:rPr>
        <w:t>Produces weekly and quarterly reports with a mandatory limitations section.</w:t>
      </w:r>
    </w:p>
    <w:p>
      <w:pPr>
        <w:pStyle w:val="Heading2"/>
      </w:pPr>
      <w:r>
        <w:t>1.3 Design principle: report what is known, disclose what is not</w:t>
      </w:r>
    </w:p>
    <w:p>
      <w:r>
        <w:rPr>
          <w:rFonts w:ascii="Arial" w:hAnsi="Arial"/>
          <w:b w:val="0"/>
          <w:i w:val="0"/>
          <w:sz w:val="20"/>
        </w:rPr>
        <w:t>The platform is built so that an absent answer is never presented as a clean answer. A source that is unreachable is recorded as 'unavailable'; a source that answered 'no record' is recorded as 'not_found'. These are different claims and the platform never conflates them — an outage is not a finding, and a finding is not an outage.</w:t>
      </w:r>
    </w:p>
    <w:p>
      <w:r>
        <w:rPr>
          <w:rFonts w:ascii="Arial" w:hAnsi="Arial"/>
          <w:b w:val="0"/>
          <w:i w:val="0"/>
          <w:sz w:val="20"/>
        </w:rPr>
        <w:t>The same principle governs reporting. Every report carries a limitations section that cannot be empty, and connectors that are not operational are disclosed rather than silently omitted from the confidence calculation.</w:t>
      </w:r>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DESIGN PRINCIPLE: </w:t>
            </w:r>
            <w:r>
              <w:rPr>
                <w:rFonts w:ascii="Arial" w:hAnsi="Arial"/>
                <w:sz w:val="18"/>
              </w:rPr>
              <w:t>This is the single most important property of the platform for ONC's purposes. A verification system that quietly degrades — reporting 'verified' when it simply could not check — is worse than no system, because it converts an unknown into a false assurance that no downstream reader can detect.</w:t>
            </w:r>
          </w:p>
        </w:tc>
      </w:tr>
    </w:tbl>
    <w:p/>
    <w:p>
      <w:pPr>
        <w:pStyle w:val="Heading2"/>
      </w:pPr>
      <w:r>
        <w:t>1.4 Who it serves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0B3C5D"/>
          </w:tcPr>
          <w:p>
            <w:r/>
            <w:r>
              <w:rPr>
                <w:rFonts w:ascii="Arial" w:hAnsi="Arial"/>
                <w:b/>
                <w:color w:val="FFFFFF"/>
                <w:sz w:val="17"/>
              </w:rPr>
              <w:t>Audience</w:t>
            </w:r>
          </w:p>
        </w:tc>
        <w:tc>
          <w:tcPr>
            <w:tcW w:type="dxa" w:w="6480"/>
            <w:shd w:val="clear" w:color="auto" w:fill="0B3C5D"/>
          </w:tcPr>
          <w:p>
            <w:r/>
            <w:r>
              <w:rPr>
                <w:rFonts w:ascii="Arial" w:hAnsi="Arial"/>
                <w:b/>
                <w:color w:val="FFFFFF"/>
                <w:sz w:val="17"/>
              </w:rPr>
              <w:t>Use</w:t>
            </w:r>
          </w:p>
        </w:tc>
      </w:tr>
      <w:tr>
        <w:tc>
          <w:tcPr>
            <w:tcW w:type="dxa" w:w="2880"/>
          </w:tcPr>
          <w:p>
            <w:r/>
            <w:r>
              <w:rPr>
                <w:rFonts w:ascii="Arial" w:hAnsi="Arial"/>
                <w:sz w:val="17"/>
              </w:rPr>
              <w:t>ASTP/ONC programme staff</w:t>
            </w:r>
          </w:p>
        </w:tc>
        <w:tc>
          <w:tcPr>
            <w:tcW w:type="dxa" w:w="6480"/>
          </w:tcPr>
          <w:p>
            <w:r/>
            <w:r>
              <w:rPr>
                <w:rFonts w:ascii="Arial" w:hAnsi="Arial"/>
                <w:sz w:val="17"/>
              </w:rPr>
              <w:t>Weekly and quarterly registry accuracy reports; priority review findings</w:t>
            </w:r>
          </w:p>
        </w:tc>
      </w:tr>
      <w:tr>
        <w:tc>
          <w:tcPr>
            <w:tcW w:type="dxa" w:w="2880"/>
            <w:shd w:val="clear" w:color="auto" w:fill="F2F4F7"/>
          </w:tcPr>
          <w:p>
            <w:r/>
            <w:r>
              <w:rPr>
                <w:rFonts w:ascii="Arial" w:hAnsi="Arial"/>
                <w:sz w:val="17"/>
              </w:rPr>
              <w:t>ONC methodology reviewers</w:t>
            </w:r>
          </w:p>
        </w:tc>
        <w:tc>
          <w:tcPr>
            <w:tcW w:type="dxa" w:w="6480"/>
            <w:shd w:val="clear" w:color="auto" w:fill="F2F4F7"/>
          </w:tcPr>
          <w:p>
            <w:r/>
            <w:r>
              <w:rPr>
                <w:rFonts w:ascii="Arial" w:hAnsi="Arial"/>
                <w:sz w:val="17"/>
              </w:rPr>
              <w:t>The documented review methodology, sampling design and control framework</w:t>
            </w:r>
          </w:p>
        </w:tc>
      </w:tr>
      <w:tr>
        <w:tc>
          <w:tcPr>
            <w:tcW w:type="dxa" w:w="2880"/>
          </w:tcPr>
          <w:p>
            <w:r/>
            <w:r>
              <w:rPr>
                <w:rFonts w:ascii="Arial" w:hAnsi="Arial"/>
                <w:sz w:val="17"/>
              </w:rPr>
              <w:t>QHINs (indirectly)</w:t>
            </w:r>
          </w:p>
        </w:tc>
        <w:tc>
          <w:tcPr>
            <w:tcW w:type="dxa" w:w="6480"/>
          </w:tcPr>
          <w:p>
            <w:r/>
            <w:r>
              <w:rPr>
                <w:rFonts w:ascii="Arial" w:hAnsi="Arial"/>
                <w:sz w:val="17"/>
              </w:rPr>
              <w:t>Corrective feedback arising from identified discrepancies</w:t>
            </w:r>
          </w:p>
        </w:tc>
      </w:tr>
      <w:tr>
        <w:tc>
          <w:tcPr>
            <w:tcW w:type="dxa" w:w="2880"/>
            <w:shd w:val="clear" w:color="auto" w:fill="F2F4F7"/>
          </w:tcPr>
          <w:p>
            <w:r/>
            <w:r>
              <w:rPr>
                <w:rFonts w:ascii="Arial" w:hAnsi="Arial"/>
                <w:sz w:val="17"/>
              </w:rPr>
              <w:t>AGT programme staff</w:t>
            </w:r>
          </w:p>
        </w:tc>
        <w:tc>
          <w:tcPr>
            <w:tcW w:type="dxa" w:w="6480"/>
            <w:shd w:val="clear" w:color="auto" w:fill="F2F4F7"/>
          </w:tcPr>
          <w:p>
            <w:r/>
            <w:r>
              <w:rPr>
                <w:rFonts w:ascii="Arial" w:hAnsi="Arial"/>
                <w:sz w:val="17"/>
              </w:rPr>
              <w:t>Operational dashboards, review queues and audit trail</w:t>
            </w:r>
          </w:p>
        </w:tc>
      </w:tr>
      <w:tr>
        <w:tc>
          <w:tcPr>
            <w:tcW w:type="dxa" w:w="2880"/>
          </w:tcPr>
          <w:p>
            <w:r/>
            <w:r>
              <w:rPr>
                <w:rFonts w:ascii="Arial" w:hAnsi="Arial"/>
                <w:sz w:val="17"/>
              </w:rPr>
              <w:t>Contracting officials</w:t>
            </w:r>
          </w:p>
        </w:tc>
        <w:tc>
          <w:tcPr>
            <w:tcW w:type="dxa" w:w="6480"/>
          </w:tcPr>
          <w:p>
            <w:r/>
            <w:r>
              <w:rPr>
                <w:rFonts w:ascii="Arial" w:hAnsi="Arial"/>
                <w:sz w:val="17"/>
              </w:rPr>
              <w:t>Deliverable status, closeout artefacts, CPARS-relevant performance evidence</w:t>
            </w:r>
          </w:p>
        </w:tc>
      </w:tr>
    </w:tbl>
    <w:p/>
    <w:p>
      <w:pPr>
        <w:pStyle w:val="Heading2"/>
      </w:pPr>
      <w:r>
        <w:t>1.5 Contract context</w:t>
      </w:r>
    </w:p>
    <w:tbl>
      <w:tblPr>
        <w:tblStyle w:val="TableGrid"/>
        <w:tblW w:type="auto" w:w="0"/>
        <w:jc w:val="center"/>
        <w:tblLook w:firstColumn="1" w:firstRow="1" w:lastColumn="0" w:lastRow="0" w:noHBand="0" w:noVBand="1" w:val="04A0"/>
      </w:tblPr>
      <w:tblGrid>
        <w:gridCol w:w="4680"/>
        <w:gridCol w:w="4680"/>
      </w:tblGrid>
      <w:tr>
        <w:tc>
          <w:tcPr>
            <w:tcW w:type="dxa" w:w="3456"/>
            <w:shd w:val="clear" w:color="auto" w:fill="0B3C5D"/>
          </w:tcPr>
          <w:p>
            <w:r/>
            <w:r>
              <w:rPr>
                <w:rFonts w:ascii="Arial" w:hAnsi="Arial"/>
                <w:b/>
                <w:color w:val="FFFFFF"/>
                <w:sz w:val="17"/>
              </w:rPr>
              <w:t>Field</w:t>
            </w:r>
          </w:p>
        </w:tc>
        <w:tc>
          <w:tcPr>
            <w:tcW w:type="dxa" w:w="5904"/>
            <w:shd w:val="clear" w:color="auto" w:fill="0B3C5D"/>
          </w:tcPr>
          <w:p>
            <w:r/>
            <w:r>
              <w:rPr>
                <w:rFonts w:ascii="Arial" w:hAnsi="Arial"/>
                <w:b/>
                <w:color w:val="FFFFFF"/>
                <w:sz w:val="17"/>
              </w:rPr>
              <w:t>Value</w:t>
            </w:r>
          </w:p>
        </w:tc>
      </w:tr>
      <w:tr>
        <w:tc>
          <w:tcPr>
            <w:tcW w:type="dxa" w:w="3456"/>
          </w:tcPr>
          <w:p>
            <w:r/>
            <w:r>
              <w:rPr>
                <w:rFonts w:ascii="Arial" w:hAnsi="Arial"/>
                <w:sz w:val="17"/>
              </w:rPr>
              <w:t>Contract number</w:t>
            </w:r>
          </w:p>
        </w:tc>
        <w:tc>
          <w:tcPr>
            <w:tcW w:type="dxa" w:w="5904"/>
          </w:tcPr>
          <w:p>
            <w:r/>
            <w:r>
              <w:rPr>
                <w:rFonts w:ascii="Arial" w:hAnsi="Arial"/>
                <w:sz w:val="17"/>
              </w:rPr>
              <w:t>7571MN26F80064</w:t>
            </w:r>
          </w:p>
        </w:tc>
      </w:tr>
      <w:tr>
        <w:tc>
          <w:tcPr>
            <w:tcW w:type="dxa" w:w="3456"/>
            <w:shd w:val="clear" w:color="auto" w:fill="F2F4F7"/>
          </w:tcPr>
          <w:p>
            <w:r/>
            <w:r>
              <w:rPr>
                <w:rFonts w:ascii="Arial" w:hAnsi="Arial"/>
                <w:sz w:val="17"/>
              </w:rPr>
              <w:t>Contracting activity</w:t>
            </w:r>
          </w:p>
        </w:tc>
        <w:tc>
          <w:tcPr>
            <w:tcW w:type="dxa" w:w="5904"/>
            <w:shd w:val="clear" w:color="auto" w:fill="F2F4F7"/>
          </w:tcPr>
          <w:p>
            <w:r/>
            <w:r>
              <w:rPr>
                <w:rFonts w:ascii="Arial" w:hAnsi="Arial"/>
                <w:sz w:val="17"/>
              </w:rPr>
              <w:t>HHS Office of Management and Acquisition Services (OMAS)</w:t>
            </w:r>
          </w:p>
        </w:tc>
      </w:tr>
      <w:tr>
        <w:tc>
          <w:tcPr>
            <w:tcW w:type="dxa" w:w="3456"/>
          </w:tcPr>
          <w:p>
            <w:r/>
            <w:r>
              <w:rPr>
                <w:rFonts w:ascii="Arial" w:hAnsi="Arial"/>
                <w:sz w:val="17"/>
              </w:rPr>
              <w:t>Contracting Officer</w:t>
            </w:r>
          </w:p>
        </w:tc>
        <w:tc>
          <w:tcPr>
            <w:tcW w:type="dxa" w:w="5904"/>
          </w:tcPr>
          <w:p>
            <w:r/>
            <w:r>
              <w:rPr>
                <w:rFonts w:ascii="Arial" w:hAnsi="Arial"/>
                <w:sz w:val="17"/>
              </w:rPr>
              <w:t>Lydina M. Battle</w:t>
            </w:r>
          </w:p>
        </w:tc>
      </w:tr>
      <w:tr>
        <w:tc>
          <w:tcPr>
            <w:tcW w:type="dxa" w:w="3456"/>
            <w:shd w:val="clear" w:color="auto" w:fill="F2F4F7"/>
          </w:tcPr>
          <w:p>
            <w:r/>
            <w:r>
              <w:rPr>
                <w:rFonts w:ascii="Arial" w:hAnsi="Arial"/>
                <w:sz w:val="17"/>
              </w:rPr>
              <w:t>Contracting Officer's Representative</w:t>
            </w:r>
          </w:p>
        </w:tc>
        <w:tc>
          <w:tcPr>
            <w:tcW w:type="dxa" w:w="5904"/>
            <w:shd w:val="clear" w:color="auto" w:fill="F2F4F7"/>
          </w:tcPr>
          <w:p>
            <w:r/>
            <w:r>
              <w:rPr>
                <w:rFonts w:ascii="Arial" w:hAnsi="Arial"/>
                <w:sz w:val="17"/>
              </w:rPr>
              <w:t>Jeff Riordan, ONC</w:t>
            </w:r>
          </w:p>
        </w:tc>
      </w:tr>
      <w:tr>
        <w:tc>
          <w:tcPr>
            <w:tcW w:type="dxa" w:w="3456"/>
          </w:tcPr>
          <w:p>
            <w:r/>
            <w:r>
              <w:rPr>
                <w:rFonts w:ascii="Arial" w:hAnsi="Arial"/>
                <w:sz w:val="17"/>
              </w:rPr>
              <w:t>Contractor</w:t>
            </w:r>
          </w:p>
        </w:tc>
        <w:tc>
          <w:tcPr>
            <w:tcW w:type="dxa" w:w="5904"/>
          </w:tcPr>
          <w:p>
            <w:r/>
            <w:r>
              <w:rPr>
                <w:rFonts w:ascii="Arial" w:hAnsi="Arial"/>
                <w:sz w:val="17"/>
              </w:rPr>
              <w:t>Alliance Global Tech, Inc.</w:t>
            </w:r>
          </w:p>
        </w:tc>
      </w:tr>
      <w:tr>
        <w:tc>
          <w:tcPr>
            <w:tcW w:type="dxa" w:w="3456"/>
            <w:shd w:val="clear" w:color="auto" w:fill="F2F4F7"/>
          </w:tcPr>
          <w:p>
            <w:r/>
            <w:r>
              <w:rPr>
                <w:rFonts w:ascii="Arial" w:hAnsi="Arial"/>
                <w:sz w:val="17"/>
              </w:rPr>
              <w:t>CAGE / UEI</w:t>
            </w:r>
          </w:p>
        </w:tc>
        <w:tc>
          <w:tcPr>
            <w:tcW w:type="dxa" w:w="5904"/>
            <w:shd w:val="clear" w:color="auto" w:fill="F2F4F7"/>
          </w:tcPr>
          <w:p>
            <w:r/>
            <w:r>
              <w:rPr>
                <w:rFonts w:ascii="Arial" w:hAnsi="Arial"/>
                <w:sz w:val="17"/>
              </w:rPr>
              <w:t>8ERE8 / MP2FLV1MAW93</w:t>
            </w:r>
          </w:p>
        </w:tc>
      </w:tr>
      <w:tr>
        <w:tc>
          <w:tcPr>
            <w:tcW w:type="dxa" w:w="3456"/>
          </w:tcPr>
          <w:p>
            <w:r/>
            <w:r>
              <w:rPr>
                <w:rFonts w:ascii="Arial" w:hAnsi="Arial"/>
                <w:sz w:val="17"/>
              </w:rPr>
              <w:t>Base period</w:t>
            </w:r>
          </w:p>
        </w:tc>
        <w:tc>
          <w:tcPr>
            <w:tcW w:type="dxa" w:w="5904"/>
          </w:tcPr>
          <w:p>
            <w:r/>
            <w:r>
              <w:rPr>
                <w:rFonts w:ascii="Arial" w:hAnsi="Arial"/>
                <w:sz w:val="17"/>
              </w:rPr>
              <w:t>25 June 2026 – 24 June 2027</w:t>
            </w:r>
          </w:p>
        </w:tc>
      </w:tr>
      <w:tr>
        <w:tc>
          <w:tcPr>
            <w:tcW w:type="dxa" w:w="3456"/>
            <w:shd w:val="clear" w:color="auto" w:fill="F2F4F7"/>
          </w:tcPr>
          <w:p>
            <w:r/>
            <w:r>
              <w:rPr>
                <w:rFonts w:ascii="Arial" w:hAnsi="Arial"/>
                <w:sz w:val="17"/>
              </w:rPr>
              <w:t>Year 1 value</w:t>
            </w:r>
          </w:p>
        </w:tc>
        <w:tc>
          <w:tcPr>
            <w:tcW w:type="dxa" w:w="5904"/>
            <w:shd w:val="clear" w:color="auto" w:fill="F2F4F7"/>
          </w:tcPr>
          <w:p>
            <w:r/>
            <w:r>
              <w:rPr>
                <w:rFonts w:ascii="Arial" w:hAnsi="Arial"/>
                <w:sz w:val="17"/>
              </w:rPr>
              <w:t>$1,258,524</w:t>
            </w:r>
          </w:p>
        </w:tc>
      </w:tr>
      <w:tr>
        <w:tc>
          <w:tcPr>
            <w:tcW w:type="dxa" w:w="3456"/>
          </w:tcPr>
          <w:p>
            <w:r/>
            <w:r>
              <w:rPr>
                <w:rFonts w:ascii="Arial" w:hAnsi="Arial"/>
                <w:sz w:val="17"/>
              </w:rPr>
              <w:t>Five-year ceiling</w:t>
            </w:r>
          </w:p>
        </w:tc>
        <w:tc>
          <w:tcPr>
            <w:tcW w:type="dxa" w:w="5904"/>
          </w:tcPr>
          <w:p>
            <w:r/>
            <w:r>
              <w:rPr>
                <w:rFonts w:ascii="Arial" w:hAnsi="Arial"/>
                <w:sz w:val="17"/>
              </w:rPr>
              <w:t>$5,620,291</w:t>
            </w:r>
          </w:p>
        </w:tc>
      </w:tr>
      <w:tr>
        <w:tc>
          <w:tcPr>
            <w:tcW w:type="dxa" w:w="3456"/>
            <w:shd w:val="clear" w:color="auto" w:fill="F2F4F7"/>
          </w:tcPr>
          <w:p>
            <w:r/>
            <w:r>
              <w:rPr>
                <w:rFonts w:ascii="Arial" w:hAnsi="Arial"/>
                <w:sz w:val="17"/>
              </w:rPr>
              <w:t>Vehicle</w:t>
            </w:r>
          </w:p>
        </w:tc>
        <w:tc>
          <w:tcPr>
            <w:tcW w:type="dxa" w:w="5904"/>
            <w:shd w:val="clear" w:color="auto" w:fill="F2F4F7"/>
          </w:tcPr>
          <w:p>
            <w:r/>
            <w:r>
              <w:rPr>
                <w:rFonts w:ascii="Arial" w:hAnsi="Arial"/>
                <w:sz w:val="17"/>
              </w:rPr>
              <w:t>GSA MAS 47QTCA21D003M</w:t>
            </w:r>
          </w:p>
        </w:tc>
      </w:tr>
      <w:tr>
        <w:tc>
          <w:tcPr>
            <w:tcW w:type="dxa" w:w="3456"/>
          </w:tcPr>
          <w:p>
            <w:r/>
            <w:r>
              <w:rPr>
                <w:rFonts w:ascii="Arial" w:hAnsi="Arial"/>
                <w:sz w:val="17"/>
              </w:rPr>
              <w:t>Tasks</w:t>
            </w:r>
          </w:p>
        </w:tc>
        <w:tc>
          <w:tcPr>
            <w:tcW w:type="dxa" w:w="5904"/>
          </w:tcPr>
          <w:p>
            <w:r/>
            <w:r>
              <w:rPr>
                <w:rFonts w:ascii="Arial" w:hAnsi="Arial"/>
                <w:sz w:val="17"/>
              </w:rPr>
              <w:t>1 — Kick-off &amp; onboarding; 2 — Review methodology &amp; control framework; 3 — Retrospective review; 4 — Ongoing review; 5 — Priority reviews; 6 — Contract closeout</w:t>
            </w:r>
          </w:p>
        </w:tc>
      </w:tr>
    </w:tbl>
    <w:p/>
    <w:p>
      <w:r>
        <w:br w:type="page"/>
      </w:r>
    </w:p>
    <w:p>
      <w:pPr>
        <w:pStyle w:val="Heading1"/>
      </w:pPr>
      <w:r>
        <w:t>2. Business Case</w:t>
      </w:r>
    </w:p>
    <w:p>
      <w:pPr>
        <w:pStyle w:val="Heading2"/>
      </w:pPr>
      <w:r>
        <w:t>2.1 The gap AGT set out to fill</w:t>
      </w:r>
    </w:p>
    <w:p>
      <w:r>
        <w:rPr>
          <w:rFonts w:ascii="Arial" w:hAnsi="Arial"/>
          <w:b w:val="0"/>
          <w:i w:val="0"/>
          <w:sz w:val="20"/>
        </w:rPr>
        <w:t>TEFCA registry accuracy is a precondition for trust in the exchange framework. If a registry entry does not correspond to a real, currently operating and non-excluded organisation, then the network of trust built on that registry inherits the error. The gap is not one of policy — the Common Agreement is clear on what participants must be — but of verification capacity at scale.</w:t>
      </w:r>
    </w:p>
    <w:p>
      <w:pPr>
        <w:pStyle w:val="Heading2"/>
      </w:pPr>
      <w:r>
        <w:t>2.2 Manual versus automated verification</w:t>
      </w:r>
    </w:p>
    <w:p>
      <w:r>
        <w:rPr>
          <w:rFonts w:ascii="Arial" w:hAnsi="Arial"/>
          <w:b w:val="0"/>
          <w:i w:val="0"/>
          <w:sz w:val="20"/>
        </w:rPr>
        <w:t>The comparison below is presented as a model, not a measurement. The automated figures derive from measured platform performance; the manual figures are an estimate of skilled analyst effort and are labelled as such.</w:t>
      </w:r>
    </w:p>
    <w:tbl>
      <w:tblPr>
        <w:tblStyle w:val="TableGrid"/>
        <w:tblW w:type="auto" w:w="0"/>
        <w:jc w:val="center"/>
        <w:tblLook w:firstColumn="1" w:firstRow="1" w:lastColumn="0" w:lastRow="0" w:noHBand="0" w:noVBand="1" w:val="04A0"/>
      </w:tblPr>
      <w:tblGrid>
        <w:gridCol w:w="3120"/>
        <w:gridCol w:w="3120"/>
        <w:gridCol w:w="3120"/>
      </w:tblGrid>
      <w:tr>
        <w:tc>
          <w:tcPr>
            <w:tcW w:type="dxa" w:w="2448"/>
            <w:shd w:val="clear" w:color="auto" w:fill="0B3C5D"/>
          </w:tcPr>
          <w:p>
            <w:r/>
            <w:r>
              <w:rPr>
                <w:rFonts w:ascii="Arial" w:hAnsi="Arial"/>
                <w:b/>
                <w:color w:val="FFFFFF"/>
                <w:sz w:val="17"/>
              </w:rPr>
              <w:t>Dimension</w:t>
            </w:r>
          </w:p>
        </w:tc>
        <w:tc>
          <w:tcPr>
            <w:tcW w:type="dxa" w:w="3312"/>
            <w:shd w:val="clear" w:color="auto" w:fill="0B3C5D"/>
          </w:tcPr>
          <w:p>
            <w:r/>
            <w:r>
              <w:rPr>
                <w:rFonts w:ascii="Arial" w:hAnsi="Arial"/>
                <w:b/>
                <w:color w:val="FFFFFF"/>
                <w:sz w:val="17"/>
              </w:rPr>
              <w:t>Manual review</w:t>
            </w:r>
          </w:p>
        </w:tc>
        <w:tc>
          <w:tcPr>
            <w:tcW w:type="dxa" w:w="3600"/>
            <w:shd w:val="clear" w:color="auto" w:fill="0B3C5D"/>
          </w:tcPr>
          <w:p>
            <w:r/>
            <w:r>
              <w:rPr>
                <w:rFonts w:ascii="Arial" w:hAnsi="Arial"/>
                <w:b/>
                <w:color w:val="FFFFFF"/>
                <w:sz w:val="17"/>
              </w:rPr>
              <w:t>DocuAction</w:t>
            </w:r>
          </w:p>
        </w:tc>
      </w:tr>
      <w:tr>
        <w:tc>
          <w:tcPr>
            <w:tcW w:type="dxa" w:w="2448"/>
          </w:tcPr>
          <w:p>
            <w:r/>
            <w:r>
              <w:rPr>
                <w:rFonts w:ascii="Arial" w:hAnsi="Arial"/>
                <w:sz w:val="17"/>
              </w:rPr>
              <w:t>Sources checked per entity</w:t>
            </w:r>
          </w:p>
        </w:tc>
        <w:tc>
          <w:tcPr>
            <w:tcW w:type="dxa" w:w="3312"/>
          </w:tcPr>
          <w:p>
            <w:r/>
            <w:r>
              <w:rPr>
                <w:rFonts w:ascii="Arial" w:hAnsi="Arial"/>
                <w:sz w:val="17"/>
              </w:rPr>
              <w:t>Analyst opens each portal separately</w:t>
            </w:r>
          </w:p>
        </w:tc>
        <w:tc>
          <w:tcPr>
            <w:tcW w:type="dxa" w:w="3600"/>
          </w:tcPr>
          <w:p>
            <w:r/>
            <w:r>
              <w:rPr>
                <w:rFonts w:ascii="Arial" w:hAnsi="Arial"/>
                <w:sz w:val="17"/>
              </w:rPr>
              <w:t>Queried in parallel per entity</w:t>
            </w:r>
          </w:p>
        </w:tc>
      </w:tr>
      <w:tr>
        <w:tc>
          <w:tcPr>
            <w:tcW w:type="dxa" w:w="2448"/>
            <w:shd w:val="clear" w:color="auto" w:fill="F2F4F7"/>
          </w:tcPr>
          <w:p>
            <w:r/>
            <w:r>
              <w:rPr>
                <w:rFonts w:ascii="Arial" w:hAnsi="Arial"/>
                <w:sz w:val="17"/>
              </w:rPr>
              <w:t>Measured verification latency</w:t>
            </w:r>
          </w:p>
        </w:tc>
        <w:tc>
          <w:tcPr>
            <w:tcW w:type="dxa" w:w="3312"/>
            <w:shd w:val="clear" w:color="auto" w:fill="F2F4F7"/>
          </w:tcPr>
          <w:p>
            <w:r/>
            <w:r>
              <w:rPr>
                <w:rFonts w:ascii="Arial" w:hAnsi="Arial"/>
                <w:sz w:val="17"/>
              </w:rPr>
              <w:t>Estimated several minutes per entity</w:t>
            </w:r>
          </w:p>
        </w:tc>
        <w:tc>
          <w:tcPr>
            <w:tcW w:type="dxa" w:w="3600"/>
            <w:shd w:val="clear" w:color="auto" w:fill="F2F4F7"/>
          </w:tcPr>
          <w:p>
            <w:r/>
            <w:r>
              <w:rPr>
                <w:rFonts w:ascii="Arial" w:hAnsi="Arial"/>
                <w:sz w:val="17"/>
              </w:rPr>
              <w:t>1.84 s mean (n=10, measured, includes live third-party latency)</w:t>
            </w:r>
          </w:p>
        </w:tc>
      </w:tr>
      <w:tr>
        <w:tc>
          <w:tcPr>
            <w:tcW w:type="dxa" w:w="2448"/>
          </w:tcPr>
          <w:p>
            <w:r/>
            <w:r>
              <w:rPr>
                <w:rFonts w:ascii="Arial" w:hAnsi="Arial"/>
                <w:sz w:val="17"/>
              </w:rPr>
              <w:t>Consistency</w:t>
            </w:r>
          </w:p>
        </w:tc>
        <w:tc>
          <w:tcPr>
            <w:tcW w:type="dxa" w:w="3312"/>
          </w:tcPr>
          <w:p>
            <w:r/>
            <w:r>
              <w:rPr>
                <w:rFonts w:ascii="Arial" w:hAnsi="Arial"/>
                <w:sz w:val="17"/>
              </w:rPr>
              <w:t>Varies by analyst and by day</w:t>
            </w:r>
          </w:p>
        </w:tc>
        <w:tc>
          <w:tcPr>
            <w:tcW w:type="dxa" w:w="3600"/>
          </w:tcPr>
          <w:p>
            <w:r/>
            <w:r>
              <w:rPr>
                <w:rFonts w:ascii="Arial" w:hAnsi="Arial"/>
                <w:sz w:val="17"/>
              </w:rPr>
              <w:t>Same versioned rule set applied to every entity</w:t>
            </w:r>
          </w:p>
        </w:tc>
      </w:tr>
      <w:tr>
        <w:tc>
          <w:tcPr>
            <w:tcW w:type="dxa" w:w="2448"/>
            <w:shd w:val="clear" w:color="auto" w:fill="F2F4F7"/>
          </w:tcPr>
          <w:p>
            <w:r/>
            <w:r>
              <w:rPr>
                <w:rFonts w:ascii="Arial" w:hAnsi="Arial"/>
                <w:sz w:val="17"/>
              </w:rPr>
              <w:t>Auditability</w:t>
            </w:r>
          </w:p>
        </w:tc>
        <w:tc>
          <w:tcPr>
            <w:tcW w:type="dxa" w:w="3312"/>
            <w:shd w:val="clear" w:color="auto" w:fill="F2F4F7"/>
          </w:tcPr>
          <w:p>
            <w:r/>
            <w:r>
              <w:rPr>
                <w:rFonts w:ascii="Arial" w:hAnsi="Arial"/>
                <w:sz w:val="17"/>
              </w:rPr>
              <w:t>Notes and spreadsheets</w:t>
            </w:r>
          </w:p>
        </w:tc>
        <w:tc>
          <w:tcPr>
            <w:tcW w:type="dxa" w:w="3600"/>
            <w:shd w:val="clear" w:color="auto" w:fill="F2F4F7"/>
          </w:tcPr>
          <w:p>
            <w:r/>
            <w:r>
              <w:rPr>
                <w:rFonts w:ascii="Arial" w:hAnsi="Arial"/>
                <w:sz w:val="17"/>
              </w:rPr>
              <w:t>Immutable audit trail; response hash and timestamp per source</w:t>
            </w:r>
          </w:p>
        </w:tc>
      </w:tr>
      <w:tr>
        <w:tc>
          <w:tcPr>
            <w:tcW w:type="dxa" w:w="2448"/>
          </w:tcPr>
          <w:p>
            <w:r/>
            <w:r>
              <w:rPr>
                <w:rFonts w:ascii="Arial" w:hAnsi="Arial"/>
                <w:sz w:val="17"/>
              </w:rPr>
              <w:t>Reproducibility of a sample</w:t>
            </w:r>
          </w:p>
        </w:tc>
        <w:tc>
          <w:tcPr>
            <w:tcW w:type="dxa" w:w="3312"/>
          </w:tcPr>
          <w:p>
            <w:r/>
            <w:r>
              <w:rPr>
                <w:rFonts w:ascii="Arial" w:hAnsi="Arial"/>
                <w:sz w:val="17"/>
              </w:rPr>
              <w:t>Not reproducible</w:t>
            </w:r>
          </w:p>
        </w:tc>
        <w:tc>
          <w:tcPr>
            <w:tcW w:type="dxa" w:w="3600"/>
          </w:tcPr>
          <w:p>
            <w:r/>
            <w:r>
              <w:rPr>
                <w:rFonts w:ascii="Arial" w:hAnsi="Arial"/>
                <w:sz w:val="17"/>
              </w:rPr>
              <w:t>Same random seed reproduces the same sample</w:t>
            </w:r>
          </w:p>
        </w:tc>
      </w:tr>
      <w:tr>
        <w:tc>
          <w:tcPr>
            <w:tcW w:type="dxa" w:w="2448"/>
            <w:shd w:val="clear" w:color="auto" w:fill="F2F4F7"/>
          </w:tcPr>
          <w:p>
            <w:r/>
            <w:r>
              <w:rPr>
                <w:rFonts w:ascii="Arial" w:hAnsi="Arial"/>
                <w:sz w:val="17"/>
              </w:rPr>
              <w:t>Rule change</w:t>
            </w:r>
          </w:p>
        </w:tc>
        <w:tc>
          <w:tcPr>
            <w:tcW w:type="dxa" w:w="3312"/>
            <w:shd w:val="clear" w:color="auto" w:fill="F2F4F7"/>
          </w:tcPr>
          <w:p>
            <w:r/>
            <w:r>
              <w:rPr>
                <w:rFonts w:ascii="Arial" w:hAnsi="Arial"/>
                <w:sz w:val="17"/>
              </w:rPr>
              <w:t>Retraining and re-communication</w:t>
            </w:r>
          </w:p>
        </w:tc>
        <w:tc>
          <w:tcPr>
            <w:tcW w:type="dxa" w:w="3600"/>
            <w:shd w:val="clear" w:color="auto" w:fill="F2F4F7"/>
          </w:tcPr>
          <w:p>
            <w:r/>
            <w:r>
              <w:rPr>
                <w:rFonts w:ascii="Arial" w:hAnsi="Arial"/>
                <w:sz w:val="17"/>
              </w:rPr>
              <w:t>New rule version with an effective date; prior version retired, not deleted</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CAUTION: </w:t>
            </w:r>
            <w:r>
              <w:rPr>
                <w:rFonts w:ascii="Arial" w:hAnsi="Arial"/>
                <w:sz w:val="18"/>
              </w:rPr>
              <w:t>The estimated manual figures above have not been measured under this contract and must not be cited as a benchmark. They are included to frame the order-of-magnitude difference, not to quantify a saving.</w:t>
            </w:r>
          </w:p>
        </w:tc>
      </w:tr>
    </w:tbl>
    <w:p/>
    <w:p>
      <w:pPr>
        <w:pStyle w:val="Heading2"/>
      </w:pPr>
      <w:r>
        <w:t>2.3 Return to ONC</w:t>
      </w:r>
    </w:p>
    <w:p>
      <w:pPr>
        <w:pStyle w:val="ListBullet"/>
      </w:pPr>
      <w:r>
        <w:rPr>
          <w:rFonts w:ascii="Arial" w:hAnsi="Arial"/>
          <w:sz w:val="20"/>
        </w:rPr>
        <w:t>Coverage: the full registry population becomes reviewable rather than only a hand-sampled fraction.</w:t>
      </w:r>
    </w:p>
    <w:p>
      <w:pPr>
        <w:pStyle w:val="ListBullet"/>
      </w:pPr>
      <w:r>
        <w:rPr>
          <w:rFonts w:ascii="Arial" w:hAnsi="Arial"/>
          <w:sz w:val="20"/>
        </w:rPr>
        <w:t>Defensibility: every classification cites the rule version and the source responses that produced it, so a challenged finding can be reconstructed.</w:t>
      </w:r>
    </w:p>
    <w:p>
      <w:pPr>
        <w:pStyle w:val="ListBullet"/>
      </w:pPr>
      <w:r>
        <w:rPr>
          <w:rFonts w:ascii="Arial" w:hAnsi="Arial"/>
          <w:sz w:val="20"/>
        </w:rPr>
        <w:t>Statistical rigour: sample sizes and confidence intervals are computed, not asserted.</w:t>
      </w:r>
    </w:p>
    <w:p>
      <w:pPr>
        <w:pStyle w:val="ListBullet"/>
      </w:pPr>
      <w:r>
        <w:rPr>
          <w:rFonts w:ascii="Arial" w:hAnsi="Arial"/>
          <w:sz w:val="20"/>
        </w:rPr>
        <w:t>Reusability: the same engine serves the ongoing review task without rebuild, and the methodology transfers to ONC at closeout under Task 6.</w:t>
      </w:r>
    </w:p>
    <w:p>
      <w:pPr>
        <w:pStyle w:val="Heading2"/>
      </w:pPr>
      <w:r>
        <w:t>2.4 Why AGT built it rather than buying it</w:t>
      </w:r>
    </w:p>
    <w:p>
      <w:r>
        <w:rPr>
          <w:rFonts w:ascii="Arial" w:hAnsi="Arial"/>
          <w:b w:val="0"/>
          <w:i w:val="0"/>
          <w:sz w:val="20"/>
        </w:rPr>
        <w:t>No commercial product performs TEFCA-specific entity verification. The authoritative sources are federal and free at the point of use (NPPES, PECOS, OIG LEIE); the classification logic is specific to the review methodology agreed with ONC; and the deliverable at closeout includes the methodology, framework and source code themselves. A commercial black box could not satisfy the government rights obligations in Task 6.</w:t>
      </w:r>
    </w:p>
    <w:p>
      <w:r>
        <w:br w:type="page"/>
      </w:r>
    </w:p>
    <w:p>
      <w:pPr>
        <w:pStyle w:val="Heading1"/>
      </w:pPr>
      <w:r>
        <w:t>3. Vision</w:t>
      </w:r>
    </w:p>
    <w:p>
      <w:r>
        <w:rPr>
          <w:rFonts w:ascii="Arial" w:hAnsi="Arial"/>
          <w:b w:val="0"/>
          <w:i w:val="0"/>
          <w:sz w:val="20"/>
        </w:rPr>
        <w:t>DocuAction is designed as a configurable verification engine, not as a single-purpose TEFCA tool. The classification rules live in the database with versions and effective dates; the authoritative sources are pluggable connectors behind a common result contract; the sampling and reporting layers are agnostic to what is being sampled.</w:t>
      </w:r>
    </w:p>
    <w:p>
      <w:pPr>
        <w:pStyle w:val="Heading2"/>
      </w:pPr>
      <w:r>
        <w:t>3.1 Today — ASTP/ONC</w:t>
      </w:r>
    </w:p>
    <w:p>
      <w:r>
        <w:rPr>
          <w:rFonts w:ascii="Arial" w:hAnsi="Arial"/>
          <w:b w:val="0"/>
          <w:i w:val="0"/>
          <w:sz w:val="20"/>
        </w:rPr>
        <w:t>TEFCA registry accuracy review under Contract 7571MN26F80064: retrospective review, ongoing review, priority reviews and closeout.</w:t>
      </w:r>
    </w:p>
    <w:p>
      <w:pPr>
        <w:pStyle w:val="Heading2"/>
      </w:pPr>
      <w:r>
        <w:t>3.2 Adjacent applications (illustrative, not committed)</w:t>
      </w:r>
    </w:p>
    <w:tbl>
      <w:tblPr>
        <w:tblStyle w:val="TableGrid"/>
        <w:tblW w:type="auto" w:w="0"/>
        <w:jc w:val="center"/>
        <w:tblLook w:firstColumn="1" w:firstRow="1" w:lastColumn="0" w:lastRow="0" w:noHBand="0" w:noVBand="1" w:val="04A0"/>
      </w:tblPr>
      <w:tblGrid>
        <w:gridCol w:w="3120"/>
        <w:gridCol w:w="3120"/>
        <w:gridCol w:w="3120"/>
      </w:tblGrid>
      <w:tr>
        <w:tc>
          <w:tcPr>
            <w:tcW w:type="dxa" w:w="1584"/>
            <w:shd w:val="clear" w:color="auto" w:fill="0B3C5D"/>
          </w:tcPr>
          <w:p>
            <w:r/>
            <w:r>
              <w:rPr>
                <w:rFonts w:ascii="Arial" w:hAnsi="Arial"/>
                <w:b/>
                <w:color w:val="FFFFFF"/>
                <w:sz w:val="17"/>
              </w:rPr>
              <w:t>Agency</w:t>
            </w:r>
          </w:p>
        </w:tc>
        <w:tc>
          <w:tcPr>
            <w:tcW w:type="dxa" w:w="3888"/>
            <w:shd w:val="clear" w:color="auto" w:fill="0B3C5D"/>
          </w:tcPr>
          <w:p>
            <w:r/>
            <w:r>
              <w:rPr>
                <w:rFonts w:ascii="Arial" w:hAnsi="Arial"/>
                <w:b/>
                <w:color w:val="FFFFFF"/>
                <w:sz w:val="17"/>
              </w:rPr>
              <w:t>Candidate application</w:t>
            </w:r>
          </w:p>
        </w:tc>
        <w:tc>
          <w:tcPr>
            <w:tcW w:type="dxa" w:w="3888"/>
            <w:shd w:val="clear" w:color="auto" w:fill="0B3C5D"/>
          </w:tcPr>
          <w:p>
            <w:r/>
            <w:r>
              <w:rPr>
                <w:rFonts w:ascii="Arial" w:hAnsi="Arial"/>
                <w:b/>
                <w:color w:val="FFFFFF"/>
                <w:sz w:val="17"/>
              </w:rPr>
              <w:t>Reuse</w:t>
            </w:r>
          </w:p>
        </w:tc>
      </w:tr>
      <w:tr>
        <w:tc>
          <w:tcPr>
            <w:tcW w:type="dxa" w:w="1584"/>
          </w:tcPr>
          <w:p>
            <w:r/>
            <w:r>
              <w:rPr>
                <w:rFonts w:ascii="Arial" w:hAnsi="Arial"/>
                <w:sz w:val="17"/>
              </w:rPr>
              <w:t>CMS</w:t>
            </w:r>
          </w:p>
        </w:tc>
        <w:tc>
          <w:tcPr>
            <w:tcW w:type="dxa" w:w="3888"/>
          </w:tcPr>
          <w:p>
            <w:r/>
            <w:r>
              <w:rPr>
                <w:rFonts w:ascii="Arial" w:hAnsi="Arial"/>
                <w:sz w:val="17"/>
              </w:rPr>
              <w:t>Provider enrolment and directory accuracy</w:t>
            </w:r>
          </w:p>
        </w:tc>
        <w:tc>
          <w:tcPr>
            <w:tcW w:type="dxa" w:w="3888"/>
          </w:tcPr>
          <w:p>
            <w:r/>
            <w:r>
              <w:rPr>
                <w:rFonts w:ascii="Arial" w:hAnsi="Arial"/>
                <w:sz w:val="17"/>
              </w:rPr>
              <w:t>NPPES, PECOS and OIG LEIE connectors already built</w:t>
            </w:r>
          </w:p>
        </w:tc>
      </w:tr>
      <w:tr>
        <w:tc>
          <w:tcPr>
            <w:tcW w:type="dxa" w:w="1584"/>
            <w:shd w:val="clear" w:color="auto" w:fill="F2F4F7"/>
          </w:tcPr>
          <w:p>
            <w:r/>
            <w:r>
              <w:rPr>
                <w:rFonts w:ascii="Arial" w:hAnsi="Arial"/>
                <w:sz w:val="17"/>
              </w:rPr>
              <w:t>SBA</w:t>
            </w:r>
          </w:p>
        </w:tc>
        <w:tc>
          <w:tcPr>
            <w:tcW w:type="dxa" w:w="3888"/>
            <w:shd w:val="clear" w:color="auto" w:fill="F2F4F7"/>
          </w:tcPr>
          <w:p>
            <w:r/>
            <w:r>
              <w:rPr>
                <w:rFonts w:ascii="Arial" w:hAnsi="Arial"/>
                <w:sz w:val="17"/>
              </w:rPr>
              <w:t>Small business certification verification</w:t>
            </w:r>
          </w:p>
        </w:tc>
        <w:tc>
          <w:tcPr>
            <w:tcW w:type="dxa" w:w="3888"/>
            <w:shd w:val="clear" w:color="auto" w:fill="F2F4F7"/>
          </w:tcPr>
          <w:p>
            <w:r/>
            <w:r>
              <w:rPr>
                <w:rFonts w:ascii="Arial" w:hAnsi="Arial"/>
                <w:sz w:val="17"/>
              </w:rPr>
              <w:t>SAM.gov entity and exclusions connectors; sampling and reporting</w:t>
            </w:r>
          </w:p>
        </w:tc>
      </w:tr>
      <w:tr>
        <w:tc>
          <w:tcPr>
            <w:tcW w:type="dxa" w:w="1584"/>
          </w:tcPr>
          <w:p>
            <w:r/>
            <w:r>
              <w:rPr>
                <w:rFonts w:ascii="Arial" w:hAnsi="Arial"/>
                <w:sz w:val="17"/>
              </w:rPr>
              <w:t>VA</w:t>
            </w:r>
          </w:p>
        </w:tc>
        <w:tc>
          <w:tcPr>
            <w:tcW w:type="dxa" w:w="3888"/>
          </w:tcPr>
          <w:p>
            <w:r/>
            <w:r>
              <w:rPr>
                <w:rFonts w:ascii="Arial" w:hAnsi="Arial"/>
                <w:sz w:val="17"/>
              </w:rPr>
              <w:t>Community care network provider verification</w:t>
            </w:r>
          </w:p>
        </w:tc>
        <w:tc>
          <w:tcPr>
            <w:tcW w:type="dxa" w:w="3888"/>
          </w:tcPr>
          <w:p>
            <w:r/>
            <w:r>
              <w:rPr>
                <w:rFonts w:ascii="Arial" w:hAnsi="Arial"/>
                <w:sz w:val="17"/>
              </w:rPr>
              <w:t>Same verification and classification core</w:t>
            </w:r>
          </w:p>
        </w:tc>
      </w:tr>
      <w:tr>
        <w:tc>
          <w:tcPr>
            <w:tcW w:type="dxa" w:w="1584"/>
            <w:shd w:val="clear" w:color="auto" w:fill="F2F4F7"/>
          </w:tcPr>
          <w:p>
            <w:r/>
            <w:r>
              <w:rPr>
                <w:rFonts w:ascii="Arial" w:hAnsi="Arial"/>
                <w:sz w:val="17"/>
              </w:rPr>
              <w:t>Any federal registry owner</w:t>
            </w:r>
          </w:p>
        </w:tc>
        <w:tc>
          <w:tcPr>
            <w:tcW w:type="dxa" w:w="3888"/>
            <w:shd w:val="clear" w:color="auto" w:fill="F2F4F7"/>
          </w:tcPr>
          <w:p>
            <w:r/>
            <w:r>
              <w:rPr>
                <w:rFonts w:ascii="Arial" w:hAnsi="Arial"/>
                <w:sz w:val="17"/>
              </w:rPr>
              <w:t>Registry accuracy assurance</w:t>
            </w:r>
          </w:p>
        </w:tc>
        <w:tc>
          <w:tcPr>
            <w:tcW w:type="dxa" w:w="3888"/>
            <w:shd w:val="clear" w:color="auto" w:fill="F2F4F7"/>
          </w:tcPr>
          <w:p>
            <w:r/>
            <w:r>
              <w:rPr>
                <w:rFonts w:ascii="Arial" w:hAnsi="Arial"/>
                <w:sz w:val="17"/>
              </w:rPr>
              <w:t>Rules engine, sampling engine, reporting engine</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SCOPE NOTE: </w:t>
            </w:r>
            <w:r>
              <w:rPr>
                <w:rFonts w:ascii="Arial" w:hAnsi="Arial"/>
                <w:sz w:val="18"/>
              </w:rPr>
              <w:t>The applications in section 3.2 are illustrative of the architecture's reusability. They are not proposed, funded or committed work under this contract.</w:t>
            </w:r>
          </w:p>
        </w:tc>
      </w:tr>
    </w:tbl>
    <w:p/>
    <w:p>
      <w:r>
        <w:br w:type="page"/>
      </w:r>
    </w:p>
    <w:p>
      <w:pPr>
        <w:pStyle w:val="Heading1"/>
      </w:pPr>
      <w:r>
        <w:t>4. Scope</w:t>
      </w:r>
    </w:p>
    <w:p>
      <w:pPr>
        <w:pStyle w:val="Heading2"/>
      </w:pPr>
      <w:r>
        <w:t>4.1 In scope — Tasks 1 through 6</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0B3C5D"/>
          </w:tcPr>
          <w:p>
            <w:r/>
            <w:r>
              <w:rPr>
                <w:rFonts w:ascii="Arial" w:hAnsi="Arial"/>
                <w:b/>
                <w:color w:val="FFFFFF"/>
                <w:sz w:val="17"/>
              </w:rPr>
              <w:t>Task</w:t>
            </w:r>
          </w:p>
        </w:tc>
        <w:tc>
          <w:tcPr>
            <w:tcW w:type="dxa" w:w="2448"/>
            <w:shd w:val="clear" w:color="auto" w:fill="0B3C5D"/>
          </w:tcPr>
          <w:p>
            <w:r/>
            <w:r>
              <w:rPr>
                <w:rFonts w:ascii="Arial" w:hAnsi="Arial"/>
                <w:b/>
                <w:color w:val="FFFFFF"/>
                <w:sz w:val="17"/>
              </w:rPr>
              <w:t>Title</w:t>
            </w:r>
          </w:p>
        </w:tc>
        <w:tc>
          <w:tcPr>
            <w:tcW w:type="dxa" w:w="6192"/>
            <w:shd w:val="clear" w:color="auto" w:fill="0B3C5D"/>
          </w:tcPr>
          <w:p>
            <w:r/>
            <w:r>
              <w:rPr>
                <w:rFonts w:ascii="Arial" w:hAnsi="Arial"/>
                <w:b/>
                <w:color w:val="FFFFFF"/>
                <w:sz w:val="17"/>
              </w:rPr>
              <w:t>Summary</w:t>
            </w:r>
          </w:p>
        </w:tc>
      </w:tr>
      <w:tr>
        <w:tc>
          <w:tcPr>
            <w:tcW w:type="dxa" w:w="720"/>
          </w:tcPr>
          <w:p>
            <w:r/>
            <w:r>
              <w:rPr>
                <w:rFonts w:ascii="Arial" w:hAnsi="Arial"/>
                <w:sz w:val="17"/>
              </w:rPr>
              <w:t>1</w:t>
            </w:r>
          </w:p>
        </w:tc>
        <w:tc>
          <w:tcPr>
            <w:tcW w:type="dxa" w:w="2448"/>
          </w:tcPr>
          <w:p>
            <w:r/>
            <w:r>
              <w:rPr>
                <w:rFonts w:ascii="Arial" w:hAnsi="Arial"/>
                <w:sz w:val="17"/>
              </w:rPr>
              <w:t>Kick-off &amp; onboarding</w:t>
            </w:r>
          </w:p>
        </w:tc>
        <w:tc>
          <w:tcPr>
            <w:tcW w:type="dxa" w:w="6192"/>
          </w:tcPr>
          <w:p>
            <w:r/>
            <w:r>
              <w:rPr>
                <w:rFonts w:ascii="Arial" w:hAnsi="Arial"/>
                <w:sz w:val="17"/>
              </w:rPr>
              <w:t>Weekly 60-minute meetings for 90 days, transitioning to bi-weekly 30-minute meetings; transition plan; communication protocols</w:t>
            </w:r>
          </w:p>
        </w:tc>
      </w:tr>
      <w:tr>
        <w:tc>
          <w:tcPr>
            <w:tcW w:type="dxa" w:w="720"/>
            <w:shd w:val="clear" w:color="auto" w:fill="F2F4F7"/>
          </w:tcPr>
          <w:p>
            <w:r/>
            <w:r>
              <w:rPr>
                <w:rFonts w:ascii="Arial" w:hAnsi="Arial"/>
                <w:sz w:val="17"/>
              </w:rPr>
              <w:t>2</w:t>
            </w:r>
          </w:p>
        </w:tc>
        <w:tc>
          <w:tcPr>
            <w:tcW w:type="dxa" w:w="2448"/>
            <w:shd w:val="clear" w:color="auto" w:fill="F2F4F7"/>
          </w:tcPr>
          <w:p>
            <w:r/>
            <w:r>
              <w:rPr>
                <w:rFonts w:ascii="Arial" w:hAnsi="Arial"/>
                <w:sz w:val="17"/>
              </w:rPr>
              <w:t>Review methodology &amp; control framework</w:t>
            </w:r>
          </w:p>
        </w:tc>
        <w:tc>
          <w:tcPr>
            <w:tcW w:type="dxa" w:w="6192"/>
            <w:shd w:val="clear" w:color="auto" w:fill="F2F4F7"/>
          </w:tcPr>
          <w:p>
            <w:r/>
            <w:r>
              <w:rPr>
                <w:rFonts w:ascii="Arial" w:hAnsi="Arial"/>
                <w:sz w:val="17"/>
              </w:rPr>
              <w:t>Entity review methodology, accuracy validation, stratification and prioritisation, B1–B4 criteria, statistical sampling design, control framework</w:t>
            </w:r>
          </w:p>
        </w:tc>
      </w:tr>
      <w:tr>
        <w:tc>
          <w:tcPr>
            <w:tcW w:type="dxa" w:w="720"/>
          </w:tcPr>
          <w:p>
            <w:r/>
            <w:r>
              <w:rPr>
                <w:rFonts w:ascii="Arial" w:hAnsi="Arial"/>
                <w:sz w:val="17"/>
              </w:rPr>
              <w:t>3</w:t>
            </w:r>
          </w:p>
        </w:tc>
        <w:tc>
          <w:tcPr>
            <w:tcW w:type="dxa" w:w="2448"/>
          </w:tcPr>
          <w:p>
            <w:r/>
            <w:r>
              <w:rPr>
                <w:rFonts w:ascii="Arial" w:hAnsi="Arial"/>
                <w:sz w:val="17"/>
              </w:rPr>
              <w:t>Retrospective review</w:t>
            </w:r>
          </w:p>
        </w:tc>
        <w:tc>
          <w:tcPr>
            <w:tcW w:type="dxa" w:w="6192"/>
          </w:tcPr>
          <w:p>
            <w:r/>
            <w:r>
              <w:rPr>
                <w:rFonts w:ascii="Arial" w:hAnsi="Arial"/>
                <w:sz w:val="17"/>
              </w:rPr>
              <w:t>95% confidence statistical sample of Participants and Sub-Participants verified against authoritative sources; B1–B4 classification; weekly reporting</w:t>
            </w:r>
          </w:p>
        </w:tc>
      </w:tr>
      <w:tr>
        <w:tc>
          <w:tcPr>
            <w:tcW w:type="dxa" w:w="720"/>
            <w:shd w:val="clear" w:color="auto" w:fill="F2F4F7"/>
          </w:tcPr>
          <w:p>
            <w:r/>
            <w:r>
              <w:rPr>
                <w:rFonts w:ascii="Arial" w:hAnsi="Arial"/>
                <w:sz w:val="17"/>
              </w:rPr>
              <w:t>4</w:t>
            </w:r>
          </w:p>
        </w:tc>
        <w:tc>
          <w:tcPr>
            <w:tcW w:type="dxa" w:w="2448"/>
            <w:shd w:val="clear" w:color="auto" w:fill="F2F4F7"/>
          </w:tcPr>
          <w:p>
            <w:r/>
            <w:r>
              <w:rPr>
                <w:rFonts w:ascii="Arial" w:hAnsi="Arial"/>
                <w:sz w:val="17"/>
              </w:rPr>
              <w:t>Ongoing review</w:t>
            </w:r>
          </w:p>
        </w:tc>
        <w:tc>
          <w:tcPr>
            <w:tcW w:type="dxa" w:w="6192"/>
            <w:shd w:val="clear" w:color="auto" w:fill="F2F4F7"/>
          </w:tcPr>
          <w:p>
            <w:r/>
            <w:r>
              <w:rPr>
                <w:rFonts w:ascii="Arial" w:hAnsi="Arial"/>
                <w:sz w:val="17"/>
              </w:rPr>
              <w:t>Bi-weekly review cadence; quarterly reporting with per-week trend analysis; methodology improvement tracking; new QHIN submissions</w:t>
            </w:r>
          </w:p>
        </w:tc>
      </w:tr>
      <w:tr>
        <w:tc>
          <w:tcPr>
            <w:tcW w:type="dxa" w:w="720"/>
          </w:tcPr>
          <w:p>
            <w:r/>
            <w:r>
              <w:rPr>
                <w:rFonts w:ascii="Arial" w:hAnsi="Arial"/>
                <w:sz w:val="17"/>
              </w:rPr>
              <w:t>5</w:t>
            </w:r>
          </w:p>
        </w:tc>
        <w:tc>
          <w:tcPr>
            <w:tcW w:type="dxa" w:w="2448"/>
          </w:tcPr>
          <w:p>
            <w:r/>
            <w:r>
              <w:rPr>
                <w:rFonts w:ascii="Arial" w:hAnsi="Arial"/>
                <w:sz w:val="17"/>
              </w:rPr>
              <w:t>Priority reviews</w:t>
            </w:r>
          </w:p>
        </w:tc>
        <w:tc>
          <w:tcPr>
            <w:tcW w:type="dxa" w:w="6192"/>
          </w:tcPr>
          <w:p>
            <w:r/>
            <w:r>
              <w:rPr>
                <w:rFonts w:ascii="Arial" w:hAnsi="Arial"/>
                <w:sz w:val="17"/>
              </w:rPr>
              <w:t>Ad hoc reviews on ONC request; root cause analysis; severity assessment; corrective recommendations</w:t>
            </w:r>
          </w:p>
        </w:tc>
      </w:tr>
      <w:tr>
        <w:tc>
          <w:tcPr>
            <w:tcW w:type="dxa" w:w="720"/>
            <w:shd w:val="clear" w:color="auto" w:fill="F2F4F7"/>
          </w:tcPr>
          <w:p>
            <w:r/>
            <w:r>
              <w:rPr>
                <w:rFonts w:ascii="Arial" w:hAnsi="Arial"/>
                <w:sz w:val="17"/>
              </w:rPr>
              <w:t>6</w:t>
            </w:r>
          </w:p>
        </w:tc>
        <w:tc>
          <w:tcPr>
            <w:tcW w:type="dxa" w:w="2448"/>
            <w:shd w:val="clear" w:color="auto" w:fill="F2F4F7"/>
          </w:tcPr>
          <w:p>
            <w:r/>
            <w:r>
              <w:rPr>
                <w:rFonts w:ascii="Arial" w:hAnsi="Arial"/>
                <w:sz w:val="17"/>
              </w:rPr>
              <w:t>Contract closeout</w:t>
            </w:r>
          </w:p>
        </w:tc>
        <w:tc>
          <w:tcPr>
            <w:tcW w:type="dxa" w:w="6192"/>
            <w:shd w:val="clear" w:color="auto" w:fill="F2F4F7"/>
          </w:tcPr>
          <w:p>
            <w:r/>
            <w:r>
              <w:rPr>
                <w:rFonts w:ascii="Arial" w:hAnsi="Arial"/>
                <w:sz w:val="17"/>
              </w:rPr>
              <w:t>Closeout report; transfer of methodology, framework, tools and source code; educational presentation; government rights materials</w:t>
            </w:r>
          </w:p>
        </w:tc>
      </w:tr>
    </w:tbl>
    <w:p/>
    <w:p>
      <w:pPr>
        <w:pStyle w:val="Heading2"/>
      </w:pPr>
      <w:r>
        <w:t>4.2 Out of scope</w:t>
      </w:r>
    </w:p>
    <w:p>
      <w:r>
        <w:rPr>
          <w:rFonts w:ascii="Arial" w:hAnsi="Arial"/>
          <w:b w:val="0"/>
          <w:i w:val="0"/>
          <w:sz w:val="20"/>
        </w:rPr>
        <w:t>The following exist in the wider DocuAction product roadmap and are explicitly outside this contract. They are named here so that their presence in the codebase is not mistaken for contract work.</w:t>
      </w:r>
    </w:p>
    <w:p>
      <w:pPr>
        <w:pStyle w:val="ListBullet"/>
      </w:pPr>
      <w:r>
        <w:rPr>
          <w:rFonts w:ascii="Arial" w:hAnsi="Arial"/>
          <w:sz w:val="20"/>
        </w:rPr>
        <w:t>Case management workflow.</w:t>
      </w:r>
    </w:p>
    <w:p>
      <w:pPr>
        <w:pStyle w:val="ListBullet"/>
      </w:pPr>
      <w:r>
        <w:rPr>
          <w:rFonts w:ascii="Arial" w:hAnsi="Arial"/>
          <w:sz w:val="20"/>
        </w:rPr>
        <w:t>Identity resolution graph across registries.</w:t>
      </w:r>
    </w:p>
    <w:p>
      <w:pPr>
        <w:pStyle w:val="ListBullet"/>
      </w:pPr>
      <w:r>
        <w:rPr>
          <w:rFonts w:ascii="Arial" w:hAnsi="Arial"/>
          <w:sz w:val="20"/>
        </w:rPr>
        <w:t>Event-driven architecture and streaming ingestion.</w:t>
      </w:r>
    </w:p>
    <w:p>
      <w:pPr>
        <w:pStyle w:val="ListBullet"/>
      </w:pPr>
      <w:r>
        <w:rPr>
          <w:rFonts w:ascii="Arial" w:hAnsi="Arial"/>
          <w:sz w:val="20"/>
        </w:rPr>
        <w:t>Bulletin Intelligence (regulatory news monitoring) — a separate AGT capability sharing the platform, not a TEFCA ARC deliverable.</w:t>
      </w:r>
    </w:p>
    <w:p>
      <w:r>
        <w:br w:type="page"/>
      </w:r>
    </w:p>
    <w:p>
      <w:pPr>
        <w:pStyle w:val="Heading1"/>
      </w:pPr>
      <w:r>
        <w:t>5. Assumptions</w:t>
      </w:r>
    </w:p>
    <w:p>
      <w:r>
        <w:rPr>
          <w:rFonts w:ascii="Arial" w:hAnsi="Arial"/>
          <w:b w:val="0"/>
          <w:i w:val="0"/>
          <w:sz w:val="20"/>
        </w:rPr>
        <w:t>Each assumption below carries the consequence if it proves false, because an assumption recorded without its consequence gives a reader no way to judge the exposure.</w:t>
      </w:r>
    </w:p>
    <w:tbl>
      <w:tblPr>
        <w:tblStyle w:val="TableGrid"/>
        <w:tblW w:type="auto" w:w="0"/>
        <w:jc w:val="center"/>
        <w:tblLook w:firstColumn="1" w:firstRow="1" w:lastColumn="0" w:lastRow="0" w:noHBand="0" w:noVBand="1" w:val="04A0"/>
      </w:tblPr>
      <w:tblGrid>
        <w:gridCol w:w="3120"/>
        <w:gridCol w:w="3120"/>
        <w:gridCol w:w="3120"/>
      </w:tblGrid>
      <w:tr>
        <w:tc>
          <w:tcPr>
            <w:tcW w:type="dxa" w:w="720"/>
            <w:shd w:val="clear" w:color="auto" w:fill="0B3C5D"/>
          </w:tcPr>
          <w:p>
            <w:r/>
            <w:r>
              <w:rPr>
                <w:rFonts w:ascii="Arial" w:hAnsi="Arial"/>
                <w:b/>
                <w:color w:val="FFFFFF"/>
                <w:sz w:val="17"/>
              </w:rPr>
              <w:t>ID</w:t>
            </w:r>
          </w:p>
        </w:tc>
        <w:tc>
          <w:tcPr>
            <w:tcW w:type="dxa" w:w="3744"/>
            <w:shd w:val="clear" w:color="auto" w:fill="0B3C5D"/>
          </w:tcPr>
          <w:p>
            <w:r/>
            <w:r>
              <w:rPr>
                <w:rFonts w:ascii="Arial" w:hAnsi="Arial"/>
                <w:b/>
                <w:color w:val="FFFFFF"/>
                <w:sz w:val="17"/>
              </w:rPr>
              <w:t>Assumption</w:t>
            </w:r>
          </w:p>
        </w:tc>
        <w:tc>
          <w:tcPr>
            <w:tcW w:type="dxa" w:w="4896"/>
            <w:shd w:val="clear" w:color="auto" w:fill="0B3C5D"/>
          </w:tcPr>
          <w:p>
            <w:r/>
            <w:r>
              <w:rPr>
                <w:rFonts w:ascii="Arial" w:hAnsi="Arial"/>
                <w:b/>
                <w:color w:val="FFFFFF"/>
                <w:sz w:val="17"/>
              </w:rPr>
              <w:t>If it does not hold</w:t>
            </w:r>
          </w:p>
        </w:tc>
      </w:tr>
      <w:tr>
        <w:tc>
          <w:tcPr>
            <w:tcW w:type="dxa" w:w="720"/>
          </w:tcPr>
          <w:p>
            <w:r/>
            <w:r>
              <w:rPr>
                <w:rFonts w:ascii="Arial" w:hAnsi="Arial"/>
                <w:sz w:val="17"/>
              </w:rPr>
              <w:t>A-01</w:t>
            </w:r>
          </w:p>
        </w:tc>
        <w:tc>
          <w:tcPr>
            <w:tcW w:type="dxa" w:w="3744"/>
          </w:tcPr>
          <w:p>
            <w:r/>
            <w:r>
              <w:rPr>
                <w:rFonts w:ascii="Arial" w:hAnsi="Arial"/>
                <w:sz w:val="17"/>
              </w:rPr>
              <w:t>ONC provides entity data via CSV or Box transfer</w:t>
            </w:r>
          </w:p>
        </w:tc>
        <w:tc>
          <w:tcPr>
            <w:tcW w:type="dxa" w:w="4896"/>
          </w:tcPr>
          <w:p>
            <w:r/>
            <w:r>
              <w:rPr>
                <w:rFonts w:ascii="Arial" w:hAnsi="Arial"/>
                <w:sz w:val="17"/>
              </w:rPr>
              <w:t>Ingestion requires a new integration; schedule impact to Task 3</w:t>
            </w:r>
          </w:p>
        </w:tc>
      </w:tr>
      <w:tr>
        <w:tc>
          <w:tcPr>
            <w:tcW w:type="dxa" w:w="720"/>
            <w:shd w:val="clear" w:color="auto" w:fill="F2F4F7"/>
          </w:tcPr>
          <w:p>
            <w:r/>
            <w:r>
              <w:rPr>
                <w:rFonts w:ascii="Arial" w:hAnsi="Arial"/>
                <w:sz w:val="17"/>
              </w:rPr>
              <w:t>A-02</w:t>
            </w:r>
          </w:p>
        </w:tc>
        <w:tc>
          <w:tcPr>
            <w:tcW w:type="dxa" w:w="3744"/>
            <w:shd w:val="clear" w:color="auto" w:fill="F2F4F7"/>
          </w:tcPr>
          <w:p>
            <w:r/>
            <w:r>
              <w:rPr>
                <w:rFonts w:ascii="Arial" w:hAnsi="Arial"/>
                <w:sz w:val="17"/>
              </w:rPr>
              <w:t>SAM.gov and RCE Directory data are provided by ONC</w:t>
            </w:r>
          </w:p>
        </w:tc>
        <w:tc>
          <w:tcPr>
            <w:tcW w:type="dxa" w:w="4896"/>
            <w:shd w:val="clear" w:color="auto" w:fill="F2F4F7"/>
          </w:tcPr>
          <w:p>
            <w:r/>
            <w:r>
              <w:rPr>
                <w:rFonts w:ascii="Arial" w:hAnsi="Arial"/>
                <w:sz w:val="17"/>
              </w:rPr>
              <w:t>AGT cannot verify against these sources directly; coverage stays at 3 of 7 possible sources</w:t>
            </w:r>
          </w:p>
        </w:tc>
      </w:tr>
      <w:tr>
        <w:tc>
          <w:tcPr>
            <w:tcW w:type="dxa" w:w="720"/>
          </w:tcPr>
          <w:p>
            <w:r/>
            <w:r>
              <w:rPr>
                <w:rFonts w:ascii="Arial" w:hAnsi="Arial"/>
                <w:sz w:val="17"/>
              </w:rPr>
              <w:t>A-03</w:t>
            </w:r>
          </w:p>
        </w:tc>
        <w:tc>
          <w:tcPr>
            <w:tcW w:type="dxa" w:w="3744"/>
          </w:tcPr>
          <w:p>
            <w:r/>
            <w:r>
              <w:rPr>
                <w:rFonts w:ascii="Arial" w:hAnsi="Arial"/>
                <w:sz w:val="17"/>
              </w:rPr>
              <w:t>FIPS 199 Moderate categorisation applies</w:t>
            </w:r>
          </w:p>
        </w:tc>
        <w:tc>
          <w:tcPr>
            <w:tcW w:type="dxa" w:w="4896"/>
          </w:tcPr>
          <w:p>
            <w:r/>
            <w:r>
              <w:rPr>
                <w:rFonts w:ascii="Arial" w:hAnsi="Arial"/>
                <w:sz w:val="17"/>
              </w:rPr>
              <w:t>A High categorisation would require additional controls and a re-baselined SSP</w:t>
            </w:r>
          </w:p>
        </w:tc>
      </w:tr>
      <w:tr>
        <w:tc>
          <w:tcPr>
            <w:tcW w:type="dxa" w:w="720"/>
            <w:shd w:val="clear" w:color="auto" w:fill="F2F4F7"/>
          </w:tcPr>
          <w:p>
            <w:r/>
            <w:r>
              <w:rPr>
                <w:rFonts w:ascii="Arial" w:hAnsi="Arial"/>
                <w:sz w:val="17"/>
              </w:rPr>
              <w:t>A-04</w:t>
            </w:r>
          </w:p>
        </w:tc>
        <w:tc>
          <w:tcPr>
            <w:tcW w:type="dxa" w:w="3744"/>
            <w:shd w:val="clear" w:color="auto" w:fill="F2F4F7"/>
          </w:tcPr>
          <w:p>
            <w:r/>
            <w:r>
              <w:rPr>
                <w:rFonts w:ascii="Arial" w:hAnsi="Arial"/>
                <w:sz w:val="17"/>
              </w:rPr>
              <w:t>Internet access to NPPES, PECOS and OIG LEIE is available from the hosting environment</w:t>
            </w:r>
          </w:p>
        </w:tc>
        <w:tc>
          <w:tcPr>
            <w:tcW w:type="dxa" w:w="4896"/>
            <w:shd w:val="clear" w:color="auto" w:fill="F2F4F7"/>
          </w:tcPr>
          <w:p>
            <w:r/>
            <w:r>
              <w:rPr>
                <w:rFonts w:ascii="Arial" w:hAnsi="Arial"/>
                <w:sz w:val="17"/>
              </w:rPr>
              <w:t>Verification cannot run; the platform reports 'unavailable' rather than degrading silently</w:t>
            </w:r>
          </w:p>
        </w:tc>
      </w:tr>
      <w:tr>
        <w:tc>
          <w:tcPr>
            <w:tcW w:type="dxa" w:w="720"/>
          </w:tcPr>
          <w:p>
            <w:r/>
            <w:r>
              <w:rPr>
                <w:rFonts w:ascii="Arial" w:hAnsi="Arial"/>
                <w:sz w:val="17"/>
              </w:rPr>
              <w:t>A-05</w:t>
            </w:r>
          </w:p>
        </w:tc>
        <w:tc>
          <w:tcPr>
            <w:tcW w:type="dxa" w:w="3744"/>
          </w:tcPr>
          <w:p>
            <w:r/>
            <w:r>
              <w:rPr>
                <w:rFonts w:ascii="Arial" w:hAnsi="Arial"/>
                <w:sz w:val="17"/>
              </w:rPr>
              <w:t>Azure App Service is the accepted hosting environment</w:t>
            </w:r>
          </w:p>
        </w:tc>
        <w:tc>
          <w:tcPr>
            <w:tcW w:type="dxa" w:w="4896"/>
          </w:tcPr>
          <w:p>
            <w:r/>
            <w:r>
              <w:rPr>
                <w:rFonts w:ascii="Arial" w:hAnsi="Arial"/>
                <w:sz w:val="17"/>
              </w:rPr>
              <w:t>Re-platforming effort and a new authorisation boundary</w:t>
            </w:r>
          </w:p>
        </w:tc>
      </w:tr>
      <w:tr>
        <w:tc>
          <w:tcPr>
            <w:tcW w:type="dxa" w:w="720"/>
            <w:shd w:val="clear" w:color="auto" w:fill="F2F4F7"/>
          </w:tcPr>
          <w:p>
            <w:r/>
            <w:r>
              <w:rPr>
                <w:rFonts w:ascii="Arial" w:hAnsi="Arial"/>
                <w:sz w:val="17"/>
              </w:rPr>
              <w:t>A-06</w:t>
            </w:r>
          </w:p>
        </w:tc>
        <w:tc>
          <w:tcPr>
            <w:tcW w:type="dxa" w:w="3744"/>
            <w:shd w:val="clear" w:color="auto" w:fill="F2F4F7"/>
          </w:tcPr>
          <w:p>
            <w:r/>
            <w:r>
              <w:rPr>
                <w:rFonts w:ascii="Arial" w:hAnsi="Arial"/>
                <w:sz w:val="17"/>
              </w:rPr>
              <w:t>No independent 3PAO assessment is required for initial operations</w:t>
            </w:r>
          </w:p>
        </w:tc>
        <w:tc>
          <w:tcPr>
            <w:tcW w:type="dxa" w:w="4896"/>
            <w:shd w:val="clear" w:color="auto" w:fill="F2F4F7"/>
          </w:tcPr>
          <w:p>
            <w:r/>
            <w:r>
              <w:rPr>
                <w:rFonts w:ascii="Arial" w:hAnsi="Arial"/>
                <w:sz w:val="17"/>
              </w:rPr>
              <w:t>A 3PAO engagement would be required before ATO, with cost and schedule impact</w:t>
            </w:r>
          </w:p>
        </w:tc>
      </w:tr>
      <w:tr>
        <w:tc>
          <w:tcPr>
            <w:tcW w:type="dxa" w:w="720"/>
          </w:tcPr>
          <w:p>
            <w:r/>
            <w:r>
              <w:rPr>
                <w:rFonts w:ascii="Arial" w:hAnsi="Arial"/>
                <w:sz w:val="17"/>
              </w:rPr>
              <w:t>A-07</w:t>
            </w:r>
          </w:p>
        </w:tc>
        <w:tc>
          <w:tcPr>
            <w:tcW w:type="dxa" w:w="3744"/>
          </w:tcPr>
          <w:p>
            <w:r/>
            <w:r>
              <w:rPr>
                <w:rFonts w:ascii="Arial" w:hAnsi="Arial"/>
                <w:sz w:val="17"/>
              </w:rPr>
              <w:t>ONC accepts the B1–B4 classification scheme as documented in Task 2</w:t>
            </w:r>
          </w:p>
        </w:tc>
        <w:tc>
          <w:tcPr>
            <w:tcW w:type="dxa" w:w="4896"/>
          </w:tcPr>
          <w:p>
            <w:r/>
            <w:r>
              <w:rPr>
                <w:rFonts w:ascii="Arial" w:hAnsi="Arial"/>
                <w:sz w:val="17"/>
              </w:rPr>
              <w:t>Rule set requires re-versioning; prior classifications remain valid under their recorded version</w:t>
            </w:r>
          </w:p>
        </w:tc>
      </w:tr>
      <w:tr>
        <w:tc>
          <w:tcPr>
            <w:tcW w:type="dxa" w:w="720"/>
            <w:shd w:val="clear" w:color="auto" w:fill="F2F4F7"/>
          </w:tcPr>
          <w:p>
            <w:r/>
            <w:r>
              <w:rPr>
                <w:rFonts w:ascii="Arial" w:hAnsi="Arial"/>
                <w:sz w:val="17"/>
              </w:rPr>
              <w:t>A-08</w:t>
            </w:r>
          </w:p>
        </w:tc>
        <w:tc>
          <w:tcPr>
            <w:tcW w:type="dxa" w:w="3744"/>
            <w:shd w:val="clear" w:color="auto" w:fill="F2F4F7"/>
          </w:tcPr>
          <w:p>
            <w:r/>
            <w:r>
              <w:rPr>
                <w:rFonts w:ascii="Arial" w:hAnsi="Arial"/>
                <w:sz w:val="17"/>
              </w:rPr>
              <w:t>The registry population is approximately 96,000 entities</w:t>
            </w:r>
          </w:p>
        </w:tc>
        <w:tc>
          <w:tcPr>
            <w:tcW w:type="dxa" w:w="4896"/>
            <w:shd w:val="clear" w:color="auto" w:fill="F2F4F7"/>
          </w:tcPr>
          <w:p>
            <w:r/>
            <w:r>
              <w:rPr>
                <w:rFonts w:ascii="Arial" w:hAnsi="Arial"/>
                <w:sz w:val="17"/>
              </w:rPr>
              <w:t>Sample sizes change; the Cochran calculation adjusts automatically via the finite population correction</w:t>
            </w:r>
          </w:p>
        </w:tc>
      </w:tr>
    </w:tbl>
    <w:p/>
    <w:p>
      <w:r>
        <w:br w:type="page"/>
      </w:r>
    </w:p>
    <w:p>
      <w:pPr>
        <w:pStyle w:val="Heading1"/>
      </w:pPr>
      <w:r>
        <w:t>6. Constraints</w:t>
      </w:r>
    </w:p>
    <w:p>
      <w:r>
        <w:rPr>
          <w:rFonts w:ascii="Arial" w:hAnsi="Arial"/>
          <w:b w:val="0"/>
          <w:i w:val="0"/>
          <w:sz w:val="20"/>
        </w:rPr>
        <w:t>These are current, verified limitations of the operating environment. Each was confirmed by direct test rather than assumed.</w:t>
      </w:r>
    </w:p>
    <w:p>
      <w:pPr>
        <w:pStyle w:val="Heading2"/>
      </w:pPr>
      <w:r>
        <w:t>6.1 SAM.gov API key not provisioned</w:t>
      </w:r>
    </w:p>
    <w:p>
      <w:r>
        <w:rPr>
          <w:rFonts w:ascii="Arial" w:hAnsi="Arial"/>
          <w:b w:val="0"/>
          <w:i w:val="0"/>
          <w:sz w:val="20"/>
        </w:rPr>
        <w:t>The SAM.gov Entity Management API (v3) and Exclusions API (v4) both return HTTP 404 when called with the public DEMO_KEY and when called with no key at all. SAM returns 404 rather than 401 or 403 for an unauthorised key, which is why this presented as a wrong-URL problem in early testing. The URLs are correct; a registered key is required.</w:t>
      </w:r>
    </w:p>
    <w:p>
      <w:r>
        <w:rPr>
          <w:rFonts w:ascii="Arial" w:hAnsi="Arial"/>
          <w:b w:val="0"/>
          <w:i w:val="0"/>
          <w:sz w:val="20"/>
        </w:rPr>
        <w:t>A key alone is necessary but not sufficient: SAM is keyed on Unique Entity Identifier (UEI), and the TEFCA registry does not currently capture UEI for its entities. Exact matching therefore requires both a key and a UEI source. The connector implements a legal-name fallback that flags multi-match results as ambiguous rather than guessing.</w:t>
      </w:r>
    </w:p>
    <w:p>
      <w:pPr>
        <w:pStyle w:val="Heading2"/>
      </w:pPr>
      <w:r>
        <w:t>6.2 State registries — no standardised interface</w:t>
      </w:r>
    </w:p>
    <w:p>
      <w:r>
        <w:rPr>
          <w:rFonts w:ascii="Arial" w:hAnsi="Arial"/>
          <w:b w:val="0"/>
          <w:i w:val="0"/>
          <w:sz w:val="20"/>
        </w:rPr>
        <w:t>There is no common API across the fifty state licensure registries. Most states expose no machine interface at all. State registry verification is therefore not implemented, is reported as 'not checked — connector not implemented', and is excluded from confidence scoring rather than counted as a missing source.</w:t>
      </w:r>
    </w:p>
    <w:p>
      <w:pPr>
        <w:pStyle w:val="Heading2"/>
      </w:pPr>
      <w:r>
        <w:t>6.3 RCE Directory — no direct access</w:t>
      </w:r>
    </w:p>
    <w:p>
      <w:r>
        <w:rPr>
          <w:rFonts w:ascii="Arial" w:hAnsi="Arial"/>
          <w:b w:val="0"/>
          <w:i w:val="0"/>
          <w:sz w:val="20"/>
        </w:rPr>
        <w:t>The Recognized Coordinating Entity directory is not directly accessible to AGT. Data must be provided by ONC. A support case with The Sequoia Project remains open.</w:t>
      </w:r>
    </w:p>
    <w:p>
      <w:pPr>
        <w:pStyle w:val="Heading2"/>
      </w:pPr>
      <w:r>
        <w:t>6.4 Azure Key Vault — firewalled to private link</w:t>
      </w:r>
    </w:p>
    <w:p>
      <w:r>
        <w:rPr>
          <w:rFonts w:ascii="Arial" w:hAnsi="Arial"/>
          <w:b w:val="0"/>
          <w:i w:val="0"/>
          <w:sz w:val="20"/>
        </w:rPr>
        <w:t>Both vaults exist but reject requests that do not originate from an approved private link, so secret migration cannot be completed from a developer workstation. Secrets remain in App Service configuration, which is encrypted at rest but does not provide the rotation and access-audit properties of Key Vault.</w:t>
      </w:r>
    </w:p>
    <w:p>
      <w:pPr>
        <w:pStyle w:val="Heading2"/>
      </w:pPr>
      <w:r>
        <w:t>6.5 Next.js advisories with no stable fix</w:t>
      </w:r>
    </w:p>
    <w:p>
      <w:r>
        <w:rPr>
          <w:rFonts w:ascii="Arial" w:hAnsi="Arial"/>
          <w:b w:val="0"/>
          <w:i w:val="0"/>
          <w:sz w:val="20"/>
        </w:rPr>
        <w:t>Two High-severity advisories affect the frontend framework. The advisory range extends through a pre-release version and the latest stable release is the one in use, so no upgrade resolves them. The automated remediation path downgrades the framework by two major versions and breaks the application build. Both are recorded as accepted risks with compensating controls in AGT-EX-001 §7 and the risk acceptance register.</w:t>
      </w:r>
    </w:p>
    <w:p>
      <w:pPr>
        <w:pStyle w:val="Heading2"/>
      </w:pPr>
      <w:r>
        <w:t>6.6 Coverage summary</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0B3C5D"/>
          </w:tcPr>
          <w:p>
            <w:r/>
            <w:r>
              <w:rPr>
                <w:rFonts w:ascii="Arial" w:hAnsi="Arial"/>
                <w:b/>
                <w:color w:val="FFFFFF"/>
                <w:sz w:val="17"/>
              </w:rPr>
              <w:t>Source</w:t>
            </w:r>
          </w:p>
        </w:tc>
        <w:tc>
          <w:tcPr>
            <w:tcW w:type="dxa" w:w="4896"/>
            <w:shd w:val="clear" w:color="auto" w:fill="0B3C5D"/>
          </w:tcPr>
          <w:p>
            <w:r/>
            <w:r>
              <w:rPr>
                <w:rFonts w:ascii="Arial" w:hAnsi="Arial"/>
                <w:b/>
                <w:color w:val="FFFFFF"/>
                <w:sz w:val="17"/>
              </w:rPr>
              <w:t>Status</w:t>
            </w:r>
          </w:p>
        </w:tc>
        <w:tc>
          <w:tcPr>
            <w:tcW w:type="dxa" w:w="2304"/>
            <w:shd w:val="clear" w:color="auto" w:fill="0B3C5D"/>
          </w:tcPr>
          <w:p>
            <w:r/>
            <w:r>
              <w:rPr>
                <w:rFonts w:ascii="Arial" w:hAnsi="Arial"/>
                <w:b/>
                <w:color w:val="FFFFFF"/>
                <w:sz w:val="17"/>
              </w:rPr>
              <w:t>In confidence scoring</w:t>
            </w:r>
          </w:p>
        </w:tc>
      </w:tr>
      <w:tr>
        <w:tc>
          <w:tcPr>
            <w:tcW w:type="dxa" w:w="2160"/>
          </w:tcPr>
          <w:p>
            <w:r/>
            <w:r>
              <w:rPr>
                <w:rFonts w:ascii="Arial" w:hAnsi="Arial"/>
                <w:sz w:val="17"/>
              </w:rPr>
              <w:t>NPPES</w:t>
            </w:r>
          </w:p>
        </w:tc>
        <w:tc>
          <w:tcPr>
            <w:tcW w:type="dxa" w:w="4896"/>
          </w:tcPr>
          <w:p>
            <w:r/>
            <w:r>
              <w:rPr>
                <w:rFonts w:ascii="Arial" w:hAnsi="Arial"/>
                <w:sz w:val="17"/>
              </w:rPr>
              <w:t>Operational — 5/5 reachable, 391 ms mean</w:t>
            </w:r>
          </w:p>
        </w:tc>
        <w:tc>
          <w:tcPr>
            <w:tcW w:type="dxa" w:w="2304"/>
          </w:tcPr>
          <w:p>
            <w:r/>
            <w:r>
              <w:rPr>
                <w:rFonts w:ascii="Arial" w:hAnsi="Arial"/>
                <w:sz w:val="17"/>
              </w:rPr>
              <w:t>Yes</w:t>
            </w:r>
          </w:p>
        </w:tc>
      </w:tr>
      <w:tr>
        <w:tc>
          <w:tcPr>
            <w:tcW w:type="dxa" w:w="2160"/>
            <w:shd w:val="clear" w:color="auto" w:fill="F2F4F7"/>
          </w:tcPr>
          <w:p>
            <w:r/>
            <w:r>
              <w:rPr>
                <w:rFonts w:ascii="Arial" w:hAnsi="Arial"/>
                <w:sz w:val="17"/>
              </w:rPr>
              <w:t>PECOS</w:t>
            </w:r>
          </w:p>
        </w:tc>
        <w:tc>
          <w:tcPr>
            <w:tcW w:type="dxa" w:w="4896"/>
            <w:shd w:val="clear" w:color="auto" w:fill="F2F4F7"/>
          </w:tcPr>
          <w:p>
            <w:r/>
            <w:r>
              <w:rPr>
                <w:rFonts w:ascii="Arial" w:hAnsi="Arial"/>
                <w:sz w:val="17"/>
              </w:rPr>
              <w:t>Operational — 5/5 reachable, 242 ms mean</w:t>
            </w:r>
          </w:p>
        </w:tc>
        <w:tc>
          <w:tcPr>
            <w:tcW w:type="dxa" w:w="2304"/>
            <w:shd w:val="clear" w:color="auto" w:fill="F2F4F7"/>
          </w:tcPr>
          <w:p>
            <w:r/>
            <w:r>
              <w:rPr>
                <w:rFonts w:ascii="Arial" w:hAnsi="Arial"/>
                <w:sz w:val="17"/>
              </w:rPr>
              <w:t>Yes</w:t>
            </w:r>
          </w:p>
        </w:tc>
      </w:tr>
      <w:tr>
        <w:tc>
          <w:tcPr>
            <w:tcW w:type="dxa" w:w="2160"/>
          </w:tcPr>
          <w:p>
            <w:r/>
            <w:r>
              <w:rPr>
                <w:rFonts w:ascii="Arial" w:hAnsi="Arial"/>
                <w:sz w:val="17"/>
              </w:rPr>
              <w:t>OIG LEIE</w:t>
            </w:r>
          </w:p>
        </w:tc>
        <w:tc>
          <w:tcPr>
            <w:tcW w:type="dxa" w:w="4896"/>
          </w:tcPr>
          <w:p>
            <w:r/>
            <w:r>
              <w:rPr>
                <w:rFonts w:ascii="Arial" w:hAnsi="Arial"/>
                <w:sz w:val="17"/>
              </w:rPr>
              <w:t>Operational — 5/5 reachable, 428 ms mean</w:t>
            </w:r>
          </w:p>
        </w:tc>
        <w:tc>
          <w:tcPr>
            <w:tcW w:type="dxa" w:w="2304"/>
          </w:tcPr>
          <w:p>
            <w:r/>
            <w:r>
              <w:rPr>
                <w:rFonts w:ascii="Arial" w:hAnsi="Arial"/>
                <w:sz w:val="17"/>
              </w:rPr>
              <w:t>Yes</w:t>
            </w:r>
          </w:p>
        </w:tc>
      </w:tr>
      <w:tr>
        <w:tc>
          <w:tcPr>
            <w:tcW w:type="dxa" w:w="2160"/>
            <w:shd w:val="clear" w:color="auto" w:fill="F2F4F7"/>
          </w:tcPr>
          <w:p>
            <w:r/>
            <w:r>
              <w:rPr>
                <w:rFonts w:ascii="Arial" w:hAnsi="Arial"/>
                <w:sz w:val="17"/>
              </w:rPr>
              <w:t>SAM.gov</w:t>
            </w:r>
          </w:p>
        </w:tc>
        <w:tc>
          <w:tcPr>
            <w:tcW w:type="dxa" w:w="4896"/>
            <w:shd w:val="clear" w:color="auto" w:fill="F2F4F7"/>
          </w:tcPr>
          <w:p>
            <w:r/>
            <w:r>
              <w:rPr>
                <w:rFonts w:ascii="Arial" w:hAnsi="Arial"/>
                <w:sz w:val="17"/>
              </w:rPr>
              <w:t>Built, not operational — no API key</w:t>
            </w:r>
          </w:p>
        </w:tc>
        <w:tc>
          <w:tcPr>
            <w:tcW w:type="dxa" w:w="2304"/>
            <w:shd w:val="clear" w:color="auto" w:fill="F2F4F7"/>
          </w:tcPr>
          <w:p>
            <w:r/>
            <w:r>
              <w:rPr>
                <w:rFonts w:ascii="Arial" w:hAnsi="Arial"/>
                <w:sz w:val="17"/>
              </w:rPr>
              <w:t>No</w:t>
            </w:r>
          </w:p>
        </w:tc>
      </w:tr>
      <w:tr>
        <w:tc>
          <w:tcPr>
            <w:tcW w:type="dxa" w:w="2160"/>
          </w:tcPr>
          <w:p>
            <w:r/>
            <w:r>
              <w:rPr>
                <w:rFonts w:ascii="Arial" w:hAnsi="Arial"/>
                <w:sz w:val="17"/>
              </w:rPr>
              <w:t>RCE Directory</w:t>
            </w:r>
          </w:p>
        </w:tc>
        <w:tc>
          <w:tcPr>
            <w:tcW w:type="dxa" w:w="4896"/>
          </w:tcPr>
          <w:p>
            <w:r/>
            <w:r>
              <w:rPr>
                <w:rFonts w:ascii="Arial" w:hAnsi="Arial"/>
                <w:sz w:val="17"/>
              </w:rPr>
              <w:t>Not accessible — ONC-provided</w:t>
            </w:r>
          </w:p>
        </w:tc>
        <w:tc>
          <w:tcPr>
            <w:tcW w:type="dxa" w:w="2304"/>
          </w:tcPr>
          <w:p>
            <w:r/>
            <w:r>
              <w:rPr>
                <w:rFonts w:ascii="Arial" w:hAnsi="Arial"/>
                <w:sz w:val="17"/>
              </w:rPr>
              <w:t>No</w:t>
            </w:r>
          </w:p>
        </w:tc>
      </w:tr>
      <w:tr>
        <w:tc>
          <w:tcPr>
            <w:tcW w:type="dxa" w:w="2160"/>
            <w:shd w:val="clear" w:color="auto" w:fill="F2F4F7"/>
          </w:tcPr>
          <w:p>
            <w:r/>
            <w:r>
              <w:rPr>
                <w:rFonts w:ascii="Arial" w:hAnsi="Arial"/>
                <w:sz w:val="17"/>
              </w:rPr>
              <w:t>State registries</w:t>
            </w:r>
          </w:p>
        </w:tc>
        <w:tc>
          <w:tcPr>
            <w:tcW w:type="dxa" w:w="4896"/>
            <w:shd w:val="clear" w:color="auto" w:fill="F2F4F7"/>
          </w:tcPr>
          <w:p>
            <w:r/>
            <w:r>
              <w:rPr>
                <w:rFonts w:ascii="Arial" w:hAnsi="Arial"/>
                <w:sz w:val="17"/>
              </w:rPr>
              <w:t>Not implemented — no standard interface</w:t>
            </w:r>
          </w:p>
        </w:tc>
        <w:tc>
          <w:tcPr>
            <w:tcW w:type="dxa" w:w="2304"/>
            <w:shd w:val="clear" w:color="auto" w:fill="F2F4F7"/>
          </w:tcPr>
          <w:p>
            <w:r/>
            <w:r>
              <w:rPr>
                <w:rFonts w:ascii="Arial" w:hAnsi="Arial"/>
                <w:sz w:val="17"/>
              </w:rPr>
              <w:t>No</w:t>
            </w:r>
          </w:p>
        </w:tc>
      </w:tr>
      <w:tr>
        <w:tc>
          <w:tcPr>
            <w:tcW w:type="dxa" w:w="2160"/>
          </w:tcPr>
          <w:p>
            <w:r/>
            <w:r>
              <w:rPr>
                <w:rFonts w:ascii="Arial" w:hAnsi="Arial"/>
                <w:sz w:val="17"/>
              </w:rPr>
              <w:t>IRS</w:t>
            </w:r>
          </w:p>
        </w:tc>
        <w:tc>
          <w:tcPr>
            <w:tcW w:type="dxa" w:w="4896"/>
          </w:tcPr>
          <w:p>
            <w:r/>
            <w:r>
              <w:rPr>
                <w:rFonts w:ascii="Arial" w:hAnsi="Arial"/>
                <w:sz w:val="17"/>
              </w:rPr>
              <w:t>Not implemented — keyed on EIN, not captured</w:t>
            </w:r>
          </w:p>
        </w:tc>
        <w:tc>
          <w:tcPr>
            <w:tcW w:type="dxa" w:w="2304"/>
          </w:tcPr>
          <w:p>
            <w:r/>
            <w:r>
              <w:rPr>
                <w:rFonts w:ascii="Arial" w:hAnsi="Arial"/>
                <w:sz w:val="17"/>
              </w:rPr>
              <w:t>No</w:t>
            </w:r>
          </w:p>
        </w:tc>
      </w:tr>
    </w:tbl>
    <w:p/>
    <w:tbl>
      <w:tblPr>
        <w:tblStyle w:val="TableGrid"/>
        <w:tblW w:type="auto" w:w="0"/>
        <w:tblLook w:firstColumn="1" w:firstRow="1" w:lastColumn="0" w:lastRow="0" w:noHBand="0" w:noVBand="1" w:val="04A0"/>
      </w:tblPr>
      <w:tblGrid>
        <w:gridCol w:w="9360"/>
      </w:tblGrid>
      <w:tr>
        <w:tc>
          <w:tcPr>
            <w:tcW w:type="dxa" w:w="9360"/>
            <w:shd w:val="clear" w:color="auto" w:fill="FFF8E7"/>
          </w:tcPr>
          <w:p>
            <w:r/>
            <w:r>
              <w:rPr>
                <w:rFonts w:ascii="Arial" w:hAnsi="Arial"/>
                <w:b/>
                <w:color w:val="0B3C5D"/>
                <w:sz w:val="18"/>
              </w:rPr>
              <w:t xml:space="preserve">METHOD NOTE: </w:t>
            </w:r>
            <w:r>
              <w:rPr>
                <w:rFonts w:ascii="Arial" w:hAnsi="Arial"/>
                <w:sz w:val="18"/>
              </w:rPr>
              <w:t>Coverage is measured against connectors that exist, not against every source that could theoretically be consulted. Counting an unbuilt connector as a missing source would report permanently degraded coverage for work that was never scheduled, making the platform appear broken rather than incomplete. Unimplemented sources are disclosed separately in every verification response and in every report.</w:t>
            </w:r>
          </w:p>
        </w:tc>
      </w:tr>
    </w:tbl>
    <w:p/>
    <w:p>
      <w:r>
        <w:br w:type="page"/>
      </w:r>
    </w:p>
    <w:p>
      <w:pPr>
        <w:pStyle w:val="Heading1"/>
      </w:pPr>
      <w:r>
        <w:t>7. Risk Register</w:t>
      </w:r>
    </w:p>
    <w:p>
      <w:r>
        <w:rPr>
          <w:rFonts w:ascii="Arial" w:hAnsi="Arial"/>
          <w:b w:val="0"/>
          <w:i w:val="0"/>
          <w:sz w:val="20"/>
        </w:rPr>
        <w:t>Probability and impact are assessed on a three-point scale (Low, Medium, High). Owner names the party who can actually act, which for several entries is ONC rather than AGT.</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605"/>
            <w:shd w:val="clear" w:color="auto" w:fill="0B3C5D"/>
          </w:tcPr>
          <w:p>
            <w:r/>
            <w:r>
              <w:rPr>
                <w:rFonts w:ascii="Arial" w:hAnsi="Arial"/>
                <w:b/>
                <w:color w:val="FFFFFF"/>
                <w:sz w:val="15"/>
              </w:rPr>
              <w:t>ID</w:t>
            </w:r>
          </w:p>
        </w:tc>
        <w:tc>
          <w:tcPr>
            <w:tcW w:type="dxa" w:w="1037"/>
            <w:shd w:val="clear" w:color="auto" w:fill="0B3C5D"/>
          </w:tcPr>
          <w:p>
            <w:r/>
            <w:r>
              <w:rPr>
                <w:rFonts w:ascii="Arial" w:hAnsi="Arial"/>
                <w:b/>
                <w:color w:val="FFFFFF"/>
                <w:sz w:val="15"/>
              </w:rPr>
              <w:t>Category</w:t>
            </w:r>
          </w:p>
        </w:tc>
        <w:tc>
          <w:tcPr>
            <w:tcW w:type="dxa" w:w="2520"/>
            <w:shd w:val="clear" w:color="auto" w:fill="0B3C5D"/>
          </w:tcPr>
          <w:p>
            <w:r/>
            <w:r>
              <w:rPr>
                <w:rFonts w:ascii="Arial" w:hAnsi="Arial"/>
                <w:b/>
                <w:color w:val="FFFFFF"/>
                <w:sz w:val="15"/>
              </w:rPr>
              <w:t>Risk</w:t>
            </w:r>
          </w:p>
        </w:tc>
        <w:tc>
          <w:tcPr>
            <w:tcW w:type="dxa" w:w="605"/>
            <w:shd w:val="clear" w:color="auto" w:fill="0B3C5D"/>
          </w:tcPr>
          <w:p>
            <w:r/>
            <w:r>
              <w:rPr>
                <w:rFonts w:ascii="Arial" w:hAnsi="Arial"/>
                <w:b/>
                <w:color w:val="FFFFFF"/>
                <w:sz w:val="15"/>
              </w:rPr>
              <w:t>Prob.</w:t>
            </w:r>
          </w:p>
        </w:tc>
        <w:tc>
          <w:tcPr>
            <w:tcW w:type="dxa" w:w="648"/>
            <w:shd w:val="clear" w:color="auto" w:fill="0B3C5D"/>
          </w:tcPr>
          <w:p>
            <w:r/>
            <w:r>
              <w:rPr>
                <w:rFonts w:ascii="Arial" w:hAnsi="Arial"/>
                <w:b/>
                <w:color w:val="FFFFFF"/>
                <w:sz w:val="15"/>
              </w:rPr>
              <w:t>Impact</w:t>
            </w:r>
          </w:p>
        </w:tc>
        <w:tc>
          <w:tcPr>
            <w:tcW w:type="dxa" w:w="3312"/>
            <w:shd w:val="clear" w:color="auto" w:fill="0B3C5D"/>
          </w:tcPr>
          <w:p>
            <w:r/>
            <w:r>
              <w:rPr>
                <w:rFonts w:ascii="Arial" w:hAnsi="Arial"/>
                <w:b/>
                <w:color w:val="FFFFFF"/>
                <w:sz w:val="15"/>
              </w:rPr>
              <w:t>Mitigation</w:t>
            </w:r>
          </w:p>
        </w:tc>
        <w:tc>
          <w:tcPr>
            <w:tcW w:type="dxa" w:w="792"/>
            <w:shd w:val="clear" w:color="auto" w:fill="0B3C5D"/>
          </w:tcPr>
          <w:p>
            <w:r/>
            <w:r>
              <w:rPr>
                <w:rFonts w:ascii="Arial" w:hAnsi="Arial"/>
                <w:b/>
                <w:color w:val="FFFFFF"/>
                <w:sz w:val="15"/>
              </w:rPr>
              <w:t>Owner</w:t>
            </w:r>
          </w:p>
        </w:tc>
      </w:tr>
      <w:tr>
        <w:tc>
          <w:tcPr>
            <w:tcW w:type="dxa" w:w="605"/>
          </w:tcPr>
          <w:p>
            <w:r/>
            <w:r>
              <w:rPr>
                <w:rFonts w:ascii="Arial" w:hAnsi="Arial"/>
                <w:sz w:val="15"/>
              </w:rPr>
              <w:t>R-01</w:t>
            </w:r>
          </w:p>
        </w:tc>
        <w:tc>
          <w:tcPr>
            <w:tcW w:type="dxa" w:w="1037"/>
          </w:tcPr>
          <w:p>
            <w:r/>
            <w:r>
              <w:rPr>
                <w:rFonts w:ascii="Arial" w:hAnsi="Arial"/>
                <w:sz w:val="15"/>
              </w:rPr>
              <w:t>Technical</w:t>
            </w:r>
          </w:p>
        </w:tc>
        <w:tc>
          <w:tcPr>
            <w:tcW w:type="dxa" w:w="2520"/>
          </w:tcPr>
          <w:p>
            <w:r/>
            <w:r>
              <w:rPr>
                <w:rFonts w:ascii="Arial" w:hAnsi="Arial"/>
                <w:sz w:val="15"/>
              </w:rPr>
              <w:t>SAM.gov API key never provisioned, leaving federal registration and debarment unverified</w:t>
            </w:r>
          </w:p>
        </w:tc>
        <w:tc>
          <w:tcPr>
            <w:tcW w:type="dxa" w:w="605"/>
          </w:tcPr>
          <w:p>
            <w:r/>
            <w:r>
              <w:rPr>
                <w:rFonts w:ascii="Arial" w:hAnsi="Arial"/>
                <w:sz w:val="15"/>
              </w:rPr>
              <w:t>Medium</w:t>
            </w:r>
          </w:p>
        </w:tc>
        <w:tc>
          <w:tcPr>
            <w:tcW w:type="dxa" w:w="648"/>
          </w:tcPr>
          <w:p>
            <w:r/>
            <w:r>
              <w:rPr>
                <w:rFonts w:ascii="Arial" w:hAnsi="Arial"/>
                <w:sz w:val="15"/>
              </w:rPr>
              <w:t>High</w:t>
            </w:r>
          </w:p>
        </w:tc>
        <w:tc>
          <w:tcPr>
            <w:tcW w:type="dxa" w:w="3312"/>
          </w:tcPr>
          <w:p>
            <w:r/>
            <w:r>
              <w:rPr>
                <w:rFonts w:ascii="Arial" w:hAnsi="Arial"/>
                <w:sz w:val="15"/>
              </w:rPr>
              <w:t>Connector built and tested; activates on key provision with no code change. Documented request procedure. OIG LEIE independently covers healthcare exclusion.</w:t>
            </w:r>
          </w:p>
        </w:tc>
        <w:tc>
          <w:tcPr>
            <w:tcW w:type="dxa" w:w="792"/>
          </w:tcPr>
          <w:p>
            <w:r/>
            <w:r>
              <w:rPr>
                <w:rFonts w:ascii="Arial" w:hAnsi="Arial"/>
                <w:sz w:val="15"/>
              </w:rPr>
              <w:t>AGT / ONC</w:t>
            </w:r>
          </w:p>
        </w:tc>
      </w:tr>
      <w:tr>
        <w:tc>
          <w:tcPr>
            <w:tcW w:type="dxa" w:w="605"/>
            <w:shd w:val="clear" w:color="auto" w:fill="F2F4F7"/>
          </w:tcPr>
          <w:p>
            <w:r/>
            <w:r>
              <w:rPr>
                <w:rFonts w:ascii="Arial" w:hAnsi="Arial"/>
                <w:sz w:val="15"/>
              </w:rPr>
              <w:t>R-02</w:t>
            </w:r>
          </w:p>
        </w:tc>
        <w:tc>
          <w:tcPr>
            <w:tcW w:type="dxa" w:w="1037"/>
            <w:shd w:val="clear" w:color="auto" w:fill="F2F4F7"/>
          </w:tcPr>
          <w:p>
            <w:r/>
            <w:r>
              <w:rPr>
                <w:rFonts w:ascii="Arial" w:hAnsi="Arial"/>
                <w:sz w:val="15"/>
              </w:rPr>
              <w:t>Technical</w:t>
            </w:r>
          </w:p>
        </w:tc>
        <w:tc>
          <w:tcPr>
            <w:tcW w:type="dxa" w:w="2520"/>
            <w:shd w:val="clear" w:color="auto" w:fill="F2F4F7"/>
          </w:tcPr>
          <w:p>
            <w:r/>
            <w:r>
              <w:rPr>
                <w:rFonts w:ascii="Arial" w:hAnsi="Arial"/>
                <w:sz w:val="15"/>
              </w:rPr>
              <w:t>SAM.gov key obtained but UEI absent from registry, so matching stays name-based and ambiguous</w:t>
            </w:r>
          </w:p>
        </w:tc>
        <w:tc>
          <w:tcPr>
            <w:tcW w:type="dxa" w:w="605"/>
            <w:shd w:val="clear" w:color="auto" w:fill="F2F4F7"/>
          </w:tcPr>
          <w:p>
            <w:r/>
            <w:r>
              <w:rPr>
                <w:rFonts w:ascii="Arial" w:hAnsi="Arial"/>
                <w:sz w:val="15"/>
              </w:rPr>
              <w:t>High</w:t>
            </w:r>
          </w:p>
        </w:tc>
        <w:tc>
          <w:tcPr>
            <w:tcW w:type="dxa" w:w="648"/>
            <w:shd w:val="clear" w:color="auto" w:fill="F2F4F7"/>
          </w:tcPr>
          <w:p>
            <w:r/>
            <w:r>
              <w:rPr>
                <w:rFonts w:ascii="Arial" w:hAnsi="Arial"/>
                <w:sz w:val="15"/>
              </w:rPr>
              <w:t>Medium</w:t>
            </w:r>
          </w:p>
        </w:tc>
        <w:tc>
          <w:tcPr>
            <w:tcW w:type="dxa" w:w="3312"/>
            <w:shd w:val="clear" w:color="auto" w:fill="F2F4F7"/>
          </w:tcPr>
          <w:p>
            <w:r/>
            <w:r>
              <w:rPr>
                <w:rFonts w:ascii="Arial" w:hAnsi="Arial"/>
                <w:sz w:val="15"/>
              </w:rPr>
              <w:t>Ambiguous matches flagged for manual review rather than guessed. Request UEI in ONC-supplied data.</w:t>
            </w:r>
          </w:p>
        </w:tc>
        <w:tc>
          <w:tcPr>
            <w:tcW w:type="dxa" w:w="792"/>
            <w:shd w:val="clear" w:color="auto" w:fill="F2F4F7"/>
          </w:tcPr>
          <w:p>
            <w:r/>
            <w:r>
              <w:rPr>
                <w:rFonts w:ascii="Arial" w:hAnsi="Arial"/>
                <w:sz w:val="15"/>
              </w:rPr>
              <w:t>ONC</w:t>
            </w:r>
          </w:p>
        </w:tc>
      </w:tr>
      <w:tr>
        <w:tc>
          <w:tcPr>
            <w:tcW w:type="dxa" w:w="605"/>
          </w:tcPr>
          <w:p>
            <w:r/>
            <w:r>
              <w:rPr>
                <w:rFonts w:ascii="Arial" w:hAnsi="Arial"/>
                <w:sz w:val="15"/>
              </w:rPr>
              <w:t>R-03</w:t>
            </w:r>
          </w:p>
        </w:tc>
        <w:tc>
          <w:tcPr>
            <w:tcW w:type="dxa" w:w="1037"/>
          </w:tcPr>
          <w:p>
            <w:r/>
            <w:r>
              <w:rPr>
                <w:rFonts w:ascii="Arial" w:hAnsi="Arial"/>
                <w:sz w:val="15"/>
              </w:rPr>
              <w:t>Technical</w:t>
            </w:r>
          </w:p>
        </w:tc>
        <w:tc>
          <w:tcPr>
            <w:tcW w:type="dxa" w:w="2520"/>
          </w:tcPr>
          <w:p>
            <w:r/>
            <w:r>
              <w:rPr>
                <w:rFonts w:ascii="Arial" w:hAnsi="Arial"/>
                <w:sz w:val="15"/>
              </w:rPr>
              <w:t>Next.js advisories remain unfixed</w:t>
            </w:r>
          </w:p>
        </w:tc>
        <w:tc>
          <w:tcPr>
            <w:tcW w:type="dxa" w:w="605"/>
          </w:tcPr>
          <w:p>
            <w:r/>
            <w:r>
              <w:rPr>
                <w:rFonts w:ascii="Arial" w:hAnsi="Arial"/>
                <w:sz w:val="15"/>
              </w:rPr>
              <w:t>High</w:t>
            </w:r>
          </w:p>
        </w:tc>
        <w:tc>
          <w:tcPr>
            <w:tcW w:type="dxa" w:w="648"/>
          </w:tcPr>
          <w:p>
            <w:r/>
            <w:r>
              <w:rPr>
                <w:rFonts w:ascii="Arial" w:hAnsi="Arial"/>
                <w:sz w:val="15"/>
              </w:rPr>
              <w:t>Low</w:t>
            </w:r>
          </w:p>
        </w:tc>
        <w:tc>
          <w:tcPr>
            <w:tcW w:type="dxa" w:w="3312"/>
          </w:tcPr>
          <w:p>
            <w:r/>
            <w:r>
              <w:rPr>
                <w:rFonts w:ascii="Arial" w:hAnsi="Arial"/>
                <w:sz w:val="15"/>
              </w:rPr>
              <w:t>Accepted risk RA-001/RA-002. Static export has no server-side rendering, excluding the affected request paths. Re-check on next stable release.</w:t>
            </w:r>
          </w:p>
        </w:tc>
        <w:tc>
          <w:tcPr>
            <w:tcW w:type="dxa" w:w="792"/>
          </w:tcPr>
          <w:p>
            <w:r/>
            <w:r>
              <w:rPr>
                <w:rFonts w:ascii="Arial" w:hAnsi="Arial"/>
                <w:sz w:val="15"/>
              </w:rPr>
              <w:t>AGT</w:t>
            </w:r>
          </w:p>
        </w:tc>
      </w:tr>
      <w:tr>
        <w:tc>
          <w:tcPr>
            <w:tcW w:type="dxa" w:w="605"/>
            <w:shd w:val="clear" w:color="auto" w:fill="F2F4F7"/>
          </w:tcPr>
          <w:p>
            <w:r/>
            <w:r>
              <w:rPr>
                <w:rFonts w:ascii="Arial" w:hAnsi="Arial"/>
                <w:sz w:val="15"/>
              </w:rPr>
              <w:t>R-04</w:t>
            </w:r>
          </w:p>
        </w:tc>
        <w:tc>
          <w:tcPr>
            <w:tcW w:type="dxa" w:w="1037"/>
            <w:shd w:val="clear" w:color="auto" w:fill="F2F4F7"/>
          </w:tcPr>
          <w:p>
            <w:r/>
            <w:r>
              <w:rPr>
                <w:rFonts w:ascii="Arial" w:hAnsi="Arial"/>
                <w:sz w:val="15"/>
              </w:rPr>
              <w:t>Technical</w:t>
            </w:r>
          </w:p>
        </w:tc>
        <w:tc>
          <w:tcPr>
            <w:tcW w:type="dxa" w:w="2520"/>
            <w:shd w:val="clear" w:color="auto" w:fill="F2F4F7"/>
          </w:tcPr>
          <w:p>
            <w:r/>
            <w:r>
              <w:rPr>
                <w:rFonts w:ascii="Arial" w:hAnsi="Arial"/>
                <w:sz w:val="15"/>
              </w:rPr>
              <w:t>Key Vault migration blocked by private link</w:t>
            </w:r>
          </w:p>
        </w:tc>
        <w:tc>
          <w:tcPr>
            <w:tcW w:type="dxa" w:w="605"/>
            <w:shd w:val="clear" w:color="auto" w:fill="F2F4F7"/>
          </w:tcPr>
          <w:p>
            <w:r/>
            <w:r>
              <w:rPr>
                <w:rFonts w:ascii="Arial" w:hAnsi="Arial"/>
                <w:sz w:val="15"/>
              </w:rPr>
              <w:t>High</w:t>
            </w:r>
          </w:p>
        </w:tc>
        <w:tc>
          <w:tcPr>
            <w:tcW w:type="dxa" w:w="648"/>
            <w:shd w:val="clear" w:color="auto" w:fill="F2F4F7"/>
          </w:tcPr>
          <w:p>
            <w:r/>
            <w:r>
              <w:rPr>
                <w:rFonts w:ascii="Arial" w:hAnsi="Arial"/>
                <w:sz w:val="15"/>
              </w:rPr>
              <w:t>Medium</w:t>
            </w:r>
          </w:p>
        </w:tc>
        <w:tc>
          <w:tcPr>
            <w:tcW w:type="dxa" w:w="3312"/>
            <w:shd w:val="clear" w:color="auto" w:fill="F2F4F7"/>
          </w:tcPr>
          <w:p>
            <w:r/>
            <w:r>
              <w:rPr>
                <w:rFonts w:ascii="Arial" w:hAnsi="Arial"/>
                <w:sz w:val="15"/>
              </w:rPr>
              <w:t>Secrets remain in App Service configuration, encrypted at rest. Migration to be performed from an approved network.</w:t>
            </w:r>
          </w:p>
        </w:tc>
        <w:tc>
          <w:tcPr>
            <w:tcW w:type="dxa" w:w="792"/>
            <w:shd w:val="clear" w:color="auto" w:fill="F2F4F7"/>
          </w:tcPr>
          <w:p>
            <w:r/>
            <w:r>
              <w:rPr>
                <w:rFonts w:ascii="Arial" w:hAnsi="Arial"/>
                <w:sz w:val="15"/>
              </w:rPr>
              <w:t>AGT</w:t>
            </w:r>
          </w:p>
        </w:tc>
      </w:tr>
      <w:tr>
        <w:tc>
          <w:tcPr>
            <w:tcW w:type="dxa" w:w="605"/>
          </w:tcPr>
          <w:p>
            <w:r/>
            <w:r>
              <w:rPr>
                <w:rFonts w:ascii="Arial" w:hAnsi="Arial"/>
                <w:sz w:val="15"/>
              </w:rPr>
              <w:t>R-05</w:t>
            </w:r>
          </w:p>
        </w:tc>
        <w:tc>
          <w:tcPr>
            <w:tcW w:type="dxa" w:w="1037"/>
          </w:tcPr>
          <w:p>
            <w:r/>
            <w:r>
              <w:rPr>
                <w:rFonts w:ascii="Arial" w:hAnsi="Arial"/>
                <w:sz w:val="15"/>
              </w:rPr>
              <w:t>Technical</w:t>
            </w:r>
          </w:p>
        </w:tc>
        <w:tc>
          <w:tcPr>
            <w:tcW w:type="dxa" w:w="2520"/>
          </w:tcPr>
          <w:p>
            <w:r/>
            <w:r>
              <w:rPr>
                <w:rFonts w:ascii="Arial" w:hAnsi="Arial"/>
                <w:sz w:val="15"/>
              </w:rPr>
              <w:t>Authoritative source outage during a review cycle</w:t>
            </w:r>
          </w:p>
        </w:tc>
        <w:tc>
          <w:tcPr>
            <w:tcW w:type="dxa" w:w="605"/>
          </w:tcPr>
          <w:p>
            <w:r/>
            <w:r>
              <w:rPr>
                <w:rFonts w:ascii="Arial" w:hAnsi="Arial"/>
                <w:sz w:val="15"/>
              </w:rPr>
              <w:t>Medium</w:t>
            </w:r>
          </w:p>
        </w:tc>
        <w:tc>
          <w:tcPr>
            <w:tcW w:type="dxa" w:w="648"/>
          </w:tcPr>
          <w:p>
            <w:r/>
            <w:r>
              <w:rPr>
                <w:rFonts w:ascii="Arial" w:hAnsi="Arial"/>
                <w:sz w:val="15"/>
              </w:rPr>
              <w:t>Medium</w:t>
            </w:r>
          </w:p>
        </w:tc>
        <w:tc>
          <w:tcPr>
            <w:tcW w:type="dxa" w:w="3312"/>
          </w:tcPr>
          <w:p>
            <w:r/>
            <w:r>
              <w:rPr>
                <w:rFonts w:ascii="Arial" w:hAnsi="Arial"/>
                <w:sz w:val="15"/>
              </w:rPr>
              <w:t>Outages recorded as 'unavailable' and excluded from scoring, never collapsed into a clean result. Partial-pass rule prevents an outage from demoting a clean entity.</w:t>
            </w:r>
          </w:p>
        </w:tc>
        <w:tc>
          <w:tcPr>
            <w:tcW w:type="dxa" w:w="792"/>
          </w:tcPr>
          <w:p>
            <w:r/>
            <w:r>
              <w:rPr>
                <w:rFonts w:ascii="Arial" w:hAnsi="Arial"/>
                <w:sz w:val="15"/>
              </w:rPr>
              <w:t>AGT</w:t>
            </w:r>
          </w:p>
        </w:tc>
      </w:tr>
      <w:tr>
        <w:tc>
          <w:tcPr>
            <w:tcW w:type="dxa" w:w="605"/>
            <w:shd w:val="clear" w:color="auto" w:fill="F2F4F7"/>
          </w:tcPr>
          <w:p>
            <w:r/>
            <w:r>
              <w:rPr>
                <w:rFonts w:ascii="Arial" w:hAnsi="Arial"/>
                <w:sz w:val="15"/>
              </w:rPr>
              <w:t>R-06</w:t>
            </w:r>
          </w:p>
        </w:tc>
        <w:tc>
          <w:tcPr>
            <w:tcW w:type="dxa" w:w="1037"/>
            <w:shd w:val="clear" w:color="auto" w:fill="F2F4F7"/>
          </w:tcPr>
          <w:p>
            <w:r/>
            <w:r>
              <w:rPr>
                <w:rFonts w:ascii="Arial" w:hAnsi="Arial"/>
                <w:sz w:val="15"/>
              </w:rPr>
              <w:t>Technical</w:t>
            </w:r>
          </w:p>
        </w:tc>
        <w:tc>
          <w:tcPr>
            <w:tcW w:type="dxa" w:w="2520"/>
            <w:shd w:val="clear" w:color="auto" w:fill="F2F4F7"/>
          </w:tcPr>
          <w:p>
            <w:r/>
            <w:r>
              <w:rPr>
                <w:rFonts w:ascii="Arial" w:hAnsi="Arial"/>
                <w:sz w:val="15"/>
              </w:rPr>
              <w:t>Third-party API contract change breaks a connector</w:t>
            </w:r>
          </w:p>
        </w:tc>
        <w:tc>
          <w:tcPr>
            <w:tcW w:type="dxa" w:w="605"/>
            <w:shd w:val="clear" w:color="auto" w:fill="F2F4F7"/>
          </w:tcPr>
          <w:p>
            <w:r/>
            <w:r>
              <w:rPr>
                <w:rFonts w:ascii="Arial" w:hAnsi="Arial"/>
                <w:sz w:val="15"/>
              </w:rPr>
              <w:t>Medium</w:t>
            </w:r>
          </w:p>
        </w:tc>
        <w:tc>
          <w:tcPr>
            <w:tcW w:type="dxa" w:w="648"/>
            <w:shd w:val="clear" w:color="auto" w:fill="F2F4F7"/>
          </w:tcPr>
          <w:p>
            <w:r/>
            <w:r>
              <w:rPr>
                <w:rFonts w:ascii="Arial" w:hAnsi="Arial"/>
                <w:sz w:val="15"/>
              </w:rPr>
              <w:t>Medium</w:t>
            </w:r>
          </w:p>
        </w:tc>
        <w:tc>
          <w:tcPr>
            <w:tcW w:type="dxa" w:w="3312"/>
            <w:shd w:val="clear" w:color="auto" w:fill="F2F4F7"/>
          </w:tcPr>
          <w:p>
            <w:r/>
            <w:r>
              <w:rPr>
                <w:rFonts w:ascii="Arial" w:hAnsi="Arial"/>
                <w:sz w:val="15"/>
              </w:rPr>
              <w:t>Each connector returns a common result object; failures fail closed to 'unavailable'. Connector health surfaced on the health endpoint.</w:t>
            </w:r>
          </w:p>
        </w:tc>
        <w:tc>
          <w:tcPr>
            <w:tcW w:type="dxa" w:w="792"/>
            <w:shd w:val="clear" w:color="auto" w:fill="F2F4F7"/>
          </w:tcPr>
          <w:p>
            <w:r/>
            <w:r>
              <w:rPr>
                <w:rFonts w:ascii="Arial" w:hAnsi="Arial"/>
                <w:sz w:val="15"/>
              </w:rPr>
              <w:t>AGT</w:t>
            </w:r>
          </w:p>
        </w:tc>
      </w:tr>
      <w:tr>
        <w:tc>
          <w:tcPr>
            <w:tcW w:type="dxa" w:w="605"/>
          </w:tcPr>
          <w:p>
            <w:r/>
            <w:r>
              <w:rPr>
                <w:rFonts w:ascii="Arial" w:hAnsi="Arial"/>
                <w:sz w:val="15"/>
              </w:rPr>
              <w:t>R-07</w:t>
            </w:r>
          </w:p>
        </w:tc>
        <w:tc>
          <w:tcPr>
            <w:tcW w:type="dxa" w:w="1037"/>
          </w:tcPr>
          <w:p>
            <w:r/>
            <w:r>
              <w:rPr>
                <w:rFonts w:ascii="Arial" w:hAnsi="Arial"/>
                <w:sz w:val="15"/>
              </w:rPr>
              <w:t>Contract</w:t>
            </w:r>
          </w:p>
        </w:tc>
        <w:tc>
          <w:tcPr>
            <w:tcW w:type="dxa" w:w="2520"/>
          </w:tcPr>
          <w:p>
            <w:r/>
            <w:r>
              <w:rPr>
                <w:rFonts w:ascii="Arial" w:hAnsi="Arial"/>
                <w:sz w:val="15"/>
              </w:rPr>
              <w:t>ONC does not accept the Task 2 methodology as submitted</w:t>
            </w:r>
          </w:p>
        </w:tc>
        <w:tc>
          <w:tcPr>
            <w:tcW w:type="dxa" w:w="605"/>
          </w:tcPr>
          <w:p>
            <w:r/>
            <w:r>
              <w:rPr>
                <w:rFonts w:ascii="Arial" w:hAnsi="Arial"/>
                <w:sz w:val="15"/>
              </w:rPr>
              <w:t>Medium</w:t>
            </w:r>
          </w:p>
        </w:tc>
        <w:tc>
          <w:tcPr>
            <w:tcW w:type="dxa" w:w="648"/>
          </w:tcPr>
          <w:p>
            <w:r/>
            <w:r>
              <w:rPr>
                <w:rFonts w:ascii="Arial" w:hAnsi="Arial"/>
                <w:sz w:val="15"/>
              </w:rPr>
              <w:t>High</w:t>
            </w:r>
          </w:p>
        </w:tc>
        <w:tc>
          <w:tcPr>
            <w:tcW w:type="dxa" w:w="3312"/>
          </w:tcPr>
          <w:p>
            <w:r/>
            <w:r>
              <w:rPr>
                <w:rFonts w:ascii="Arial" w:hAnsi="Arial"/>
                <w:sz w:val="15"/>
              </w:rPr>
              <w:t>Rules are versioned with effective dates; a methodology change creates a new version and retires the prior one without invalidating completed classifications.</w:t>
            </w:r>
          </w:p>
        </w:tc>
        <w:tc>
          <w:tcPr>
            <w:tcW w:type="dxa" w:w="792"/>
          </w:tcPr>
          <w:p>
            <w:r/>
            <w:r>
              <w:rPr>
                <w:rFonts w:ascii="Arial" w:hAnsi="Arial"/>
                <w:sz w:val="15"/>
              </w:rPr>
              <w:t>AGT / ONC</w:t>
            </w:r>
          </w:p>
        </w:tc>
      </w:tr>
      <w:tr>
        <w:tc>
          <w:tcPr>
            <w:tcW w:type="dxa" w:w="605"/>
            <w:shd w:val="clear" w:color="auto" w:fill="F2F4F7"/>
          </w:tcPr>
          <w:p>
            <w:r/>
            <w:r>
              <w:rPr>
                <w:rFonts w:ascii="Arial" w:hAnsi="Arial"/>
                <w:sz w:val="15"/>
              </w:rPr>
              <w:t>R-08</w:t>
            </w:r>
          </w:p>
        </w:tc>
        <w:tc>
          <w:tcPr>
            <w:tcW w:type="dxa" w:w="1037"/>
            <w:shd w:val="clear" w:color="auto" w:fill="F2F4F7"/>
          </w:tcPr>
          <w:p>
            <w:r/>
            <w:r>
              <w:rPr>
                <w:rFonts w:ascii="Arial" w:hAnsi="Arial"/>
                <w:sz w:val="15"/>
              </w:rPr>
              <w:t>Contract</w:t>
            </w:r>
          </w:p>
        </w:tc>
        <w:tc>
          <w:tcPr>
            <w:tcW w:type="dxa" w:w="2520"/>
            <w:shd w:val="clear" w:color="auto" w:fill="F2F4F7"/>
          </w:tcPr>
          <w:p>
            <w:r/>
            <w:r>
              <w:rPr>
                <w:rFonts w:ascii="Arial" w:hAnsi="Arial"/>
                <w:sz w:val="15"/>
              </w:rPr>
              <w:t>Methodology changes mid-period require re-classification of already-reported entities</w:t>
            </w:r>
          </w:p>
        </w:tc>
        <w:tc>
          <w:tcPr>
            <w:tcW w:type="dxa" w:w="605"/>
            <w:shd w:val="clear" w:color="auto" w:fill="F2F4F7"/>
          </w:tcPr>
          <w:p>
            <w:r/>
            <w:r>
              <w:rPr>
                <w:rFonts w:ascii="Arial" w:hAnsi="Arial"/>
                <w:sz w:val="15"/>
              </w:rPr>
              <w:t>Medium</w:t>
            </w:r>
          </w:p>
        </w:tc>
        <w:tc>
          <w:tcPr>
            <w:tcW w:type="dxa" w:w="648"/>
            <w:shd w:val="clear" w:color="auto" w:fill="F2F4F7"/>
          </w:tcPr>
          <w:p>
            <w:r/>
            <w:r>
              <w:rPr>
                <w:rFonts w:ascii="Arial" w:hAnsi="Arial"/>
                <w:sz w:val="15"/>
              </w:rPr>
              <w:t>Medium</w:t>
            </w:r>
          </w:p>
        </w:tc>
        <w:tc>
          <w:tcPr>
            <w:tcW w:type="dxa" w:w="3312"/>
            <w:shd w:val="clear" w:color="auto" w:fill="F2F4F7"/>
          </w:tcPr>
          <w:p>
            <w:r/>
            <w:r>
              <w:rPr>
                <w:rFonts w:ascii="Arial" w:hAnsi="Arial"/>
                <w:sz w:val="15"/>
              </w:rPr>
              <w:t>Every classification records its rule version, so the scope of any re-run is exactly determinable.</w:t>
            </w:r>
          </w:p>
        </w:tc>
        <w:tc>
          <w:tcPr>
            <w:tcW w:type="dxa" w:w="792"/>
            <w:shd w:val="clear" w:color="auto" w:fill="F2F4F7"/>
          </w:tcPr>
          <w:p>
            <w:r/>
            <w:r>
              <w:rPr>
                <w:rFonts w:ascii="Arial" w:hAnsi="Arial"/>
                <w:sz w:val="15"/>
              </w:rPr>
              <w:t>AGT</w:t>
            </w:r>
          </w:p>
        </w:tc>
      </w:tr>
      <w:tr>
        <w:tc>
          <w:tcPr>
            <w:tcW w:type="dxa" w:w="605"/>
          </w:tcPr>
          <w:p>
            <w:r/>
            <w:r>
              <w:rPr>
                <w:rFonts w:ascii="Arial" w:hAnsi="Arial"/>
                <w:sz w:val="15"/>
              </w:rPr>
              <w:t>R-09</w:t>
            </w:r>
          </w:p>
        </w:tc>
        <w:tc>
          <w:tcPr>
            <w:tcW w:type="dxa" w:w="1037"/>
          </w:tcPr>
          <w:p>
            <w:r/>
            <w:r>
              <w:rPr>
                <w:rFonts w:ascii="Arial" w:hAnsi="Arial"/>
                <w:sz w:val="15"/>
              </w:rPr>
              <w:t>Operational</w:t>
            </w:r>
          </w:p>
        </w:tc>
        <w:tc>
          <w:tcPr>
            <w:tcW w:type="dxa" w:w="2520"/>
          </w:tcPr>
          <w:p>
            <w:r/>
            <w:r>
              <w:rPr>
                <w:rFonts w:ascii="Arial" w:hAnsi="Arial"/>
                <w:sz w:val="15"/>
              </w:rPr>
              <w:t>ONC-supplied entity data is incomplete or malformed</w:t>
            </w:r>
          </w:p>
        </w:tc>
        <w:tc>
          <w:tcPr>
            <w:tcW w:type="dxa" w:w="605"/>
          </w:tcPr>
          <w:p>
            <w:r/>
            <w:r>
              <w:rPr>
                <w:rFonts w:ascii="Arial" w:hAnsi="Arial"/>
                <w:sz w:val="15"/>
              </w:rPr>
              <w:t>Medium</w:t>
            </w:r>
          </w:p>
        </w:tc>
        <w:tc>
          <w:tcPr>
            <w:tcW w:type="dxa" w:w="648"/>
          </w:tcPr>
          <w:p>
            <w:r/>
            <w:r>
              <w:rPr>
                <w:rFonts w:ascii="Arial" w:hAnsi="Arial"/>
                <w:sz w:val="15"/>
              </w:rPr>
              <w:t>Medium</w:t>
            </w:r>
          </w:p>
        </w:tc>
        <w:tc>
          <w:tcPr>
            <w:tcW w:type="dxa" w:w="3312"/>
          </w:tcPr>
          <w:p>
            <w:r/>
            <w:r>
              <w:rPr>
                <w:rFonts w:ascii="Arial" w:hAnsi="Arial"/>
                <w:sz w:val="15"/>
              </w:rPr>
              <w:t>Import records per-row errors in the batch record; invalid NPIs are flagged, never silently rejected.</w:t>
            </w:r>
          </w:p>
        </w:tc>
        <w:tc>
          <w:tcPr>
            <w:tcW w:type="dxa" w:w="792"/>
          </w:tcPr>
          <w:p>
            <w:r/>
            <w:r>
              <w:rPr>
                <w:rFonts w:ascii="Arial" w:hAnsi="Arial"/>
                <w:sz w:val="15"/>
              </w:rPr>
              <w:t>ONC / AGT</w:t>
            </w:r>
          </w:p>
        </w:tc>
      </w:tr>
      <w:tr>
        <w:tc>
          <w:tcPr>
            <w:tcW w:type="dxa" w:w="605"/>
            <w:shd w:val="clear" w:color="auto" w:fill="F2F4F7"/>
          </w:tcPr>
          <w:p>
            <w:r/>
            <w:r>
              <w:rPr>
                <w:rFonts w:ascii="Arial" w:hAnsi="Arial"/>
                <w:sz w:val="15"/>
              </w:rPr>
              <w:t>R-10</w:t>
            </w:r>
          </w:p>
        </w:tc>
        <w:tc>
          <w:tcPr>
            <w:tcW w:type="dxa" w:w="1037"/>
            <w:shd w:val="clear" w:color="auto" w:fill="F2F4F7"/>
          </w:tcPr>
          <w:p>
            <w:r/>
            <w:r>
              <w:rPr>
                <w:rFonts w:ascii="Arial" w:hAnsi="Arial"/>
                <w:sz w:val="15"/>
              </w:rPr>
              <w:t>Operational</w:t>
            </w:r>
          </w:p>
        </w:tc>
        <w:tc>
          <w:tcPr>
            <w:tcW w:type="dxa" w:w="2520"/>
            <w:shd w:val="clear" w:color="auto" w:fill="F2F4F7"/>
          </w:tcPr>
          <w:p>
            <w:r/>
            <w:r>
              <w:rPr>
                <w:rFonts w:ascii="Arial" w:hAnsi="Arial"/>
                <w:sz w:val="15"/>
              </w:rPr>
              <w:t>Registry population grows faster than review capacity</w:t>
            </w:r>
          </w:p>
        </w:tc>
        <w:tc>
          <w:tcPr>
            <w:tcW w:type="dxa" w:w="605"/>
            <w:shd w:val="clear" w:color="auto" w:fill="F2F4F7"/>
          </w:tcPr>
          <w:p>
            <w:r/>
            <w:r>
              <w:rPr>
                <w:rFonts w:ascii="Arial" w:hAnsi="Arial"/>
                <w:sz w:val="15"/>
              </w:rPr>
              <w:t>Medium</w:t>
            </w:r>
          </w:p>
        </w:tc>
        <w:tc>
          <w:tcPr>
            <w:tcW w:type="dxa" w:w="648"/>
            <w:shd w:val="clear" w:color="auto" w:fill="F2F4F7"/>
          </w:tcPr>
          <w:p>
            <w:r/>
            <w:r>
              <w:rPr>
                <w:rFonts w:ascii="Arial" w:hAnsi="Arial"/>
                <w:sz w:val="15"/>
              </w:rPr>
              <w:t>Medium</w:t>
            </w:r>
          </w:p>
        </w:tc>
        <w:tc>
          <w:tcPr>
            <w:tcW w:type="dxa" w:w="3312"/>
            <w:shd w:val="clear" w:color="auto" w:fill="F2F4F7"/>
          </w:tcPr>
          <w:p>
            <w:r/>
            <w:r>
              <w:rPr>
                <w:rFonts w:ascii="Arial" w:hAnsi="Arial"/>
                <w:sz w:val="15"/>
              </w:rPr>
              <w:t>Sample size recalculated per cycle with finite population correction; prioritisation methodology targets higher-risk strata first.</w:t>
            </w:r>
          </w:p>
        </w:tc>
        <w:tc>
          <w:tcPr>
            <w:tcW w:type="dxa" w:w="792"/>
            <w:shd w:val="clear" w:color="auto" w:fill="F2F4F7"/>
          </w:tcPr>
          <w:p>
            <w:r/>
            <w:r>
              <w:rPr>
                <w:rFonts w:ascii="Arial" w:hAnsi="Arial"/>
                <w:sz w:val="15"/>
              </w:rPr>
              <w:t>AGT</w:t>
            </w:r>
          </w:p>
        </w:tc>
      </w:tr>
      <w:tr>
        <w:tc>
          <w:tcPr>
            <w:tcW w:type="dxa" w:w="605"/>
          </w:tcPr>
          <w:p>
            <w:r/>
            <w:r>
              <w:rPr>
                <w:rFonts w:ascii="Arial" w:hAnsi="Arial"/>
                <w:sz w:val="15"/>
              </w:rPr>
              <w:t>R-11</w:t>
            </w:r>
          </w:p>
        </w:tc>
        <w:tc>
          <w:tcPr>
            <w:tcW w:type="dxa" w:w="1037"/>
          </w:tcPr>
          <w:p>
            <w:r/>
            <w:r>
              <w:rPr>
                <w:rFonts w:ascii="Arial" w:hAnsi="Arial"/>
                <w:sz w:val="15"/>
              </w:rPr>
              <w:t>Operational</w:t>
            </w:r>
          </w:p>
        </w:tc>
        <w:tc>
          <w:tcPr>
            <w:tcW w:type="dxa" w:w="2520"/>
          </w:tcPr>
          <w:p>
            <w:r/>
            <w:r>
              <w:rPr>
                <w:rFonts w:ascii="Arial" w:hAnsi="Arial"/>
                <w:sz w:val="15"/>
              </w:rPr>
              <w:t>B3 review queue exceeds human review capacity</w:t>
            </w:r>
          </w:p>
        </w:tc>
        <w:tc>
          <w:tcPr>
            <w:tcW w:type="dxa" w:w="605"/>
          </w:tcPr>
          <w:p>
            <w:r/>
            <w:r>
              <w:rPr>
                <w:rFonts w:ascii="Arial" w:hAnsi="Arial"/>
                <w:sz w:val="15"/>
              </w:rPr>
              <w:t>Medium</w:t>
            </w:r>
          </w:p>
        </w:tc>
        <w:tc>
          <w:tcPr>
            <w:tcW w:type="dxa" w:w="648"/>
          </w:tcPr>
          <w:p>
            <w:r/>
            <w:r>
              <w:rPr>
                <w:rFonts w:ascii="Arial" w:hAnsi="Arial"/>
                <w:sz w:val="15"/>
              </w:rPr>
              <w:t>Medium</w:t>
            </w:r>
          </w:p>
        </w:tc>
        <w:tc>
          <w:tcPr>
            <w:tcW w:type="dxa" w:w="3312"/>
          </w:tcPr>
          <w:p>
            <w:r/>
            <w:r>
              <w:rPr>
                <w:rFonts w:ascii="Arial" w:hAnsi="Arial"/>
                <w:sz w:val="15"/>
              </w:rPr>
              <w:t>Prioritisation and severity assessment order the queue; B3 volume is reported per cycle so the trend is visible before it becomes a backlog.</w:t>
            </w:r>
          </w:p>
        </w:tc>
        <w:tc>
          <w:tcPr>
            <w:tcW w:type="dxa" w:w="792"/>
          </w:tcPr>
          <w:p>
            <w:r/>
            <w:r>
              <w:rPr>
                <w:rFonts w:ascii="Arial" w:hAnsi="Arial"/>
                <w:sz w:val="15"/>
              </w:rPr>
              <w:t>AGT / ONC</w:t>
            </w:r>
          </w:p>
        </w:tc>
      </w:tr>
      <w:tr>
        <w:tc>
          <w:tcPr>
            <w:tcW w:type="dxa" w:w="605"/>
            <w:shd w:val="clear" w:color="auto" w:fill="F2F4F7"/>
          </w:tcPr>
          <w:p>
            <w:r/>
            <w:r>
              <w:rPr>
                <w:rFonts w:ascii="Arial" w:hAnsi="Arial"/>
                <w:sz w:val="15"/>
              </w:rPr>
              <w:t>R-12</w:t>
            </w:r>
          </w:p>
        </w:tc>
        <w:tc>
          <w:tcPr>
            <w:tcW w:type="dxa" w:w="1037"/>
            <w:shd w:val="clear" w:color="auto" w:fill="F2F4F7"/>
          </w:tcPr>
          <w:p>
            <w:r/>
            <w:r>
              <w:rPr>
                <w:rFonts w:ascii="Arial" w:hAnsi="Arial"/>
                <w:sz w:val="15"/>
              </w:rPr>
              <w:t>Security</w:t>
            </w:r>
          </w:p>
        </w:tc>
        <w:tc>
          <w:tcPr>
            <w:tcW w:type="dxa" w:w="2520"/>
            <w:shd w:val="clear" w:color="auto" w:fill="F2F4F7"/>
          </w:tcPr>
          <w:p>
            <w:r/>
            <w:r>
              <w:rPr>
                <w:rFonts w:ascii="Arial" w:hAnsi="Arial"/>
                <w:sz w:val="15"/>
              </w:rPr>
              <w:t>Three High-severity findings remain open</w:t>
            </w:r>
          </w:p>
        </w:tc>
        <w:tc>
          <w:tcPr>
            <w:tcW w:type="dxa" w:w="605"/>
            <w:shd w:val="clear" w:color="auto" w:fill="F2F4F7"/>
          </w:tcPr>
          <w:p>
            <w:r/>
            <w:r>
              <w:rPr>
                <w:rFonts w:ascii="Arial" w:hAnsi="Arial"/>
                <w:sz w:val="15"/>
              </w:rPr>
              <w:t>High</w:t>
            </w:r>
          </w:p>
        </w:tc>
        <w:tc>
          <w:tcPr>
            <w:tcW w:type="dxa" w:w="648"/>
            <w:shd w:val="clear" w:color="auto" w:fill="F2F4F7"/>
          </w:tcPr>
          <w:p>
            <w:r/>
            <w:r>
              <w:rPr>
                <w:rFonts w:ascii="Arial" w:hAnsi="Arial"/>
                <w:sz w:val="15"/>
              </w:rPr>
              <w:t>Low</w:t>
            </w:r>
          </w:p>
        </w:tc>
        <w:tc>
          <w:tcPr>
            <w:tcW w:type="dxa" w:w="3312"/>
            <w:shd w:val="clear" w:color="auto" w:fill="F2F4F7"/>
          </w:tcPr>
          <w:p>
            <w:r/>
            <w:r>
              <w:rPr>
                <w:rFonts w:ascii="Arial" w:hAnsi="Arial"/>
                <w:sz w:val="15"/>
              </w:rPr>
              <w:t>All three formally accepted with rationale and compensating controls; review date 31 October 2026.</w:t>
            </w:r>
          </w:p>
        </w:tc>
        <w:tc>
          <w:tcPr>
            <w:tcW w:type="dxa" w:w="792"/>
            <w:shd w:val="clear" w:color="auto" w:fill="F2F4F7"/>
          </w:tcPr>
          <w:p>
            <w:r/>
            <w:r>
              <w:rPr>
                <w:rFonts w:ascii="Arial" w:hAnsi="Arial"/>
                <w:sz w:val="15"/>
              </w:rPr>
              <w:t>AGT</w:t>
            </w:r>
          </w:p>
        </w:tc>
      </w:tr>
      <w:tr>
        <w:tc>
          <w:tcPr>
            <w:tcW w:type="dxa" w:w="605"/>
          </w:tcPr>
          <w:p>
            <w:r/>
            <w:r>
              <w:rPr>
                <w:rFonts w:ascii="Arial" w:hAnsi="Arial"/>
                <w:sz w:val="15"/>
              </w:rPr>
              <w:t>R-13</w:t>
            </w:r>
          </w:p>
        </w:tc>
        <w:tc>
          <w:tcPr>
            <w:tcW w:type="dxa" w:w="1037"/>
          </w:tcPr>
          <w:p>
            <w:r/>
            <w:r>
              <w:rPr>
                <w:rFonts w:ascii="Arial" w:hAnsi="Arial"/>
                <w:sz w:val="15"/>
              </w:rPr>
              <w:t>Security</w:t>
            </w:r>
          </w:p>
        </w:tc>
        <w:tc>
          <w:tcPr>
            <w:tcW w:type="dxa" w:w="2520"/>
          </w:tcPr>
          <w:p>
            <w:r/>
            <w:r>
              <w:rPr>
                <w:rFonts w:ascii="Arial" w:hAnsi="Arial"/>
                <w:sz w:val="15"/>
              </w:rPr>
              <w:t>No independent 3PAO assessment performed</w:t>
            </w:r>
          </w:p>
        </w:tc>
        <w:tc>
          <w:tcPr>
            <w:tcW w:type="dxa" w:w="605"/>
          </w:tcPr>
          <w:p>
            <w:r/>
            <w:r>
              <w:rPr>
                <w:rFonts w:ascii="Arial" w:hAnsi="Arial"/>
                <w:sz w:val="15"/>
              </w:rPr>
              <w:t>High</w:t>
            </w:r>
          </w:p>
        </w:tc>
        <w:tc>
          <w:tcPr>
            <w:tcW w:type="dxa" w:w="648"/>
          </w:tcPr>
          <w:p>
            <w:r/>
            <w:r>
              <w:rPr>
                <w:rFonts w:ascii="Arial" w:hAnsi="Arial"/>
                <w:sz w:val="15"/>
              </w:rPr>
              <w:t>Medium</w:t>
            </w:r>
          </w:p>
        </w:tc>
        <w:tc>
          <w:tcPr>
            <w:tcW w:type="dxa" w:w="3312"/>
          </w:tcPr>
          <w:p>
            <w:r/>
            <w:r>
              <w:rPr>
                <w:rFonts w:ascii="Arial" w:hAnsi="Arial"/>
                <w:sz w:val="15"/>
              </w:rPr>
              <w:t>Automated Security Assessment performed and documented (AGT-SA-001). 3PAO engagement required before ATO if the government requires one.</w:t>
            </w:r>
          </w:p>
        </w:tc>
        <w:tc>
          <w:tcPr>
            <w:tcW w:type="dxa" w:w="792"/>
          </w:tcPr>
          <w:p>
            <w:r/>
            <w:r>
              <w:rPr>
                <w:rFonts w:ascii="Arial" w:hAnsi="Arial"/>
                <w:sz w:val="15"/>
              </w:rPr>
              <w:t>ONC</w:t>
            </w:r>
          </w:p>
        </w:tc>
      </w:tr>
      <w:tr>
        <w:tc>
          <w:tcPr>
            <w:tcW w:type="dxa" w:w="605"/>
            <w:shd w:val="clear" w:color="auto" w:fill="F2F4F7"/>
          </w:tcPr>
          <w:p>
            <w:r/>
            <w:r>
              <w:rPr>
                <w:rFonts w:ascii="Arial" w:hAnsi="Arial"/>
                <w:sz w:val="15"/>
              </w:rPr>
              <w:t>R-14</w:t>
            </w:r>
          </w:p>
        </w:tc>
        <w:tc>
          <w:tcPr>
            <w:tcW w:type="dxa" w:w="1037"/>
            <w:shd w:val="clear" w:color="auto" w:fill="F2F4F7"/>
          </w:tcPr>
          <w:p>
            <w:r/>
            <w:r>
              <w:rPr>
                <w:rFonts w:ascii="Arial" w:hAnsi="Arial"/>
                <w:sz w:val="15"/>
              </w:rPr>
              <w:t>Security</w:t>
            </w:r>
          </w:p>
        </w:tc>
        <w:tc>
          <w:tcPr>
            <w:tcW w:type="dxa" w:w="2520"/>
            <w:shd w:val="clear" w:color="auto" w:fill="F2F4F7"/>
          </w:tcPr>
          <w:p>
            <w:r/>
            <w:r>
              <w:rPr>
                <w:rFonts w:ascii="Arial" w:hAnsi="Arial"/>
                <w:sz w:val="15"/>
              </w:rPr>
              <w:t>Dynamic Application Security Testing not yet executed</w:t>
            </w:r>
          </w:p>
        </w:tc>
        <w:tc>
          <w:tcPr>
            <w:tcW w:type="dxa" w:w="605"/>
            <w:shd w:val="clear" w:color="auto" w:fill="F2F4F7"/>
          </w:tcPr>
          <w:p>
            <w:r/>
            <w:r>
              <w:rPr>
                <w:rFonts w:ascii="Arial" w:hAnsi="Arial"/>
                <w:sz w:val="15"/>
              </w:rPr>
              <w:t>Medium</w:t>
            </w:r>
          </w:p>
        </w:tc>
        <w:tc>
          <w:tcPr>
            <w:tcW w:type="dxa" w:w="648"/>
            <w:shd w:val="clear" w:color="auto" w:fill="F2F4F7"/>
          </w:tcPr>
          <w:p>
            <w:r/>
            <w:r>
              <w:rPr>
                <w:rFonts w:ascii="Arial" w:hAnsi="Arial"/>
                <w:sz w:val="15"/>
              </w:rPr>
              <w:t>Medium</w:t>
            </w:r>
          </w:p>
        </w:tc>
        <w:tc>
          <w:tcPr>
            <w:tcW w:type="dxa" w:w="3312"/>
            <w:shd w:val="clear" w:color="auto" w:fill="F2F4F7"/>
          </w:tcPr>
          <w:p>
            <w:r/>
            <w:r>
              <w:rPr>
                <w:rFonts w:ascii="Arial" w:hAnsi="Arial"/>
                <w:sz w:val="15"/>
              </w:rPr>
              <w:t>Two CI pipelines built (unauthenticated and authenticated), scheduled weekly, dev-only. Results reported as Not Executed until they run.</w:t>
            </w:r>
          </w:p>
        </w:tc>
        <w:tc>
          <w:tcPr>
            <w:tcW w:type="dxa" w:w="792"/>
            <w:shd w:val="clear" w:color="auto" w:fill="F2F4F7"/>
          </w:tcPr>
          <w:p>
            <w:r/>
            <w:r>
              <w:rPr>
                <w:rFonts w:ascii="Arial" w:hAnsi="Arial"/>
                <w:sz w:val="15"/>
              </w:rPr>
              <w:t>AGT</w:t>
            </w:r>
          </w:p>
        </w:tc>
      </w:tr>
      <w:tr>
        <w:tc>
          <w:tcPr>
            <w:tcW w:type="dxa" w:w="605"/>
          </w:tcPr>
          <w:p>
            <w:r/>
            <w:r>
              <w:rPr>
                <w:rFonts w:ascii="Arial" w:hAnsi="Arial"/>
                <w:sz w:val="15"/>
              </w:rPr>
              <w:t>R-15</w:t>
            </w:r>
          </w:p>
        </w:tc>
        <w:tc>
          <w:tcPr>
            <w:tcW w:type="dxa" w:w="1037"/>
          </w:tcPr>
          <w:p>
            <w:r/>
            <w:r>
              <w:rPr>
                <w:rFonts w:ascii="Arial" w:hAnsi="Arial"/>
                <w:sz w:val="15"/>
              </w:rPr>
              <w:t>Operational</w:t>
            </w:r>
          </w:p>
        </w:tc>
        <w:tc>
          <w:tcPr>
            <w:tcW w:type="dxa" w:w="2520"/>
          </w:tcPr>
          <w:p>
            <w:r/>
            <w:r>
              <w:rPr>
                <w:rFonts w:ascii="Arial" w:hAnsi="Arial"/>
                <w:sz w:val="15"/>
              </w:rPr>
              <w:t>Database restore procedure never rehearsed, so recovery time objective is unmeasured</w:t>
            </w:r>
          </w:p>
        </w:tc>
        <w:tc>
          <w:tcPr>
            <w:tcW w:type="dxa" w:w="605"/>
          </w:tcPr>
          <w:p>
            <w:r/>
            <w:r>
              <w:rPr>
                <w:rFonts w:ascii="Arial" w:hAnsi="Arial"/>
                <w:sz w:val="15"/>
              </w:rPr>
              <w:t>Medium</w:t>
            </w:r>
          </w:p>
        </w:tc>
        <w:tc>
          <w:tcPr>
            <w:tcW w:type="dxa" w:w="648"/>
          </w:tcPr>
          <w:p>
            <w:r/>
            <w:r>
              <w:rPr>
                <w:rFonts w:ascii="Arial" w:hAnsi="Arial"/>
                <w:sz w:val="15"/>
              </w:rPr>
              <w:t>High</w:t>
            </w:r>
          </w:p>
        </w:tc>
        <w:tc>
          <w:tcPr>
            <w:tcW w:type="dxa" w:w="3312"/>
          </w:tcPr>
          <w:p>
            <w:r/>
            <w:r>
              <w:rPr>
                <w:rFonts w:ascii="Arial" w:hAnsi="Arial"/>
                <w:sz w:val="15"/>
              </w:rPr>
              <w:t>Documented procedure with 14-day point-in-time restore. Rehearsal required before ATO.</w:t>
            </w:r>
          </w:p>
        </w:tc>
        <w:tc>
          <w:tcPr>
            <w:tcW w:type="dxa" w:w="792"/>
          </w:tcPr>
          <w:p>
            <w:r/>
            <w:r>
              <w:rPr>
                <w:rFonts w:ascii="Arial" w:hAnsi="Arial"/>
                <w:sz w:val="15"/>
              </w:rPr>
              <w:t>AGT</w:t>
            </w:r>
          </w:p>
        </w:tc>
      </w:tr>
      <w:tr>
        <w:tc>
          <w:tcPr>
            <w:tcW w:type="dxa" w:w="605"/>
            <w:shd w:val="clear" w:color="auto" w:fill="F2F4F7"/>
          </w:tcPr>
          <w:p>
            <w:r/>
            <w:r>
              <w:rPr>
                <w:rFonts w:ascii="Arial" w:hAnsi="Arial"/>
                <w:sz w:val="15"/>
              </w:rPr>
              <w:t>R-16</w:t>
            </w:r>
          </w:p>
        </w:tc>
        <w:tc>
          <w:tcPr>
            <w:tcW w:type="dxa" w:w="1037"/>
            <w:shd w:val="clear" w:color="auto" w:fill="F2F4F7"/>
          </w:tcPr>
          <w:p>
            <w:r/>
            <w:r>
              <w:rPr>
                <w:rFonts w:ascii="Arial" w:hAnsi="Arial"/>
                <w:sz w:val="15"/>
              </w:rPr>
              <w:t>Technical</w:t>
            </w:r>
          </w:p>
        </w:tc>
        <w:tc>
          <w:tcPr>
            <w:tcW w:type="dxa" w:w="2520"/>
            <w:shd w:val="clear" w:color="auto" w:fill="F2F4F7"/>
          </w:tcPr>
          <w:p>
            <w:r/>
            <w:r>
              <w:rPr>
                <w:rFonts w:ascii="Arial" w:hAnsi="Arial"/>
                <w:sz w:val="15"/>
              </w:rPr>
              <w:t>Production traffic still served by the legacy hosting platform, so fixes deployed to the current environment are not live on the customer-facing host</w:t>
            </w:r>
          </w:p>
        </w:tc>
        <w:tc>
          <w:tcPr>
            <w:tcW w:type="dxa" w:w="605"/>
            <w:shd w:val="clear" w:color="auto" w:fill="F2F4F7"/>
          </w:tcPr>
          <w:p>
            <w:r/>
            <w:r>
              <w:rPr>
                <w:rFonts w:ascii="Arial" w:hAnsi="Arial"/>
                <w:sz w:val="15"/>
              </w:rPr>
              <w:t>High</w:t>
            </w:r>
          </w:p>
        </w:tc>
        <w:tc>
          <w:tcPr>
            <w:tcW w:type="dxa" w:w="648"/>
            <w:shd w:val="clear" w:color="auto" w:fill="F2F4F7"/>
          </w:tcPr>
          <w:p>
            <w:r/>
            <w:r>
              <w:rPr>
                <w:rFonts w:ascii="Arial" w:hAnsi="Arial"/>
                <w:sz w:val="15"/>
              </w:rPr>
              <w:t>High</w:t>
            </w:r>
          </w:p>
        </w:tc>
        <w:tc>
          <w:tcPr>
            <w:tcW w:type="dxa" w:w="3312"/>
            <w:shd w:val="clear" w:color="auto" w:fill="F2F4F7"/>
          </w:tcPr>
          <w:p>
            <w:r/>
            <w:r>
              <w:rPr>
                <w:rFonts w:ascii="Arial" w:hAnsi="Arial"/>
                <w:sz w:val="15"/>
              </w:rPr>
              <w:t>Cutover plan documented with ordering, TLS provisioning and rollback. Requires DNS registrar access.</w:t>
            </w:r>
          </w:p>
        </w:tc>
        <w:tc>
          <w:tcPr>
            <w:tcW w:type="dxa" w:w="792"/>
            <w:shd w:val="clear" w:color="auto" w:fill="F2F4F7"/>
          </w:tcPr>
          <w:p>
            <w:r/>
            <w:r>
              <w:rPr>
                <w:rFonts w:ascii="Arial" w:hAnsi="Arial"/>
                <w:sz w:val="15"/>
              </w:rPr>
              <w:t>AGT</w:t>
            </w:r>
          </w:p>
        </w:tc>
      </w:tr>
    </w:tbl>
    <w:p/>
    <w:p>
      <w:r>
        <w:br w:type="page"/>
      </w:r>
    </w:p>
    <w:p>
      <w:pPr>
        <w:pStyle w:val="Heading1"/>
      </w:pPr>
      <w:r>
        <w:t>8. Stakeholder Register</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2160"/>
            <w:shd w:val="clear" w:color="auto" w:fill="0B3C5D"/>
          </w:tcPr>
          <w:p>
            <w:r/>
            <w:r>
              <w:rPr>
                <w:rFonts w:ascii="Arial" w:hAnsi="Arial"/>
                <w:b/>
                <w:color w:val="FFFFFF"/>
                <w:sz w:val="17"/>
              </w:rPr>
              <w:t>Name</w:t>
            </w:r>
          </w:p>
        </w:tc>
        <w:tc>
          <w:tcPr>
            <w:tcW w:type="dxa" w:w="1584"/>
            <w:shd w:val="clear" w:color="auto" w:fill="0B3C5D"/>
          </w:tcPr>
          <w:p>
            <w:r/>
            <w:r>
              <w:rPr>
                <w:rFonts w:ascii="Arial" w:hAnsi="Arial"/>
                <w:b/>
                <w:color w:val="FFFFFF"/>
                <w:sz w:val="17"/>
              </w:rPr>
              <w:t>Organisation</w:t>
            </w:r>
          </w:p>
        </w:tc>
        <w:tc>
          <w:tcPr>
            <w:tcW w:type="dxa" w:w="3168"/>
            <w:shd w:val="clear" w:color="auto" w:fill="0B3C5D"/>
          </w:tcPr>
          <w:p>
            <w:r/>
            <w:r>
              <w:rPr>
                <w:rFonts w:ascii="Arial" w:hAnsi="Arial"/>
                <w:b/>
                <w:color w:val="FFFFFF"/>
                <w:sz w:val="17"/>
              </w:rPr>
              <w:t>Role</w:t>
            </w:r>
          </w:p>
        </w:tc>
        <w:tc>
          <w:tcPr>
            <w:tcW w:type="dxa" w:w="1224"/>
            <w:shd w:val="clear" w:color="auto" w:fill="0B3C5D"/>
          </w:tcPr>
          <w:p>
            <w:r/>
            <w:r>
              <w:rPr>
                <w:rFonts w:ascii="Arial" w:hAnsi="Arial"/>
                <w:b/>
                <w:color w:val="FFFFFF"/>
                <w:sz w:val="17"/>
              </w:rPr>
              <w:t>Interest</w:t>
            </w:r>
          </w:p>
        </w:tc>
        <w:tc>
          <w:tcPr>
            <w:tcW w:type="dxa" w:w="1224"/>
            <w:shd w:val="clear" w:color="auto" w:fill="0B3C5D"/>
          </w:tcPr>
          <w:p>
            <w:r/>
            <w:r>
              <w:rPr>
                <w:rFonts w:ascii="Arial" w:hAnsi="Arial"/>
                <w:b/>
                <w:color w:val="FFFFFF"/>
                <w:sz w:val="17"/>
              </w:rPr>
              <w:t>Influence</w:t>
            </w:r>
          </w:p>
        </w:tc>
      </w:tr>
      <w:tr>
        <w:tc>
          <w:tcPr>
            <w:tcW w:type="dxa" w:w="2160"/>
          </w:tcPr>
          <w:p>
            <w:r/>
            <w:r>
              <w:rPr>
                <w:rFonts w:ascii="Arial" w:hAnsi="Arial"/>
                <w:sz w:val="17"/>
              </w:rPr>
              <w:t>Jawanna Henry</w:t>
            </w:r>
          </w:p>
        </w:tc>
        <w:tc>
          <w:tcPr>
            <w:tcW w:type="dxa" w:w="1584"/>
          </w:tcPr>
          <w:p>
            <w:r/>
            <w:r>
              <w:rPr>
                <w:rFonts w:ascii="Arial" w:hAnsi="Arial"/>
                <w:sz w:val="17"/>
              </w:rPr>
              <w:t>ASTP/ONC</w:t>
            </w:r>
          </w:p>
        </w:tc>
        <w:tc>
          <w:tcPr>
            <w:tcW w:type="dxa" w:w="3168"/>
          </w:tcPr>
          <w:p>
            <w:r/>
            <w:r>
              <w:rPr>
                <w:rFonts w:ascii="Arial" w:hAnsi="Arial"/>
                <w:sz w:val="17"/>
              </w:rPr>
              <w:t>Technical Lead</w:t>
            </w:r>
          </w:p>
        </w:tc>
        <w:tc>
          <w:tcPr>
            <w:tcW w:type="dxa" w:w="1224"/>
          </w:tcPr>
          <w:p>
            <w:r/>
            <w:r>
              <w:rPr>
                <w:rFonts w:ascii="Arial" w:hAnsi="Arial"/>
                <w:sz w:val="17"/>
              </w:rPr>
              <w:t>High</w:t>
            </w:r>
          </w:p>
        </w:tc>
        <w:tc>
          <w:tcPr>
            <w:tcW w:type="dxa" w:w="1224"/>
          </w:tcPr>
          <w:p>
            <w:r/>
            <w:r>
              <w:rPr>
                <w:rFonts w:ascii="Arial" w:hAnsi="Arial"/>
                <w:sz w:val="17"/>
              </w:rPr>
              <w:t>High</w:t>
            </w:r>
          </w:p>
        </w:tc>
      </w:tr>
      <w:tr>
        <w:tc>
          <w:tcPr>
            <w:tcW w:type="dxa" w:w="2160"/>
            <w:shd w:val="clear" w:color="auto" w:fill="F2F4F7"/>
          </w:tcPr>
          <w:p>
            <w:r/>
            <w:r>
              <w:rPr>
                <w:rFonts w:ascii="Arial" w:hAnsi="Arial"/>
                <w:sz w:val="17"/>
              </w:rPr>
              <w:t>Kimberly Tavernia</w:t>
            </w:r>
          </w:p>
        </w:tc>
        <w:tc>
          <w:tcPr>
            <w:tcW w:type="dxa" w:w="1584"/>
            <w:shd w:val="clear" w:color="auto" w:fill="F2F4F7"/>
          </w:tcPr>
          <w:p>
            <w:r/>
            <w:r>
              <w:rPr>
                <w:rFonts w:ascii="Arial" w:hAnsi="Arial"/>
                <w:sz w:val="17"/>
              </w:rPr>
              <w:t>ASTP/ONC</w:t>
            </w:r>
          </w:p>
        </w:tc>
        <w:tc>
          <w:tcPr>
            <w:tcW w:type="dxa" w:w="3168"/>
            <w:shd w:val="clear" w:color="auto" w:fill="F2F4F7"/>
          </w:tcPr>
          <w:p>
            <w:r/>
            <w:r>
              <w:rPr>
                <w:rFonts w:ascii="Arial" w:hAnsi="Arial"/>
                <w:sz w:val="17"/>
              </w:rPr>
              <w:t>Technical Monitor</w:t>
            </w:r>
          </w:p>
        </w:tc>
        <w:tc>
          <w:tcPr>
            <w:tcW w:type="dxa" w:w="1224"/>
            <w:shd w:val="clear" w:color="auto" w:fill="F2F4F7"/>
          </w:tcPr>
          <w:p>
            <w:r/>
            <w:r>
              <w:rPr>
                <w:rFonts w:ascii="Arial" w:hAnsi="Arial"/>
                <w:sz w:val="17"/>
              </w:rPr>
              <w:t>High</w:t>
            </w:r>
          </w:p>
        </w:tc>
        <w:tc>
          <w:tcPr>
            <w:tcW w:type="dxa" w:w="1224"/>
            <w:shd w:val="clear" w:color="auto" w:fill="F2F4F7"/>
          </w:tcPr>
          <w:p>
            <w:r/>
            <w:r>
              <w:rPr>
                <w:rFonts w:ascii="Arial" w:hAnsi="Arial"/>
                <w:sz w:val="17"/>
              </w:rPr>
              <w:t>High</w:t>
            </w:r>
          </w:p>
        </w:tc>
      </w:tr>
      <w:tr>
        <w:tc>
          <w:tcPr>
            <w:tcW w:type="dxa" w:w="2160"/>
          </w:tcPr>
          <w:p>
            <w:r/>
            <w:r>
              <w:rPr>
                <w:rFonts w:ascii="Arial" w:hAnsi="Arial"/>
                <w:sz w:val="17"/>
              </w:rPr>
              <w:t>Meley Gebresellassie</w:t>
            </w:r>
          </w:p>
        </w:tc>
        <w:tc>
          <w:tcPr>
            <w:tcW w:type="dxa" w:w="1584"/>
          </w:tcPr>
          <w:p>
            <w:r/>
            <w:r>
              <w:rPr>
                <w:rFonts w:ascii="Arial" w:hAnsi="Arial"/>
                <w:sz w:val="17"/>
              </w:rPr>
              <w:t>ASTP/ONC</w:t>
            </w:r>
          </w:p>
        </w:tc>
        <w:tc>
          <w:tcPr>
            <w:tcW w:type="dxa" w:w="3168"/>
          </w:tcPr>
          <w:p>
            <w:r/>
            <w:r>
              <w:rPr>
                <w:rFonts w:ascii="Arial" w:hAnsi="Arial"/>
                <w:sz w:val="17"/>
              </w:rPr>
              <w:t>Methodology Reviewer</w:t>
            </w:r>
          </w:p>
        </w:tc>
        <w:tc>
          <w:tcPr>
            <w:tcW w:type="dxa" w:w="1224"/>
          </w:tcPr>
          <w:p>
            <w:r/>
            <w:r>
              <w:rPr>
                <w:rFonts w:ascii="Arial" w:hAnsi="Arial"/>
                <w:sz w:val="17"/>
              </w:rPr>
              <w:t>High</w:t>
            </w:r>
          </w:p>
        </w:tc>
        <w:tc>
          <w:tcPr>
            <w:tcW w:type="dxa" w:w="1224"/>
          </w:tcPr>
          <w:p>
            <w:r/>
            <w:r>
              <w:rPr>
                <w:rFonts w:ascii="Arial" w:hAnsi="Arial"/>
                <w:sz w:val="17"/>
              </w:rPr>
              <w:t>High</w:t>
            </w:r>
          </w:p>
        </w:tc>
      </w:tr>
      <w:tr>
        <w:tc>
          <w:tcPr>
            <w:tcW w:type="dxa" w:w="2160"/>
            <w:shd w:val="clear" w:color="auto" w:fill="F2F4F7"/>
          </w:tcPr>
          <w:p>
            <w:r/>
            <w:r>
              <w:rPr>
                <w:rFonts w:ascii="Arial" w:hAnsi="Arial"/>
                <w:sz w:val="17"/>
              </w:rPr>
              <w:t>Maggie Gaddis</w:t>
            </w:r>
          </w:p>
        </w:tc>
        <w:tc>
          <w:tcPr>
            <w:tcW w:type="dxa" w:w="1584"/>
            <w:shd w:val="clear" w:color="auto" w:fill="F2F4F7"/>
          </w:tcPr>
          <w:p>
            <w:r/>
            <w:r>
              <w:rPr>
                <w:rFonts w:ascii="Arial" w:hAnsi="Arial"/>
                <w:sz w:val="17"/>
              </w:rPr>
              <w:t>ASTP/ONC</w:t>
            </w:r>
          </w:p>
        </w:tc>
        <w:tc>
          <w:tcPr>
            <w:tcW w:type="dxa" w:w="3168"/>
            <w:shd w:val="clear" w:color="auto" w:fill="F2F4F7"/>
          </w:tcPr>
          <w:p>
            <w:r/>
            <w:r>
              <w:rPr>
                <w:rFonts w:ascii="Arial" w:hAnsi="Arial"/>
                <w:sz w:val="17"/>
              </w:rPr>
              <w:t>Programme Support</w:t>
            </w:r>
          </w:p>
        </w:tc>
        <w:tc>
          <w:tcPr>
            <w:tcW w:type="dxa" w:w="1224"/>
            <w:shd w:val="clear" w:color="auto" w:fill="F2F4F7"/>
          </w:tcPr>
          <w:p>
            <w:r/>
            <w:r>
              <w:rPr>
                <w:rFonts w:ascii="Arial" w:hAnsi="Arial"/>
                <w:sz w:val="17"/>
              </w:rPr>
              <w:t>Medium</w:t>
            </w:r>
          </w:p>
        </w:tc>
        <w:tc>
          <w:tcPr>
            <w:tcW w:type="dxa" w:w="1224"/>
            <w:shd w:val="clear" w:color="auto" w:fill="F2F4F7"/>
          </w:tcPr>
          <w:p>
            <w:r/>
            <w:r>
              <w:rPr>
                <w:rFonts w:ascii="Arial" w:hAnsi="Arial"/>
                <w:sz w:val="17"/>
              </w:rPr>
              <w:t>Medium</w:t>
            </w:r>
          </w:p>
        </w:tc>
      </w:tr>
      <w:tr>
        <w:tc>
          <w:tcPr>
            <w:tcW w:type="dxa" w:w="2160"/>
          </w:tcPr>
          <w:p>
            <w:r/>
            <w:r>
              <w:rPr>
                <w:rFonts w:ascii="Arial" w:hAnsi="Arial"/>
                <w:sz w:val="17"/>
              </w:rPr>
              <w:t>Jeff Riordan</w:t>
            </w:r>
          </w:p>
        </w:tc>
        <w:tc>
          <w:tcPr>
            <w:tcW w:type="dxa" w:w="1584"/>
          </w:tcPr>
          <w:p>
            <w:r/>
            <w:r>
              <w:rPr>
                <w:rFonts w:ascii="Arial" w:hAnsi="Arial"/>
                <w:sz w:val="17"/>
              </w:rPr>
              <w:t>ASTP/ONC</w:t>
            </w:r>
          </w:p>
        </w:tc>
        <w:tc>
          <w:tcPr>
            <w:tcW w:type="dxa" w:w="3168"/>
          </w:tcPr>
          <w:p>
            <w:r/>
            <w:r>
              <w:rPr>
                <w:rFonts w:ascii="Arial" w:hAnsi="Arial"/>
                <w:sz w:val="17"/>
              </w:rPr>
              <w:t>Contracting Officer's Representative</w:t>
            </w:r>
          </w:p>
        </w:tc>
        <w:tc>
          <w:tcPr>
            <w:tcW w:type="dxa" w:w="1224"/>
          </w:tcPr>
          <w:p>
            <w:r/>
            <w:r>
              <w:rPr>
                <w:rFonts w:ascii="Arial" w:hAnsi="Arial"/>
                <w:sz w:val="17"/>
              </w:rPr>
              <w:t>High</w:t>
            </w:r>
          </w:p>
        </w:tc>
        <w:tc>
          <w:tcPr>
            <w:tcW w:type="dxa" w:w="1224"/>
          </w:tcPr>
          <w:p>
            <w:r/>
            <w:r>
              <w:rPr>
                <w:rFonts w:ascii="Arial" w:hAnsi="Arial"/>
                <w:sz w:val="17"/>
              </w:rPr>
              <w:t>High</w:t>
            </w:r>
          </w:p>
        </w:tc>
      </w:tr>
      <w:tr>
        <w:tc>
          <w:tcPr>
            <w:tcW w:type="dxa" w:w="2160"/>
            <w:shd w:val="clear" w:color="auto" w:fill="F2F4F7"/>
          </w:tcPr>
          <w:p>
            <w:r/>
            <w:r>
              <w:rPr>
                <w:rFonts w:ascii="Arial" w:hAnsi="Arial"/>
                <w:sz w:val="17"/>
              </w:rPr>
              <w:t>Lydina M. Battle</w:t>
            </w:r>
          </w:p>
        </w:tc>
        <w:tc>
          <w:tcPr>
            <w:tcW w:type="dxa" w:w="1584"/>
            <w:shd w:val="clear" w:color="auto" w:fill="F2F4F7"/>
          </w:tcPr>
          <w:p>
            <w:r/>
            <w:r>
              <w:rPr>
                <w:rFonts w:ascii="Arial" w:hAnsi="Arial"/>
                <w:sz w:val="17"/>
              </w:rPr>
              <w:t>HHS OMAS</w:t>
            </w:r>
          </w:p>
        </w:tc>
        <w:tc>
          <w:tcPr>
            <w:tcW w:type="dxa" w:w="3168"/>
            <w:shd w:val="clear" w:color="auto" w:fill="F2F4F7"/>
          </w:tcPr>
          <w:p>
            <w:r/>
            <w:r>
              <w:rPr>
                <w:rFonts w:ascii="Arial" w:hAnsi="Arial"/>
                <w:sz w:val="17"/>
              </w:rPr>
              <w:t>Contracting Officer</w:t>
            </w:r>
          </w:p>
        </w:tc>
        <w:tc>
          <w:tcPr>
            <w:tcW w:type="dxa" w:w="1224"/>
            <w:shd w:val="clear" w:color="auto" w:fill="F2F4F7"/>
          </w:tcPr>
          <w:p>
            <w:r/>
            <w:r>
              <w:rPr>
                <w:rFonts w:ascii="Arial" w:hAnsi="Arial"/>
                <w:sz w:val="17"/>
              </w:rPr>
              <w:t>High</w:t>
            </w:r>
          </w:p>
        </w:tc>
        <w:tc>
          <w:tcPr>
            <w:tcW w:type="dxa" w:w="1224"/>
            <w:shd w:val="clear" w:color="auto" w:fill="F2F4F7"/>
          </w:tcPr>
          <w:p>
            <w:r/>
            <w:r>
              <w:rPr>
                <w:rFonts w:ascii="Arial" w:hAnsi="Arial"/>
                <w:sz w:val="17"/>
              </w:rPr>
              <w:t>High</w:t>
            </w:r>
          </w:p>
        </w:tc>
      </w:tr>
      <w:tr>
        <w:tc>
          <w:tcPr>
            <w:tcW w:type="dxa" w:w="2160"/>
          </w:tcPr>
          <w:p>
            <w:r/>
            <w:r>
              <w:rPr>
                <w:rFonts w:ascii="Arial" w:hAnsi="Arial"/>
                <w:sz w:val="17"/>
              </w:rPr>
              <w:t>Imran Siddiqui</w:t>
            </w:r>
          </w:p>
        </w:tc>
        <w:tc>
          <w:tcPr>
            <w:tcW w:type="dxa" w:w="1584"/>
          </w:tcPr>
          <w:p>
            <w:r/>
            <w:r>
              <w:rPr>
                <w:rFonts w:ascii="Arial" w:hAnsi="Arial"/>
                <w:sz w:val="17"/>
              </w:rPr>
              <w:t>AGT</w:t>
            </w:r>
          </w:p>
        </w:tc>
        <w:tc>
          <w:tcPr>
            <w:tcW w:type="dxa" w:w="3168"/>
          </w:tcPr>
          <w:p>
            <w:r/>
            <w:r>
              <w:rPr>
                <w:rFonts w:ascii="Arial" w:hAnsi="Arial"/>
                <w:sz w:val="17"/>
              </w:rPr>
              <w:t>Chief Executive Officer / Technical Lead</w:t>
            </w:r>
          </w:p>
        </w:tc>
        <w:tc>
          <w:tcPr>
            <w:tcW w:type="dxa" w:w="1224"/>
          </w:tcPr>
          <w:p>
            <w:r/>
            <w:r>
              <w:rPr>
                <w:rFonts w:ascii="Arial" w:hAnsi="Arial"/>
                <w:sz w:val="17"/>
              </w:rPr>
              <w:t>High</w:t>
            </w:r>
          </w:p>
        </w:tc>
        <w:tc>
          <w:tcPr>
            <w:tcW w:type="dxa" w:w="1224"/>
          </w:tcPr>
          <w:p>
            <w:r/>
            <w:r>
              <w:rPr>
                <w:rFonts w:ascii="Arial" w:hAnsi="Arial"/>
                <w:sz w:val="17"/>
              </w:rPr>
              <w:t>High</w:t>
            </w:r>
          </w:p>
        </w:tc>
      </w:tr>
      <w:tr>
        <w:tc>
          <w:tcPr>
            <w:tcW w:type="dxa" w:w="2160"/>
            <w:shd w:val="clear" w:color="auto" w:fill="F2F4F7"/>
          </w:tcPr>
          <w:p>
            <w:r/>
            <w:r>
              <w:rPr>
                <w:rFonts w:ascii="Arial" w:hAnsi="Arial"/>
                <w:sz w:val="17"/>
              </w:rPr>
              <w:t>Nabeel Ashraf</w:t>
            </w:r>
          </w:p>
        </w:tc>
        <w:tc>
          <w:tcPr>
            <w:tcW w:type="dxa" w:w="1584"/>
            <w:shd w:val="clear" w:color="auto" w:fill="F2F4F7"/>
          </w:tcPr>
          <w:p>
            <w:r/>
            <w:r>
              <w:rPr>
                <w:rFonts w:ascii="Arial" w:hAnsi="Arial"/>
                <w:sz w:val="17"/>
              </w:rPr>
              <w:t>AGT</w:t>
            </w:r>
          </w:p>
        </w:tc>
        <w:tc>
          <w:tcPr>
            <w:tcW w:type="dxa" w:w="3168"/>
            <w:shd w:val="clear" w:color="auto" w:fill="F2F4F7"/>
          </w:tcPr>
          <w:p>
            <w:r/>
            <w:r>
              <w:rPr>
                <w:rFonts w:ascii="Arial" w:hAnsi="Arial"/>
                <w:sz w:val="17"/>
              </w:rPr>
              <w:t>Programme Manager</w:t>
            </w:r>
          </w:p>
        </w:tc>
        <w:tc>
          <w:tcPr>
            <w:tcW w:type="dxa" w:w="1224"/>
            <w:shd w:val="clear" w:color="auto" w:fill="F2F4F7"/>
          </w:tcPr>
          <w:p>
            <w:r/>
            <w:r>
              <w:rPr>
                <w:rFonts w:ascii="Arial" w:hAnsi="Arial"/>
                <w:sz w:val="17"/>
              </w:rPr>
              <w:t>High</w:t>
            </w:r>
          </w:p>
        </w:tc>
        <w:tc>
          <w:tcPr>
            <w:tcW w:type="dxa" w:w="1224"/>
            <w:shd w:val="clear" w:color="auto" w:fill="F2F4F7"/>
          </w:tcPr>
          <w:p>
            <w:r/>
            <w:r>
              <w:rPr>
                <w:rFonts w:ascii="Arial" w:hAnsi="Arial"/>
                <w:sz w:val="17"/>
              </w:rPr>
              <w:t>High</w:t>
            </w:r>
          </w:p>
        </w:tc>
      </w:tr>
      <w:tr>
        <w:tc>
          <w:tcPr>
            <w:tcW w:type="dxa" w:w="2160"/>
          </w:tcPr>
          <w:p>
            <w:r/>
            <w:r>
              <w:rPr>
                <w:rFonts w:ascii="Arial" w:hAnsi="Arial"/>
                <w:sz w:val="17"/>
              </w:rPr>
              <w:t>Bilal Naveed</w:t>
            </w:r>
          </w:p>
        </w:tc>
        <w:tc>
          <w:tcPr>
            <w:tcW w:type="dxa" w:w="1584"/>
          </w:tcPr>
          <w:p>
            <w:r/>
            <w:r>
              <w:rPr>
                <w:rFonts w:ascii="Arial" w:hAnsi="Arial"/>
                <w:sz w:val="17"/>
              </w:rPr>
              <w:t>AGT</w:t>
            </w:r>
          </w:p>
        </w:tc>
        <w:tc>
          <w:tcPr>
            <w:tcW w:type="dxa" w:w="3168"/>
          </w:tcPr>
          <w:p>
            <w:r/>
            <w:r>
              <w:rPr>
                <w:rFonts w:ascii="Arial" w:hAnsi="Arial"/>
                <w:sz w:val="17"/>
              </w:rPr>
              <w:t>Data Analyst</w:t>
            </w:r>
          </w:p>
        </w:tc>
        <w:tc>
          <w:tcPr>
            <w:tcW w:type="dxa" w:w="1224"/>
          </w:tcPr>
          <w:p>
            <w:r/>
            <w:r>
              <w:rPr>
                <w:rFonts w:ascii="Arial" w:hAnsi="Arial"/>
                <w:sz w:val="17"/>
              </w:rPr>
              <w:t>Medium</w:t>
            </w:r>
          </w:p>
        </w:tc>
        <w:tc>
          <w:tcPr>
            <w:tcW w:type="dxa" w:w="1224"/>
          </w:tcPr>
          <w:p>
            <w:r/>
            <w:r>
              <w:rPr>
                <w:rFonts w:ascii="Arial" w:hAnsi="Arial"/>
                <w:sz w:val="17"/>
              </w:rPr>
              <w:t>High</w:t>
            </w:r>
          </w:p>
        </w:tc>
      </w:tr>
      <w:tr>
        <w:tc>
          <w:tcPr>
            <w:tcW w:type="dxa" w:w="2160"/>
            <w:shd w:val="clear" w:color="auto" w:fill="F2F4F7"/>
          </w:tcPr>
          <w:p>
            <w:r/>
            <w:r>
              <w:rPr>
                <w:rFonts w:ascii="Arial" w:hAnsi="Arial"/>
                <w:sz w:val="17"/>
              </w:rPr>
              <w:t>Tariq Thangalvadi</w:t>
            </w:r>
          </w:p>
        </w:tc>
        <w:tc>
          <w:tcPr>
            <w:tcW w:type="dxa" w:w="1584"/>
            <w:shd w:val="clear" w:color="auto" w:fill="F2F4F7"/>
          </w:tcPr>
          <w:p>
            <w:r/>
            <w:r>
              <w:rPr>
                <w:rFonts w:ascii="Arial" w:hAnsi="Arial"/>
                <w:sz w:val="17"/>
              </w:rPr>
              <w:t>AGT</w:t>
            </w:r>
          </w:p>
        </w:tc>
        <w:tc>
          <w:tcPr>
            <w:tcW w:type="dxa" w:w="3168"/>
            <w:shd w:val="clear" w:color="auto" w:fill="F2F4F7"/>
          </w:tcPr>
          <w:p>
            <w:r/>
            <w:r>
              <w:rPr>
                <w:rFonts w:ascii="Arial" w:hAnsi="Arial"/>
                <w:sz w:val="17"/>
              </w:rPr>
              <w:t>Technical</w:t>
            </w:r>
          </w:p>
        </w:tc>
        <w:tc>
          <w:tcPr>
            <w:tcW w:type="dxa" w:w="1224"/>
            <w:shd w:val="clear" w:color="auto" w:fill="F2F4F7"/>
          </w:tcPr>
          <w:p>
            <w:r/>
            <w:r>
              <w:rPr>
                <w:rFonts w:ascii="Arial" w:hAnsi="Arial"/>
                <w:sz w:val="17"/>
              </w:rPr>
              <w:t>Medium</w:t>
            </w:r>
          </w:p>
        </w:tc>
        <w:tc>
          <w:tcPr>
            <w:tcW w:type="dxa" w:w="1224"/>
            <w:shd w:val="clear" w:color="auto" w:fill="F2F4F7"/>
          </w:tcPr>
          <w:p>
            <w:r/>
            <w:r>
              <w:rPr>
                <w:rFonts w:ascii="Arial" w:hAnsi="Arial"/>
                <w:sz w:val="17"/>
              </w:rPr>
              <w:t>High</w:t>
            </w:r>
          </w:p>
        </w:tc>
      </w:tr>
      <w:tr>
        <w:tc>
          <w:tcPr>
            <w:tcW w:type="dxa" w:w="2160"/>
          </w:tcPr>
          <w:p>
            <w:r/>
            <w:r>
              <w:rPr>
                <w:rFonts w:ascii="Arial" w:hAnsi="Arial"/>
                <w:sz w:val="17"/>
              </w:rPr>
              <w:t>Nidhin Kadavil</w:t>
            </w:r>
          </w:p>
        </w:tc>
        <w:tc>
          <w:tcPr>
            <w:tcW w:type="dxa" w:w="1584"/>
          </w:tcPr>
          <w:p>
            <w:r/>
            <w:r>
              <w:rPr>
                <w:rFonts w:ascii="Arial" w:hAnsi="Arial"/>
                <w:sz w:val="17"/>
              </w:rPr>
              <w:t>AGT</w:t>
            </w:r>
          </w:p>
        </w:tc>
        <w:tc>
          <w:tcPr>
            <w:tcW w:type="dxa" w:w="3168"/>
          </w:tcPr>
          <w:p>
            <w:r/>
            <w:r>
              <w:rPr>
                <w:rFonts w:ascii="Arial" w:hAnsi="Arial"/>
                <w:sz w:val="17"/>
              </w:rPr>
              <w:t>Senior Healthcare IT Advisor</w:t>
            </w:r>
          </w:p>
        </w:tc>
        <w:tc>
          <w:tcPr>
            <w:tcW w:type="dxa" w:w="1224"/>
          </w:tcPr>
          <w:p>
            <w:r/>
            <w:r>
              <w:rPr>
                <w:rFonts w:ascii="Arial" w:hAnsi="Arial"/>
                <w:sz w:val="17"/>
              </w:rPr>
              <w:t>Medium</w:t>
            </w:r>
          </w:p>
        </w:tc>
        <w:tc>
          <w:tcPr>
            <w:tcW w:type="dxa" w:w="1224"/>
          </w:tcPr>
          <w:p>
            <w:r/>
            <w:r>
              <w:rPr>
                <w:rFonts w:ascii="Arial" w:hAnsi="Arial"/>
                <w:sz w:val="17"/>
              </w:rPr>
              <w:t>Medium</w:t>
            </w:r>
          </w:p>
        </w:tc>
      </w:tr>
    </w:tbl>
    <w:p/>
    <w:p>
      <w:pPr>
        <w:pStyle w:val="Heading2"/>
      </w:pPr>
      <w:r>
        <w:t>8.1 Engagement approach</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0B3C5D"/>
          </w:tcPr>
          <w:p>
            <w:r/>
            <w:r>
              <w:rPr>
                <w:rFonts w:ascii="Arial" w:hAnsi="Arial"/>
                <w:b/>
                <w:color w:val="FFFFFF"/>
                <w:sz w:val="17"/>
              </w:rPr>
              <w:t>Influence / Interest</w:t>
            </w:r>
          </w:p>
        </w:tc>
        <w:tc>
          <w:tcPr>
            <w:tcW w:type="dxa" w:w="3744"/>
            <w:shd w:val="clear" w:color="auto" w:fill="0B3C5D"/>
          </w:tcPr>
          <w:p>
            <w:r/>
            <w:r>
              <w:rPr>
                <w:rFonts w:ascii="Arial" w:hAnsi="Arial"/>
                <w:b/>
                <w:color w:val="FFFFFF"/>
                <w:sz w:val="17"/>
              </w:rPr>
              <w:t>Approach</w:t>
            </w:r>
          </w:p>
        </w:tc>
        <w:tc>
          <w:tcPr>
            <w:tcW w:type="dxa" w:w="3312"/>
            <w:shd w:val="clear" w:color="auto" w:fill="0B3C5D"/>
          </w:tcPr>
          <w:p>
            <w:r/>
            <w:r>
              <w:rPr>
                <w:rFonts w:ascii="Arial" w:hAnsi="Arial"/>
                <w:b/>
                <w:color w:val="FFFFFF"/>
                <w:sz w:val="17"/>
              </w:rPr>
              <w:t>Stakeholders</w:t>
            </w:r>
          </w:p>
        </w:tc>
      </w:tr>
      <w:tr>
        <w:tc>
          <w:tcPr>
            <w:tcW w:type="dxa" w:w="2304"/>
          </w:tcPr>
          <w:p>
            <w:r/>
            <w:r>
              <w:rPr>
                <w:rFonts w:ascii="Arial" w:hAnsi="Arial"/>
                <w:sz w:val="17"/>
              </w:rPr>
              <w:t>High / High</w:t>
            </w:r>
          </w:p>
        </w:tc>
        <w:tc>
          <w:tcPr>
            <w:tcW w:type="dxa" w:w="3744"/>
          </w:tcPr>
          <w:p>
            <w:r/>
            <w:r>
              <w:rPr>
                <w:rFonts w:ascii="Arial" w:hAnsi="Arial"/>
                <w:sz w:val="17"/>
              </w:rPr>
              <w:t>Manage closely — weekly then bi-weekly meetings, direct review of deliverables</w:t>
            </w:r>
          </w:p>
        </w:tc>
        <w:tc>
          <w:tcPr>
            <w:tcW w:type="dxa" w:w="3312"/>
          </w:tcPr>
          <w:p>
            <w:r/>
            <w:r>
              <w:rPr>
                <w:rFonts w:ascii="Arial" w:hAnsi="Arial"/>
                <w:sz w:val="17"/>
              </w:rPr>
              <w:t>Henry, Tavernia, Gebresellassie, Riordan, Battle, Siddiqui, Ashraf</w:t>
            </w:r>
          </w:p>
        </w:tc>
      </w:tr>
      <w:tr>
        <w:tc>
          <w:tcPr>
            <w:tcW w:type="dxa" w:w="2304"/>
            <w:shd w:val="clear" w:color="auto" w:fill="F2F4F7"/>
          </w:tcPr>
          <w:p>
            <w:r/>
            <w:r>
              <w:rPr>
                <w:rFonts w:ascii="Arial" w:hAnsi="Arial"/>
                <w:sz w:val="17"/>
              </w:rPr>
              <w:t>High influence / Medium interest</w:t>
            </w:r>
          </w:p>
        </w:tc>
        <w:tc>
          <w:tcPr>
            <w:tcW w:type="dxa" w:w="3744"/>
            <w:shd w:val="clear" w:color="auto" w:fill="F2F4F7"/>
          </w:tcPr>
          <w:p>
            <w:r/>
            <w:r>
              <w:rPr>
                <w:rFonts w:ascii="Arial" w:hAnsi="Arial"/>
                <w:sz w:val="17"/>
              </w:rPr>
              <w:t>Keep satisfied — consulted on technical and data decisions</w:t>
            </w:r>
          </w:p>
        </w:tc>
        <w:tc>
          <w:tcPr>
            <w:tcW w:type="dxa" w:w="3312"/>
            <w:shd w:val="clear" w:color="auto" w:fill="F2F4F7"/>
          </w:tcPr>
          <w:p>
            <w:r/>
            <w:r>
              <w:rPr>
                <w:rFonts w:ascii="Arial" w:hAnsi="Arial"/>
                <w:sz w:val="17"/>
              </w:rPr>
              <w:t>Naveed, Thangalvadi</w:t>
            </w:r>
          </w:p>
        </w:tc>
      </w:tr>
      <w:tr>
        <w:tc>
          <w:tcPr>
            <w:tcW w:type="dxa" w:w="2304"/>
          </w:tcPr>
          <w:p>
            <w:r/>
            <w:r>
              <w:rPr>
                <w:rFonts w:ascii="Arial" w:hAnsi="Arial"/>
                <w:sz w:val="17"/>
              </w:rPr>
              <w:t>Medium / Medium</w:t>
            </w:r>
          </w:p>
        </w:tc>
        <w:tc>
          <w:tcPr>
            <w:tcW w:type="dxa" w:w="3744"/>
          </w:tcPr>
          <w:p>
            <w:r/>
            <w:r>
              <w:rPr>
                <w:rFonts w:ascii="Arial" w:hAnsi="Arial"/>
                <w:sz w:val="17"/>
              </w:rPr>
              <w:t>Keep informed — briefed on deliverables and findings</w:t>
            </w:r>
          </w:p>
        </w:tc>
        <w:tc>
          <w:tcPr>
            <w:tcW w:type="dxa" w:w="3312"/>
          </w:tcPr>
          <w:p>
            <w:r/>
            <w:r>
              <w:rPr>
                <w:rFonts w:ascii="Arial" w:hAnsi="Arial"/>
                <w:sz w:val="17"/>
              </w:rPr>
              <w:t>Gaddis, Kadavil</w:t>
            </w:r>
          </w:p>
        </w:tc>
      </w:tr>
    </w:tbl>
    <w:p/>
    <w:p>
      <w:r>
        <w:br w:type="page"/>
      </w:r>
    </w:p>
    <w:p>
      <w:pPr>
        <w:pStyle w:val="Heading1"/>
      </w:pPr>
      <w:r>
        <w:t>9. Acronyms and Glossary</w:t>
      </w:r>
    </w:p>
    <w:tbl>
      <w:tblPr>
        <w:tblStyle w:val="TableGrid"/>
        <w:tblW w:type="auto" w:w="0"/>
        <w:jc w:val="center"/>
        <w:tblLook w:firstColumn="1" w:firstRow="1" w:lastColumn="0" w:lastRow="0" w:noHBand="0" w:noVBand="1" w:val="04A0"/>
      </w:tblPr>
      <w:tblGrid>
        <w:gridCol w:w="4680"/>
        <w:gridCol w:w="4680"/>
      </w:tblGrid>
      <w:tr>
        <w:tc>
          <w:tcPr>
            <w:tcW w:type="dxa" w:w="1872"/>
            <w:shd w:val="clear" w:color="auto" w:fill="0B3C5D"/>
          </w:tcPr>
          <w:p>
            <w:r/>
            <w:r>
              <w:rPr>
                <w:rFonts w:ascii="Arial" w:hAnsi="Arial"/>
                <w:b/>
                <w:color w:val="FFFFFF"/>
                <w:sz w:val="17"/>
              </w:rPr>
              <w:t>Term</w:t>
            </w:r>
          </w:p>
        </w:tc>
        <w:tc>
          <w:tcPr>
            <w:tcW w:type="dxa" w:w="7488"/>
            <w:shd w:val="clear" w:color="auto" w:fill="0B3C5D"/>
          </w:tcPr>
          <w:p>
            <w:r/>
            <w:r>
              <w:rPr>
                <w:rFonts w:ascii="Arial" w:hAnsi="Arial"/>
                <w:b/>
                <w:color w:val="FFFFFF"/>
                <w:sz w:val="17"/>
              </w:rPr>
              <w:t>Definition</w:t>
            </w:r>
          </w:p>
        </w:tc>
      </w:tr>
      <w:tr>
        <w:tc>
          <w:tcPr>
            <w:tcW w:type="dxa" w:w="1872"/>
          </w:tcPr>
          <w:p>
            <w:r/>
            <w:r>
              <w:rPr>
                <w:rFonts w:ascii="Arial" w:hAnsi="Arial"/>
                <w:sz w:val="17"/>
              </w:rPr>
              <w:t>3PAO</w:t>
            </w:r>
          </w:p>
        </w:tc>
        <w:tc>
          <w:tcPr>
            <w:tcW w:type="dxa" w:w="7488"/>
          </w:tcPr>
          <w:p>
            <w:r/>
            <w:r>
              <w:rPr>
                <w:rFonts w:ascii="Arial" w:hAnsi="Arial"/>
                <w:sz w:val="17"/>
              </w:rPr>
              <w:t>Third Party Assessment Organization — an accredited independent assessor of security controls</w:t>
            </w:r>
          </w:p>
        </w:tc>
      </w:tr>
      <w:tr>
        <w:tc>
          <w:tcPr>
            <w:tcW w:type="dxa" w:w="1872"/>
            <w:shd w:val="clear" w:color="auto" w:fill="F2F4F7"/>
          </w:tcPr>
          <w:p>
            <w:r/>
            <w:r>
              <w:rPr>
                <w:rFonts w:ascii="Arial" w:hAnsi="Arial"/>
                <w:sz w:val="17"/>
              </w:rPr>
              <w:t>ARC</w:t>
            </w:r>
          </w:p>
        </w:tc>
        <w:tc>
          <w:tcPr>
            <w:tcW w:type="dxa" w:w="7488"/>
            <w:shd w:val="clear" w:color="auto" w:fill="F2F4F7"/>
          </w:tcPr>
          <w:p>
            <w:r/>
            <w:r>
              <w:rPr>
                <w:rFonts w:ascii="Arial" w:hAnsi="Arial"/>
                <w:sz w:val="17"/>
              </w:rPr>
              <w:t>Accuracy Review Contract — the TEFCA registry accuracy review work under this contract</w:t>
            </w:r>
          </w:p>
        </w:tc>
      </w:tr>
      <w:tr>
        <w:tc>
          <w:tcPr>
            <w:tcW w:type="dxa" w:w="1872"/>
          </w:tcPr>
          <w:p>
            <w:r/>
            <w:r>
              <w:rPr>
                <w:rFonts w:ascii="Arial" w:hAnsi="Arial"/>
                <w:sz w:val="17"/>
              </w:rPr>
              <w:t>ASTP</w:t>
            </w:r>
          </w:p>
        </w:tc>
        <w:tc>
          <w:tcPr>
            <w:tcW w:type="dxa" w:w="7488"/>
          </w:tcPr>
          <w:p>
            <w:r/>
            <w:r>
              <w:rPr>
                <w:rFonts w:ascii="Arial" w:hAnsi="Arial"/>
                <w:sz w:val="17"/>
              </w:rPr>
              <w:t>Assistant Secretary for Technology Policy</w:t>
            </w:r>
          </w:p>
        </w:tc>
      </w:tr>
      <w:tr>
        <w:tc>
          <w:tcPr>
            <w:tcW w:type="dxa" w:w="1872"/>
            <w:shd w:val="clear" w:color="auto" w:fill="F2F4F7"/>
          </w:tcPr>
          <w:p>
            <w:r/>
            <w:r>
              <w:rPr>
                <w:rFonts w:ascii="Arial" w:hAnsi="Arial"/>
                <w:sz w:val="17"/>
              </w:rPr>
              <w:t>ATO</w:t>
            </w:r>
          </w:p>
        </w:tc>
        <w:tc>
          <w:tcPr>
            <w:tcW w:type="dxa" w:w="7488"/>
            <w:shd w:val="clear" w:color="auto" w:fill="F2F4F7"/>
          </w:tcPr>
          <w:p>
            <w:r/>
            <w:r>
              <w:rPr>
                <w:rFonts w:ascii="Arial" w:hAnsi="Arial"/>
                <w:sz w:val="17"/>
              </w:rPr>
              <w:t>Authority to Operate — the government's formal authorisation to run a system</w:t>
            </w:r>
          </w:p>
        </w:tc>
      </w:tr>
      <w:tr>
        <w:tc>
          <w:tcPr>
            <w:tcW w:type="dxa" w:w="1872"/>
          </w:tcPr>
          <w:p>
            <w:r/>
            <w:r>
              <w:rPr>
                <w:rFonts w:ascii="Arial" w:hAnsi="Arial"/>
                <w:sz w:val="17"/>
              </w:rPr>
              <w:t>B1</w:t>
            </w:r>
          </w:p>
        </w:tc>
        <w:tc>
          <w:tcPr>
            <w:tcW w:type="dxa" w:w="7488"/>
          </w:tcPr>
          <w:p>
            <w:r/>
            <w:r>
              <w:rPr>
                <w:rFonts w:ascii="Arial" w:hAnsi="Arial"/>
                <w:sz w:val="17"/>
              </w:rPr>
              <w:t>No Discrepancy — every required source was reached and confirmed the entity, and the NPI passed its check digit</w:t>
            </w:r>
          </w:p>
        </w:tc>
      </w:tr>
      <w:tr>
        <w:tc>
          <w:tcPr>
            <w:tcW w:type="dxa" w:w="1872"/>
            <w:shd w:val="clear" w:color="auto" w:fill="F2F4F7"/>
          </w:tcPr>
          <w:p>
            <w:r/>
            <w:r>
              <w:rPr>
                <w:rFonts w:ascii="Arial" w:hAnsi="Arial"/>
                <w:sz w:val="17"/>
              </w:rPr>
              <w:t>B2</w:t>
            </w:r>
          </w:p>
        </w:tc>
        <w:tc>
          <w:tcPr>
            <w:tcW w:type="dxa" w:w="7488"/>
            <w:shd w:val="clear" w:color="auto" w:fill="F2F4F7"/>
          </w:tcPr>
          <w:p>
            <w:r/>
            <w:r>
              <w:rPr>
                <w:rFonts w:ascii="Arial" w:hAnsi="Arial"/>
                <w:sz w:val="17"/>
              </w:rPr>
              <w:t>Minor / Administrative — name, address or taxonomy differs in form but not in identity</w:t>
            </w:r>
          </w:p>
        </w:tc>
      </w:tr>
      <w:tr>
        <w:tc>
          <w:tcPr>
            <w:tcW w:type="dxa" w:w="1872"/>
          </w:tcPr>
          <w:p>
            <w:r/>
            <w:r>
              <w:rPr>
                <w:rFonts w:ascii="Arial" w:hAnsi="Arial"/>
                <w:sz w:val="17"/>
              </w:rPr>
              <w:t>B3</w:t>
            </w:r>
          </w:p>
        </w:tc>
        <w:tc>
          <w:tcPr>
            <w:tcW w:type="dxa" w:w="7488"/>
          </w:tcPr>
          <w:p>
            <w:r/>
            <w:r>
              <w:rPr>
                <w:rFonts w:ascii="Arial" w:hAnsi="Arial"/>
                <w:sz w:val="17"/>
              </w:rPr>
              <w:t>Inexplicable — sources were reached and disagreed, or the primary source has no record; requires human resolution</w:t>
            </w:r>
          </w:p>
        </w:tc>
      </w:tr>
      <w:tr>
        <w:tc>
          <w:tcPr>
            <w:tcW w:type="dxa" w:w="1872"/>
            <w:shd w:val="clear" w:color="auto" w:fill="F2F4F7"/>
          </w:tcPr>
          <w:p>
            <w:r/>
            <w:r>
              <w:rPr>
                <w:rFonts w:ascii="Arial" w:hAnsi="Arial"/>
                <w:sz w:val="17"/>
              </w:rPr>
              <w:t>B4</w:t>
            </w:r>
          </w:p>
        </w:tc>
        <w:tc>
          <w:tcPr>
            <w:tcW w:type="dxa" w:w="7488"/>
            <w:shd w:val="clear" w:color="auto" w:fill="F2F4F7"/>
          </w:tcPr>
          <w:p>
            <w:r/>
            <w:r>
              <w:rPr>
                <w:rFonts w:ascii="Arial" w:hAnsi="Arial"/>
                <w:sz w:val="17"/>
              </w:rPr>
              <w:t>Non-Compliant — exclusion, debarment or an invalid identifier; disqualifying regardless of what other sources say</w:t>
            </w:r>
          </w:p>
        </w:tc>
      </w:tr>
      <w:tr>
        <w:tc>
          <w:tcPr>
            <w:tcW w:type="dxa" w:w="1872"/>
          </w:tcPr>
          <w:p>
            <w:r/>
            <w:r>
              <w:rPr>
                <w:rFonts w:ascii="Arial" w:hAnsi="Arial"/>
                <w:sz w:val="17"/>
              </w:rPr>
              <w:t>CAGE</w:t>
            </w:r>
          </w:p>
        </w:tc>
        <w:tc>
          <w:tcPr>
            <w:tcW w:type="dxa" w:w="7488"/>
          </w:tcPr>
          <w:p>
            <w:r/>
            <w:r>
              <w:rPr>
                <w:rFonts w:ascii="Arial" w:hAnsi="Arial"/>
                <w:sz w:val="17"/>
              </w:rPr>
              <w:t>Commercial and Government Entity code — AGT's is 8ERE8</w:t>
            </w:r>
          </w:p>
        </w:tc>
      </w:tr>
      <w:tr>
        <w:tc>
          <w:tcPr>
            <w:tcW w:type="dxa" w:w="1872"/>
            <w:shd w:val="clear" w:color="auto" w:fill="F2F4F7"/>
          </w:tcPr>
          <w:p>
            <w:r/>
            <w:r>
              <w:rPr>
                <w:rFonts w:ascii="Arial" w:hAnsi="Arial"/>
                <w:sz w:val="17"/>
              </w:rPr>
              <w:t>CCN</w:t>
            </w:r>
          </w:p>
        </w:tc>
        <w:tc>
          <w:tcPr>
            <w:tcW w:type="dxa" w:w="7488"/>
            <w:shd w:val="clear" w:color="auto" w:fill="F2F4F7"/>
          </w:tcPr>
          <w:p>
            <w:r/>
            <w:r>
              <w:rPr>
                <w:rFonts w:ascii="Arial" w:hAnsi="Arial"/>
                <w:sz w:val="17"/>
              </w:rPr>
              <w:t>CMS Certification Number</w:t>
            </w:r>
          </w:p>
        </w:tc>
      </w:tr>
      <w:tr>
        <w:tc>
          <w:tcPr>
            <w:tcW w:type="dxa" w:w="1872"/>
          </w:tcPr>
          <w:p>
            <w:r/>
            <w:r>
              <w:rPr>
                <w:rFonts w:ascii="Arial" w:hAnsi="Arial"/>
                <w:sz w:val="17"/>
              </w:rPr>
              <w:t>CLIA</w:t>
            </w:r>
          </w:p>
        </w:tc>
        <w:tc>
          <w:tcPr>
            <w:tcW w:type="dxa" w:w="7488"/>
          </w:tcPr>
          <w:p>
            <w:r/>
            <w:r>
              <w:rPr>
                <w:rFonts w:ascii="Arial" w:hAnsi="Arial"/>
                <w:sz w:val="17"/>
              </w:rPr>
              <w:t>Clinical Laboratory Improvement Amendments — laboratory certification identifier</w:t>
            </w:r>
          </w:p>
        </w:tc>
      </w:tr>
      <w:tr>
        <w:tc>
          <w:tcPr>
            <w:tcW w:type="dxa" w:w="1872"/>
            <w:shd w:val="clear" w:color="auto" w:fill="F2F4F7"/>
          </w:tcPr>
          <w:p>
            <w:r/>
            <w:r>
              <w:rPr>
                <w:rFonts w:ascii="Arial" w:hAnsi="Arial"/>
                <w:sz w:val="17"/>
              </w:rPr>
              <w:t>Cochran</w:t>
            </w:r>
          </w:p>
        </w:tc>
        <w:tc>
          <w:tcPr>
            <w:tcW w:type="dxa" w:w="7488"/>
            <w:shd w:val="clear" w:color="auto" w:fill="F2F4F7"/>
          </w:tcPr>
          <w:p>
            <w:r/>
            <w:r>
              <w:rPr>
                <w:rFonts w:ascii="Arial" w:hAnsi="Arial"/>
                <w:sz w:val="17"/>
              </w:rPr>
              <w:t>Cochran's sample size formula, used with a finite population correction to size statistically valid samples</w:t>
            </w:r>
          </w:p>
        </w:tc>
      </w:tr>
      <w:tr>
        <w:tc>
          <w:tcPr>
            <w:tcW w:type="dxa" w:w="1872"/>
          </w:tcPr>
          <w:p>
            <w:r/>
            <w:r>
              <w:rPr>
                <w:rFonts w:ascii="Arial" w:hAnsi="Arial"/>
                <w:sz w:val="17"/>
              </w:rPr>
              <w:t>Common Agreement</w:t>
            </w:r>
          </w:p>
        </w:tc>
        <w:tc>
          <w:tcPr>
            <w:tcW w:type="dxa" w:w="7488"/>
          </w:tcPr>
          <w:p>
            <w:r/>
            <w:r>
              <w:rPr>
                <w:rFonts w:ascii="Arial" w:hAnsi="Arial"/>
                <w:sz w:val="17"/>
              </w:rPr>
              <w:t>The TEFCA legal agreement binding QHINs and their participants</w:t>
            </w:r>
          </w:p>
        </w:tc>
      </w:tr>
      <w:tr>
        <w:tc>
          <w:tcPr>
            <w:tcW w:type="dxa" w:w="1872"/>
            <w:shd w:val="clear" w:color="auto" w:fill="F2F4F7"/>
          </w:tcPr>
          <w:p>
            <w:r/>
            <w:r>
              <w:rPr>
                <w:rFonts w:ascii="Arial" w:hAnsi="Arial"/>
                <w:sz w:val="17"/>
              </w:rPr>
              <w:t>CPARS</w:t>
            </w:r>
          </w:p>
        </w:tc>
        <w:tc>
          <w:tcPr>
            <w:tcW w:type="dxa" w:w="7488"/>
            <w:shd w:val="clear" w:color="auto" w:fill="F2F4F7"/>
          </w:tcPr>
          <w:p>
            <w:r/>
            <w:r>
              <w:rPr>
                <w:rFonts w:ascii="Arial" w:hAnsi="Arial"/>
                <w:sz w:val="17"/>
              </w:rPr>
              <w:t>Contractor Performance Assessment Reporting System</w:t>
            </w:r>
          </w:p>
        </w:tc>
      </w:tr>
      <w:tr>
        <w:tc>
          <w:tcPr>
            <w:tcW w:type="dxa" w:w="1872"/>
          </w:tcPr>
          <w:p>
            <w:r/>
            <w:r>
              <w:rPr>
                <w:rFonts w:ascii="Arial" w:hAnsi="Arial"/>
                <w:sz w:val="17"/>
              </w:rPr>
              <w:t>CUI</w:t>
            </w:r>
          </w:p>
        </w:tc>
        <w:tc>
          <w:tcPr>
            <w:tcW w:type="dxa" w:w="7488"/>
          </w:tcPr>
          <w:p>
            <w:r/>
            <w:r>
              <w:rPr>
                <w:rFonts w:ascii="Arial" w:hAnsi="Arial"/>
                <w:sz w:val="17"/>
              </w:rPr>
              <w:t>Controlled Unclassified Information</w:t>
            </w:r>
          </w:p>
        </w:tc>
      </w:tr>
      <w:tr>
        <w:tc>
          <w:tcPr>
            <w:tcW w:type="dxa" w:w="1872"/>
            <w:shd w:val="clear" w:color="auto" w:fill="F2F4F7"/>
          </w:tcPr>
          <w:p>
            <w:r/>
            <w:r>
              <w:rPr>
                <w:rFonts w:ascii="Arial" w:hAnsi="Arial"/>
                <w:sz w:val="17"/>
              </w:rPr>
              <w:t>DAST</w:t>
            </w:r>
          </w:p>
        </w:tc>
        <w:tc>
          <w:tcPr>
            <w:tcW w:type="dxa" w:w="7488"/>
            <w:shd w:val="clear" w:color="auto" w:fill="F2F4F7"/>
          </w:tcPr>
          <w:p>
            <w:r/>
            <w:r>
              <w:rPr>
                <w:rFonts w:ascii="Arial" w:hAnsi="Arial"/>
                <w:sz w:val="17"/>
              </w:rPr>
              <w:t>Dynamic Application Security Testing — testing a running application from the outside</w:t>
            </w:r>
          </w:p>
        </w:tc>
      </w:tr>
      <w:tr>
        <w:tc>
          <w:tcPr>
            <w:tcW w:type="dxa" w:w="1872"/>
          </w:tcPr>
          <w:p>
            <w:r/>
            <w:r>
              <w:rPr>
                <w:rFonts w:ascii="Arial" w:hAnsi="Arial"/>
                <w:sz w:val="17"/>
              </w:rPr>
              <w:t>FAR</w:t>
            </w:r>
          </w:p>
        </w:tc>
        <w:tc>
          <w:tcPr>
            <w:tcW w:type="dxa" w:w="7488"/>
          </w:tcPr>
          <w:p>
            <w:r/>
            <w:r>
              <w:rPr>
                <w:rFonts w:ascii="Arial" w:hAnsi="Arial"/>
                <w:sz w:val="17"/>
              </w:rPr>
              <w:t>Federal Acquisition Regulation</w:t>
            </w:r>
          </w:p>
        </w:tc>
      </w:tr>
      <w:tr>
        <w:tc>
          <w:tcPr>
            <w:tcW w:type="dxa" w:w="1872"/>
            <w:shd w:val="clear" w:color="auto" w:fill="F2F4F7"/>
          </w:tcPr>
          <w:p>
            <w:r/>
            <w:r>
              <w:rPr>
                <w:rFonts w:ascii="Arial" w:hAnsi="Arial"/>
                <w:sz w:val="17"/>
              </w:rPr>
              <w:t>FedRAMP</w:t>
            </w:r>
          </w:p>
        </w:tc>
        <w:tc>
          <w:tcPr>
            <w:tcW w:type="dxa" w:w="7488"/>
            <w:shd w:val="clear" w:color="auto" w:fill="F2F4F7"/>
          </w:tcPr>
          <w:p>
            <w:r/>
            <w:r>
              <w:rPr>
                <w:rFonts w:ascii="Arial" w:hAnsi="Arial"/>
                <w:sz w:val="17"/>
              </w:rPr>
              <w:t>Federal Risk and Authorization Management Program</w:t>
            </w:r>
          </w:p>
        </w:tc>
      </w:tr>
      <w:tr>
        <w:tc>
          <w:tcPr>
            <w:tcW w:type="dxa" w:w="1872"/>
          </w:tcPr>
          <w:p>
            <w:r/>
            <w:r>
              <w:rPr>
                <w:rFonts w:ascii="Arial" w:hAnsi="Arial"/>
                <w:sz w:val="17"/>
              </w:rPr>
              <w:t>FIPS 199</w:t>
            </w:r>
          </w:p>
        </w:tc>
        <w:tc>
          <w:tcPr>
            <w:tcW w:type="dxa" w:w="7488"/>
          </w:tcPr>
          <w:p>
            <w:r/>
            <w:r>
              <w:rPr>
                <w:rFonts w:ascii="Arial" w:hAnsi="Arial"/>
                <w:sz w:val="17"/>
              </w:rPr>
              <w:t>Federal Information Processing Standard 199 — security categorisation of information systems</w:t>
            </w:r>
          </w:p>
        </w:tc>
      </w:tr>
      <w:tr>
        <w:tc>
          <w:tcPr>
            <w:tcW w:type="dxa" w:w="1872"/>
            <w:shd w:val="clear" w:color="auto" w:fill="F2F4F7"/>
          </w:tcPr>
          <w:p>
            <w:r/>
            <w:r>
              <w:rPr>
                <w:rFonts w:ascii="Arial" w:hAnsi="Arial"/>
                <w:sz w:val="17"/>
              </w:rPr>
              <w:t>FISMA</w:t>
            </w:r>
          </w:p>
        </w:tc>
        <w:tc>
          <w:tcPr>
            <w:tcW w:type="dxa" w:w="7488"/>
            <w:shd w:val="clear" w:color="auto" w:fill="F2F4F7"/>
          </w:tcPr>
          <w:p>
            <w:r/>
            <w:r>
              <w:rPr>
                <w:rFonts w:ascii="Arial" w:hAnsi="Arial"/>
                <w:sz w:val="17"/>
              </w:rPr>
              <w:t>Federal Information Security Modernization Act</w:t>
            </w:r>
          </w:p>
        </w:tc>
      </w:tr>
      <w:tr>
        <w:tc>
          <w:tcPr>
            <w:tcW w:type="dxa" w:w="1872"/>
          </w:tcPr>
          <w:p>
            <w:r/>
            <w:r>
              <w:rPr>
                <w:rFonts w:ascii="Arial" w:hAnsi="Arial"/>
                <w:sz w:val="17"/>
              </w:rPr>
              <w:t>FPC</w:t>
            </w:r>
          </w:p>
        </w:tc>
        <w:tc>
          <w:tcPr>
            <w:tcW w:type="dxa" w:w="7488"/>
          </w:tcPr>
          <w:p>
            <w:r/>
            <w:r>
              <w:rPr>
                <w:rFonts w:ascii="Arial" w:hAnsi="Arial"/>
                <w:sz w:val="17"/>
              </w:rPr>
              <w:t>Finite Population Correction — adjusts sample size when the sample is a material fraction of the population</w:t>
            </w:r>
          </w:p>
        </w:tc>
      </w:tr>
      <w:tr>
        <w:tc>
          <w:tcPr>
            <w:tcW w:type="dxa" w:w="1872"/>
            <w:shd w:val="clear" w:color="auto" w:fill="F2F4F7"/>
          </w:tcPr>
          <w:p>
            <w:r/>
            <w:r>
              <w:rPr>
                <w:rFonts w:ascii="Arial" w:hAnsi="Arial"/>
                <w:sz w:val="17"/>
              </w:rPr>
              <w:t>HCID</w:t>
            </w:r>
          </w:p>
        </w:tc>
        <w:tc>
          <w:tcPr>
            <w:tcW w:type="dxa" w:w="7488"/>
            <w:shd w:val="clear" w:color="auto" w:fill="F2F4F7"/>
          </w:tcPr>
          <w:p>
            <w:r/>
            <w:r>
              <w:rPr>
                <w:rFonts w:ascii="Arial" w:hAnsi="Arial"/>
                <w:sz w:val="17"/>
              </w:rPr>
              <w:t>Health Care Identifier used in the TEFCA registry</w:t>
            </w:r>
          </w:p>
        </w:tc>
      </w:tr>
      <w:tr>
        <w:tc>
          <w:tcPr>
            <w:tcW w:type="dxa" w:w="1872"/>
          </w:tcPr>
          <w:p>
            <w:r/>
            <w:r>
              <w:rPr>
                <w:rFonts w:ascii="Arial" w:hAnsi="Arial"/>
                <w:sz w:val="17"/>
              </w:rPr>
              <w:t>HHSAR</w:t>
            </w:r>
          </w:p>
        </w:tc>
        <w:tc>
          <w:tcPr>
            <w:tcW w:type="dxa" w:w="7488"/>
          </w:tcPr>
          <w:p>
            <w:r/>
            <w:r>
              <w:rPr>
                <w:rFonts w:ascii="Arial" w:hAnsi="Arial"/>
                <w:sz w:val="17"/>
              </w:rPr>
              <w:t>Health and Human Services Acquisition Regulation</w:t>
            </w:r>
          </w:p>
        </w:tc>
      </w:tr>
      <w:tr>
        <w:tc>
          <w:tcPr>
            <w:tcW w:type="dxa" w:w="1872"/>
            <w:shd w:val="clear" w:color="auto" w:fill="F2F4F7"/>
          </w:tcPr>
          <w:p>
            <w:r/>
            <w:r>
              <w:rPr>
                <w:rFonts w:ascii="Arial" w:hAnsi="Arial"/>
                <w:sz w:val="17"/>
              </w:rPr>
              <w:t>IPP</w:t>
            </w:r>
          </w:p>
        </w:tc>
        <w:tc>
          <w:tcPr>
            <w:tcW w:type="dxa" w:w="7488"/>
            <w:shd w:val="clear" w:color="auto" w:fill="F2F4F7"/>
          </w:tcPr>
          <w:p>
            <w:r/>
            <w:r>
              <w:rPr>
                <w:rFonts w:ascii="Arial" w:hAnsi="Arial"/>
                <w:sz w:val="17"/>
              </w:rPr>
              <w:t>Invoice Processing Platform</w:t>
            </w:r>
          </w:p>
        </w:tc>
      </w:tr>
      <w:tr>
        <w:tc>
          <w:tcPr>
            <w:tcW w:type="dxa" w:w="1872"/>
          </w:tcPr>
          <w:p>
            <w:r/>
            <w:r>
              <w:rPr>
                <w:rFonts w:ascii="Arial" w:hAnsi="Arial"/>
                <w:sz w:val="17"/>
              </w:rPr>
              <w:t>JWT</w:t>
            </w:r>
          </w:p>
        </w:tc>
        <w:tc>
          <w:tcPr>
            <w:tcW w:type="dxa" w:w="7488"/>
          </w:tcPr>
          <w:p>
            <w:r/>
            <w:r>
              <w:rPr>
                <w:rFonts w:ascii="Arial" w:hAnsi="Arial"/>
                <w:sz w:val="17"/>
              </w:rPr>
              <w:t>JSON Web Token — the bearer token format used for authentication</w:t>
            </w:r>
          </w:p>
        </w:tc>
      </w:tr>
      <w:tr>
        <w:tc>
          <w:tcPr>
            <w:tcW w:type="dxa" w:w="1872"/>
            <w:shd w:val="clear" w:color="auto" w:fill="F2F4F7"/>
          </w:tcPr>
          <w:p>
            <w:r/>
            <w:r>
              <w:rPr>
                <w:rFonts w:ascii="Arial" w:hAnsi="Arial"/>
                <w:sz w:val="17"/>
              </w:rPr>
              <w:t>MAS</w:t>
            </w:r>
          </w:p>
        </w:tc>
        <w:tc>
          <w:tcPr>
            <w:tcW w:type="dxa" w:w="7488"/>
            <w:shd w:val="clear" w:color="auto" w:fill="F2F4F7"/>
          </w:tcPr>
          <w:p>
            <w:r/>
            <w:r>
              <w:rPr>
                <w:rFonts w:ascii="Arial" w:hAnsi="Arial"/>
                <w:sz w:val="17"/>
              </w:rPr>
              <w:t>Multiple Award Schedule</w:t>
            </w:r>
          </w:p>
        </w:tc>
      </w:tr>
      <w:tr>
        <w:tc>
          <w:tcPr>
            <w:tcW w:type="dxa" w:w="1872"/>
          </w:tcPr>
          <w:p>
            <w:r/>
            <w:r>
              <w:rPr>
                <w:rFonts w:ascii="Arial" w:hAnsi="Arial"/>
                <w:sz w:val="17"/>
              </w:rPr>
              <w:t>NIST</w:t>
            </w:r>
          </w:p>
        </w:tc>
        <w:tc>
          <w:tcPr>
            <w:tcW w:type="dxa" w:w="7488"/>
          </w:tcPr>
          <w:p>
            <w:r/>
            <w:r>
              <w:rPr>
                <w:rFonts w:ascii="Arial" w:hAnsi="Arial"/>
                <w:sz w:val="17"/>
              </w:rPr>
              <w:t>National Institute of Standards and Technology</w:t>
            </w:r>
          </w:p>
        </w:tc>
      </w:tr>
      <w:tr>
        <w:tc>
          <w:tcPr>
            <w:tcW w:type="dxa" w:w="1872"/>
            <w:shd w:val="clear" w:color="auto" w:fill="F2F4F7"/>
          </w:tcPr>
          <w:p>
            <w:r/>
            <w:r>
              <w:rPr>
                <w:rFonts w:ascii="Arial" w:hAnsi="Arial"/>
                <w:sz w:val="17"/>
              </w:rPr>
              <w:t>NPI</w:t>
            </w:r>
          </w:p>
        </w:tc>
        <w:tc>
          <w:tcPr>
            <w:tcW w:type="dxa" w:w="7488"/>
            <w:shd w:val="clear" w:color="auto" w:fill="F2F4F7"/>
          </w:tcPr>
          <w:p>
            <w:r/>
            <w:r>
              <w:rPr>
                <w:rFonts w:ascii="Arial" w:hAnsi="Arial"/>
                <w:sz w:val="17"/>
              </w:rPr>
              <w:t>National Provider Identifier — a ten-digit identifier with a CMS check digit</w:t>
            </w:r>
          </w:p>
        </w:tc>
      </w:tr>
      <w:tr>
        <w:tc>
          <w:tcPr>
            <w:tcW w:type="dxa" w:w="1872"/>
          </w:tcPr>
          <w:p>
            <w:r/>
            <w:r>
              <w:rPr>
                <w:rFonts w:ascii="Arial" w:hAnsi="Arial"/>
                <w:sz w:val="17"/>
              </w:rPr>
              <w:t>NPPES</w:t>
            </w:r>
          </w:p>
        </w:tc>
        <w:tc>
          <w:tcPr>
            <w:tcW w:type="dxa" w:w="7488"/>
          </w:tcPr>
          <w:p>
            <w:r/>
            <w:r>
              <w:rPr>
                <w:rFonts w:ascii="Arial" w:hAnsi="Arial"/>
                <w:sz w:val="17"/>
              </w:rPr>
              <w:t>National Plan and Provider Enumeration System — the CMS NPI registry</w:t>
            </w:r>
          </w:p>
        </w:tc>
      </w:tr>
      <w:tr>
        <w:tc>
          <w:tcPr>
            <w:tcW w:type="dxa" w:w="1872"/>
            <w:shd w:val="clear" w:color="auto" w:fill="F2F4F7"/>
          </w:tcPr>
          <w:p>
            <w:r/>
            <w:r>
              <w:rPr>
                <w:rFonts w:ascii="Arial" w:hAnsi="Arial"/>
                <w:sz w:val="17"/>
              </w:rPr>
              <w:t>OIG LEIE</w:t>
            </w:r>
          </w:p>
        </w:tc>
        <w:tc>
          <w:tcPr>
            <w:tcW w:type="dxa" w:w="7488"/>
            <w:shd w:val="clear" w:color="auto" w:fill="F2F4F7"/>
          </w:tcPr>
          <w:p>
            <w:r/>
            <w:r>
              <w:rPr>
                <w:rFonts w:ascii="Arial" w:hAnsi="Arial"/>
                <w:sz w:val="17"/>
              </w:rPr>
              <w:t>HHS Office of Inspector General List of Excluded Individuals and Entities</w:t>
            </w:r>
          </w:p>
        </w:tc>
      </w:tr>
      <w:tr>
        <w:tc>
          <w:tcPr>
            <w:tcW w:type="dxa" w:w="1872"/>
          </w:tcPr>
          <w:p>
            <w:r/>
            <w:r>
              <w:rPr>
                <w:rFonts w:ascii="Arial" w:hAnsi="Arial"/>
                <w:sz w:val="17"/>
              </w:rPr>
              <w:t>ONC</w:t>
            </w:r>
          </w:p>
        </w:tc>
        <w:tc>
          <w:tcPr>
            <w:tcW w:type="dxa" w:w="7488"/>
          </w:tcPr>
          <w:p>
            <w:r/>
            <w:r>
              <w:rPr>
                <w:rFonts w:ascii="Arial" w:hAnsi="Arial"/>
                <w:sz w:val="17"/>
              </w:rPr>
              <w:t>Office of the National Coordinator for Health Information Technology</w:t>
            </w:r>
          </w:p>
        </w:tc>
      </w:tr>
      <w:tr>
        <w:tc>
          <w:tcPr>
            <w:tcW w:type="dxa" w:w="1872"/>
            <w:shd w:val="clear" w:color="auto" w:fill="F2F4F7"/>
          </w:tcPr>
          <w:p>
            <w:r/>
            <w:r>
              <w:rPr>
                <w:rFonts w:ascii="Arial" w:hAnsi="Arial"/>
                <w:sz w:val="17"/>
              </w:rPr>
              <w:t>PECOS</w:t>
            </w:r>
          </w:p>
        </w:tc>
        <w:tc>
          <w:tcPr>
            <w:tcW w:type="dxa" w:w="7488"/>
            <w:shd w:val="clear" w:color="auto" w:fill="F2F4F7"/>
          </w:tcPr>
          <w:p>
            <w:r/>
            <w:r>
              <w:rPr>
                <w:rFonts w:ascii="Arial" w:hAnsi="Arial"/>
                <w:sz w:val="17"/>
              </w:rPr>
              <w:t>Provider Enrollment, Chain and Ownership System</w:t>
            </w:r>
          </w:p>
        </w:tc>
      </w:tr>
      <w:tr>
        <w:tc>
          <w:tcPr>
            <w:tcW w:type="dxa" w:w="1872"/>
          </w:tcPr>
          <w:p>
            <w:r/>
            <w:r>
              <w:rPr>
                <w:rFonts w:ascii="Arial" w:hAnsi="Arial"/>
                <w:sz w:val="17"/>
              </w:rPr>
              <w:t>PHI</w:t>
            </w:r>
          </w:p>
        </w:tc>
        <w:tc>
          <w:tcPr>
            <w:tcW w:type="dxa" w:w="7488"/>
          </w:tcPr>
          <w:p>
            <w:r/>
            <w:r>
              <w:rPr>
                <w:rFonts w:ascii="Arial" w:hAnsi="Arial"/>
                <w:sz w:val="17"/>
              </w:rPr>
              <w:t>Protected Health Information</w:t>
            </w:r>
          </w:p>
        </w:tc>
      </w:tr>
      <w:tr>
        <w:tc>
          <w:tcPr>
            <w:tcW w:type="dxa" w:w="1872"/>
            <w:shd w:val="clear" w:color="auto" w:fill="F2F4F7"/>
          </w:tcPr>
          <w:p>
            <w:r/>
            <w:r>
              <w:rPr>
                <w:rFonts w:ascii="Arial" w:hAnsi="Arial"/>
                <w:sz w:val="17"/>
              </w:rPr>
              <w:t>PII</w:t>
            </w:r>
          </w:p>
        </w:tc>
        <w:tc>
          <w:tcPr>
            <w:tcW w:type="dxa" w:w="7488"/>
            <w:shd w:val="clear" w:color="auto" w:fill="F2F4F7"/>
          </w:tcPr>
          <w:p>
            <w:r/>
            <w:r>
              <w:rPr>
                <w:rFonts w:ascii="Arial" w:hAnsi="Arial"/>
                <w:sz w:val="17"/>
              </w:rPr>
              <w:t>Personally Identifiable Information</w:t>
            </w:r>
          </w:p>
        </w:tc>
      </w:tr>
      <w:tr>
        <w:tc>
          <w:tcPr>
            <w:tcW w:type="dxa" w:w="1872"/>
          </w:tcPr>
          <w:p>
            <w:r/>
            <w:r>
              <w:rPr>
                <w:rFonts w:ascii="Arial" w:hAnsi="Arial"/>
                <w:sz w:val="17"/>
              </w:rPr>
              <w:t>POA&amp;M</w:t>
            </w:r>
          </w:p>
        </w:tc>
        <w:tc>
          <w:tcPr>
            <w:tcW w:type="dxa" w:w="7488"/>
          </w:tcPr>
          <w:p>
            <w:r/>
            <w:r>
              <w:rPr>
                <w:rFonts w:ascii="Arial" w:hAnsi="Arial"/>
                <w:sz w:val="17"/>
              </w:rPr>
              <w:t>Plan of Action and Milestones</w:t>
            </w:r>
          </w:p>
        </w:tc>
      </w:tr>
      <w:tr>
        <w:tc>
          <w:tcPr>
            <w:tcW w:type="dxa" w:w="1872"/>
            <w:shd w:val="clear" w:color="auto" w:fill="F2F4F7"/>
          </w:tcPr>
          <w:p>
            <w:r/>
            <w:r>
              <w:rPr>
                <w:rFonts w:ascii="Arial" w:hAnsi="Arial"/>
                <w:sz w:val="17"/>
              </w:rPr>
              <w:t>QHIN</w:t>
            </w:r>
          </w:p>
        </w:tc>
        <w:tc>
          <w:tcPr>
            <w:tcW w:type="dxa" w:w="7488"/>
            <w:shd w:val="clear" w:color="auto" w:fill="F2F4F7"/>
          </w:tcPr>
          <w:p>
            <w:r/>
            <w:r>
              <w:rPr>
                <w:rFonts w:ascii="Arial" w:hAnsi="Arial"/>
                <w:sz w:val="17"/>
              </w:rPr>
              <w:t>Qualified Health Information Network</w:t>
            </w:r>
          </w:p>
        </w:tc>
      </w:tr>
      <w:tr>
        <w:tc>
          <w:tcPr>
            <w:tcW w:type="dxa" w:w="1872"/>
          </w:tcPr>
          <w:p>
            <w:r/>
            <w:r>
              <w:rPr>
                <w:rFonts w:ascii="Arial" w:hAnsi="Arial"/>
                <w:sz w:val="17"/>
              </w:rPr>
              <w:t>QTF</w:t>
            </w:r>
          </w:p>
        </w:tc>
        <w:tc>
          <w:tcPr>
            <w:tcW w:type="dxa" w:w="7488"/>
          </w:tcPr>
          <w:p>
            <w:r/>
            <w:r>
              <w:rPr>
                <w:rFonts w:ascii="Arial" w:hAnsi="Arial"/>
                <w:sz w:val="17"/>
              </w:rPr>
              <w:t>QHIN Technical Framework</w:t>
            </w:r>
          </w:p>
        </w:tc>
      </w:tr>
      <w:tr>
        <w:tc>
          <w:tcPr>
            <w:tcW w:type="dxa" w:w="1872"/>
            <w:shd w:val="clear" w:color="auto" w:fill="F2F4F7"/>
          </w:tcPr>
          <w:p>
            <w:r/>
            <w:r>
              <w:rPr>
                <w:rFonts w:ascii="Arial" w:hAnsi="Arial"/>
                <w:sz w:val="17"/>
              </w:rPr>
              <w:t>RBAC</w:t>
            </w:r>
          </w:p>
        </w:tc>
        <w:tc>
          <w:tcPr>
            <w:tcW w:type="dxa" w:w="7488"/>
            <w:shd w:val="clear" w:color="auto" w:fill="F2F4F7"/>
          </w:tcPr>
          <w:p>
            <w:r/>
            <w:r>
              <w:rPr>
                <w:rFonts w:ascii="Arial" w:hAnsi="Arial"/>
                <w:sz w:val="17"/>
              </w:rPr>
              <w:t>Role-Based Access Control</w:t>
            </w:r>
          </w:p>
        </w:tc>
      </w:tr>
      <w:tr>
        <w:tc>
          <w:tcPr>
            <w:tcW w:type="dxa" w:w="1872"/>
          </w:tcPr>
          <w:p>
            <w:r/>
            <w:r>
              <w:rPr>
                <w:rFonts w:ascii="Arial" w:hAnsi="Arial"/>
                <w:sz w:val="17"/>
              </w:rPr>
              <w:t>RCE</w:t>
            </w:r>
          </w:p>
        </w:tc>
        <w:tc>
          <w:tcPr>
            <w:tcW w:type="dxa" w:w="7488"/>
          </w:tcPr>
          <w:p>
            <w:r/>
            <w:r>
              <w:rPr>
                <w:rFonts w:ascii="Arial" w:hAnsi="Arial"/>
                <w:sz w:val="17"/>
              </w:rPr>
              <w:t>Recognized Coordinating Entity — The Sequoia Project</w:t>
            </w:r>
          </w:p>
        </w:tc>
      </w:tr>
      <w:tr>
        <w:tc>
          <w:tcPr>
            <w:tcW w:type="dxa" w:w="1872"/>
            <w:shd w:val="clear" w:color="auto" w:fill="F2F4F7"/>
          </w:tcPr>
          <w:p>
            <w:r/>
            <w:r>
              <w:rPr>
                <w:rFonts w:ascii="Arial" w:hAnsi="Arial"/>
                <w:sz w:val="17"/>
              </w:rPr>
              <w:t>SAM</w:t>
            </w:r>
          </w:p>
        </w:tc>
        <w:tc>
          <w:tcPr>
            <w:tcW w:type="dxa" w:w="7488"/>
            <w:shd w:val="clear" w:color="auto" w:fill="F2F4F7"/>
          </w:tcPr>
          <w:p>
            <w:r/>
            <w:r>
              <w:rPr>
                <w:rFonts w:ascii="Arial" w:hAnsi="Arial"/>
                <w:sz w:val="17"/>
              </w:rPr>
              <w:t>System for Award Management — federal registration and exclusions</w:t>
            </w:r>
          </w:p>
        </w:tc>
      </w:tr>
      <w:tr>
        <w:tc>
          <w:tcPr>
            <w:tcW w:type="dxa" w:w="1872"/>
          </w:tcPr>
          <w:p>
            <w:r/>
            <w:r>
              <w:rPr>
                <w:rFonts w:ascii="Arial" w:hAnsi="Arial"/>
                <w:sz w:val="17"/>
              </w:rPr>
              <w:t>SAST</w:t>
            </w:r>
          </w:p>
        </w:tc>
        <w:tc>
          <w:tcPr>
            <w:tcW w:type="dxa" w:w="7488"/>
          </w:tcPr>
          <w:p>
            <w:r/>
            <w:r>
              <w:rPr>
                <w:rFonts w:ascii="Arial" w:hAnsi="Arial"/>
                <w:sz w:val="17"/>
              </w:rPr>
              <w:t>Static Application Security Testing — analysis of source code</w:t>
            </w:r>
          </w:p>
        </w:tc>
      </w:tr>
      <w:tr>
        <w:tc>
          <w:tcPr>
            <w:tcW w:type="dxa" w:w="1872"/>
            <w:shd w:val="clear" w:color="auto" w:fill="F2F4F7"/>
          </w:tcPr>
          <w:p>
            <w:r/>
            <w:r>
              <w:rPr>
                <w:rFonts w:ascii="Arial" w:hAnsi="Arial"/>
                <w:sz w:val="17"/>
              </w:rPr>
              <w:t>SCA</w:t>
            </w:r>
          </w:p>
        </w:tc>
        <w:tc>
          <w:tcPr>
            <w:tcW w:type="dxa" w:w="7488"/>
            <w:shd w:val="clear" w:color="auto" w:fill="F2F4F7"/>
          </w:tcPr>
          <w:p>
            <w:r/>
            <w:r>
              <w:rPr>
                <w:rFonts w:ascii="Arial" w:hAnsi="Arial"/>
                <w:sz w:val="17"/>
              </w:rPr>
              <w:t>Software Composition Analysis — dependency vulnerability scanning</w:t>
            </w:r>
          </w:p>
        </w:tc>
      </w:tr>
      <w:tr>
        <w:tc>
          <w:tcPr>
            <w:tcW w:type="dxa" w:w="1872"/>
          </w:tcPr>
          <w:p>
            <w:r/>
            <w:r>
              <w:rPr>
                <w:rFonts w:ascii="Arial" w:hAnsi="Arial"/>
                <w:sz w:val="17"/>
              </w:rPr>
              <w:t>SSP</w:t>
            </w:r>
          </w:p>
        </w:tc>
        <w:tc>
          <w:tcPr>
            <w:tcW w:type="dxa" w:w="7488"/>
          </w:tcPr>
          <w:p>
            <w:r/>
            <w:r>
              <w:rPr>
                <w:rFonts w:ascii="Arial" w:hAnsi="Arial"/>
                <w:sz w:val="17"/>
              </w:rPr>
              <w:t>System Security Plan</w:t>
            </w:r>
          </w:p>
        </w:tc>
      </w:tr>
      <w:tr>
        <w:tc>
          <w:tcPr>
            <w:tcW w:type="dxa" w:w="1872"/>
            <w:shd w:val="clear" w:color="auto" w:fill="F2F4F7"/>
          </w:tcPr>
          <w:p>
            <w:r/>
            <w:r>
              <w:rPr>
                <w:rFonts w:ascii="Arial" w:hAnsi="Arial"/>
                <w:sz w:val="17"/>
              </w:rPr>
              <w:t>TEFCA</w:t>
            </w:r>
          </w:p>
        </w:tc>
        <w:tc>
          <w:tcPr>
            <w:tcW w:type="dxa" w:w="7488"/>
            <w:shd w:val="clear" w:color="auto" w:fill="F2F4F7"/>
          </w:tcPr>
          <w:p>
            <w:r/>
            <w:r>
              <w:rPr>
                <w:rFonts w:ascii="Arial" w:hAnsi="Arial"/>
                <w:sz w:val="17"/>
              </w:rPr>
              <w:t>Trusted Exchange Framework and Common Agreement</w:t>
            </w:r>
          </w:p>
        </w:tc>
      </w:tr>
      <w:tr>
        <w:tc>
          <w:tcPr>
            <w:tcW w:type="dxa" w:w="1872"/>
          </w:tcPr>
          <w:p>
            <w:r/>
            <w:r>
              <w:rPr>
                <w:rFonts w:ascii="Arial" w:hAnsi="Arial"/>
                <w:sz w:val="17"/>
              </w:rPr>
              <w:t>TEFCAID</w:t>
            </w:r>
          </w:p>
        </w:tc>
        <w:tc>
          <w:tcPr>
            <w:tcW w:type="dxa" w:w="7488"/>
          </w:tcPr>
          <w:p>
            <w:r/>
            <w:r>
              <w:rPr>
                <w:rFonts w:ascii="Arial" w:hAnsi="Arial"/>
                <w:sz w:val="17"/>
              </w:rPr>
              <w:t>The registry's primary entity identifier</w:t>
            </w:r>
          </w:p>
        </w:tc>
      </w:tr>
      <w:tr>
        <w:tc>
          <w:tcPr>
            <w:tcW w:type="dxa" w:w="1872"/>
            <w:shd w:val="clear" w:color="auto" w:fill="F2F4F7"/>
          </w:tcPr>
          <w:p>
            <w:r/>
            <w:r>
              <w:rPr>
                <w:rFonts w:ascii="Arial" w:hAnsi="Arial"/>
                <w:sz w:val="17"/>
              </w:rPr>
              <w:t>ToP</w:t>
            </w:r>
          </w:p>
        </w:tc>
        <w:tc>
          <w:tcPr>
            <w:tcW w:type="dxa" w:w="7488"/>
            <w:shd w:val="clear" w:color="auto" w:fill="F2F4F7"/>
          </w:tcPr>
          <w:p>
            <w:r/>
            <w:r>
              <w:rPr>
                <w:rFonts w:ascii="Arial" w:hAnsi="Arial"/>
                <w:sz w:val="17"/>
              </w:rPr>
              <w:t>Terms of Participation</w:t>
            </w:r>
          </w:p>
        </w:tc>
      </w:tr>
      <w:tr>
        <w:tc>
          <w:tcPr>
            <w:tcW w:type="dxa" w:w="1872"/>
          </w:tcPr>
          <w:p>
            <w:r/>
            <w:r>
              <w:rPr>
                <w:rFonts w:ascii="Arial" w:hAnsi="Arial"/>
                <w:sz w:val="17"/>
              </w:rPr>
              <w:t>UEI</w:t>
            </w:r>
          </w:p>
        </w:tc>
        <w:tc>
          <w:tcPr>
            <w:tcW w:type="dxa" w:w="7488"/>
          </w:tcPr>
          <w:p>
            <w:r/>
            <w:r>
              <w:rPr>
                <w:rFonts w:ascii="Arial" w:hAnsi="Arial"/>
                <w:sz w:val="17"/>
              </w:rPr>
              <w:t>Unique Entity Identifier — AGT's is MP2FLV1MAW93</w:t>
            </w:r>
          </w:p>
        </w:tc>
      </w:tr>
      <w:tr>
        <w:tc>
          <w:tcPr>
            <w:tcW w:type="dxa" w:w="1872"/>
            <w:shd w:val="clear" w:color="auto" w:fill="F2F4F7"/>
          </w:tcPr>
          <w:p>
            <w:r/>
            <w:r>
              <w:rPr>
                <w:rFonts w:ascii="Arial" w:hAnsi="Arial"/>
                <w:sz w:val="17"/>
              </w:rPr>
              <w:t>Wilson score interval</w:t>
            </w:r>
          </w:p>
        </w:tc>
        <w:tc>
          <w:tcPr>
            <w:tcW w:type="dxa" w:w="7488"/>
            <w:shd w:val="clear" w:color="auto" w:fill="F2F4F7"/>
          </w:tcPr>
          <w:p>
            <w:r/>
            <w:r>
              <w:rPr>
                <w:rFonts w:ascii="Arial" w:hAnsi="Arial"/>
                <w:sz w:val="17"/>
              </w:rPr>
              <w:t>A confidence interval for a proportion that remains valid at small counts and near 0 or 1, unlike the normal approximation</w:t>
            </w:r>
          </w:p>
        </w:tc>
      </w:tr>
    </w:tbl>
    <w:p/>
    <w:p>
      <w:r>
        <w:br w:type="page"/>
      </w:r>
    </w:p>
    <w:p>
      <w:pPr>
        <w:pStyle w:val="Heading1"/>
      </w:pPr>
      <w:r>
        <w:t>10. References</w:t>
      </w:r>
    </w:p>
    <w:tbl>
      <w:tblPr>
        <w:tblStyle w:val="TableGrid"/>
        <w:tblW w:type="auto" w:w="0"/>
        <w:jc w:val="center"/>
        <w:tblLook w:firstColumn="1" w:firstRow="1" w:lastColumn="0" w:lastRow="0" w:noHBand="0" w:noVBand="1" w:val="04A0"/>
      </w:tblPr>
      <w:tblGrid>
        <w:gridCol w:w="3120"/>
        <w:gridCol w:w="3120"/>
        <w:gridCol w:w="3120"/>
      </w:tblGrid>
      <w:tr>
        <w:tc>
          <w:tcPr>
            <w:tcW w:type="dxa" w:w="576"/>
            <w:shd w:val="clear" w:color="auto" w:fill="0B3C5D"/>
          </w:tcPr>
          <w:p>
            <w:r/>
            <w:r>
              <w:rPr>
                <w:rFonts w:ascii="Arial" w:hAnsi="Arial"/>
                <w:b/>
                <w:color w:val="FFFFFF"/>
                <w:sz w:val="17"/>
              </w:rPr>
              <w:t>#</w:t>
            </w:r>
          </w:p>
        </w:tc>
        <w:tc>
          <w:tcPr>
            <w:tcW w:type="dxa" w:w="4320"/>
            <w:shd w:val="clear" w:color="auto" w:fill="0B3C5D"/>
          </w:tcPr>
          <w:p>
            <w:r/>
            <w:r>
              <w:rPr>
                <w:rFonts w:ascii="Arial" w:hAnsi="Arial"/>
                <w:b/>
                <w:color w:val="FFFFFF"/>
                <w:sz w:val="17"/>
              </w:rPr>
              <w:t>Reference</w:t>
            </w:r>
          </w:p>
        </w:tc>
        <w:tc>
          <w:tcPr>
            <w:tcW w:type="dxa" w:w="4464"/>
            <w:shd w:val="clear" w:color="auto" w:fill="0B3C5D"/>
          </w:tcPr>
          <w:p>
            <w:r/>
            <w:r>
              <w:rPr>
                <w:rFonts w:ascii="Arial" w:hAnsi="Arial"/>
                <w:b/>
                <w:color w:val="FFFFFF"/>
                <w:sz w:val="17"/>
              </w:rPr>
              <w:t>Relevance</w:t>
            </w:r>
          </w:p>
        </w:tc>
      </w:tr>
      <w:tr>
        <w:tc>
          <w:tcPr>
            <w:tcW w:type="dxa" w:w="576"/>
          </w:tcPr>
          <w:p>
            <w:r/>
            <w:r>
              <w:rPr>
                <w:rFonts w:ascii="Arial" w:hAnsi="Arial"/>
                <w:sz w:val="17"/>
              </w:rPr>
              <w:t>1</w:t>
            </w:r>
          </w:p>
        </w:tc>
        <w:tc>
          <w:tcPr>
            <w:tcW w:type="dxa" w:w="4320"/>
          </w:tcPr>
          <w:p>
            <w:r/>
            <w:r>
              <w:rPr>
                <w:rFonts w:ascii="Arial" w:hAnsi="Arial"/>
                <w:sz w:val="17"/>
              </w:rPr>
              <w:t>45 CFR Part 172</w:t>
            </w:r>
          </w:p>
        </w:tc>
        <w:tc>
          <w:tcPr>
            <w:tcW w:type="dxa" w:w="4464"/>
          </w:tcPr>
          <w:p>
            <w:r/>
            <w:r>
              <w:rPr>
                <w:rFonts w:ascii="Arial" w:hAnsi="Arial"/>
                <w:sz w:val="17"/>
              </w:rPr>
              <w:t>TEFCA regulatory basis</w:t>
            </w:r>
          </w:p>
        </w:tc>
      </w:tr>
      <w:tr>
        <w:tc>
          <w:tcPr>
            <w:tcW w:type="dxa" w:w="576"/>
            <w:shd w:val="clear" w:color="auto" w:fill="F2F4F7"/>
          </w:tcPr>
          <w:p>
            <w:r/>
            <w:r>
              <w:rPr>
                <w:rFonts w:ascii="Arial" w:hAnsi="Arial"/>
                <w:sz w:val="17"/>
              </w:rPr>
              <w:t>2</w:t>
            </w:r>
          </w:p>
        </w:tc>
        <w:tc>
          <w:tcPr>
            <w:tcW w:type="dxa" w:w="4320"/>
            <w:shd w:val="clear" w:color="auto" w:fill="F2F4F7"/>
          </w:tcPr>
          <w:p>
            <w:r/>
            <w:r>
              <w:rPr>
                <w:rFonts w:ascii="Arial" w:hAnsi="Arial"/>
                <w:sz w:val="17"/>
              </w:rPr>
              <w:t>TEFCA Common Agreement v2.x</w:t>
            </w:r>
          </w:p>
        </w:tc>
        <w:tc>
          <w:tcPr>
            <w:tcW w:type="dxa" w:w="4464"/>
            <w:shd w:val="clear" w:color="auto" w:fill="F2F4F7"/>
          </w:tcPr>
          <w:p>
            <w:r/>
            <w:r>
              <w:rPr>
                <w:rFonts w:ascii="Arial" w:hAnsi="Arial"/>
                <w:sz w:val="17"/>
              </w:rPr>
              <w:t>Participant and Sub-Participant obligations</w:t>
            </w:r>
          </w:p>
        </w:tc>
      </w:tr>
      <w:tr>
        <w:tc>
          <w:tcPr>
            <w:tcW w:type="dxa" w:w="576"/>
          </w:tcPr>
          <w:p>
            <w:r/>
            <w:r>
              <w:rPr>
                <w:rFonts w:ascii="Arial" w:hAnsi="Arial"/>
                <w:sz w:val="17"/>
              </w:rPr>
              <w:t>3</w:t>
            </w:r>
          </w:p>
        </w:tc>
        <w:tc>
          <w:tcPr>
            <w:tcW w:type="dxa" w:w="4320"/>
          </w:tcPr>
          <w:p>
            <w:r/>
            <w:r>
              <w:rPr>
                <w:rFonts w:ascii="Arial" w:hAnsi="Arial"/>
                <w:sz w:val="17"/>
              </w:rPr>
              <w:t>QHIN Technical Framework (QTF) v2.1</w:t>
            </w:r>
          </w:p>
        </w:tc>
        <w:tc>
          <w:tcPr>
            <w:tcW w:type="dxa" w:w="4464"/>
          </w:tcPr>
          <w:p>
            <w:r/>
            <w:r>
              <w:rPr>
                <w:rFonts w:ascii="Arial" w:hAnsi="Arial"/>
                <w:sz w:val="17"/>
              </w:rPr>
              <w:t>Technical requirements for QHINs</w:t>
            </w:r>
          </w:p>
        </w:tc>
      </w:tr>
      <w:tr>
        <w:tc>
          <w:tcPr>
            <w:tcW w:type="dxa" w:w="576"/>
            <w:shd w:val="clear" w:color="auto" w:fill="F2F4F7"/>
          </w:tcPr>
          <w:p>
            <w:r/>
            <w:r>
              <w:rPr>
                <w:rFonts w:ascii="Arial" w:hAnsi="Arial"/>
                <w:sz w:val="17"/>
              </w:rPr>
              <w:t>4</w:t>
            </w:r>
          </w:p>
        </w:tc>
        <w:tc>
          <w:tcPr>
            <w:tcW w:type="dxa" w:w="4320"/>
            <w:shd w:val="clear" w:color="auto" w:fill="F2F4F7"/>
          </w:tcPr>
          <w:p>
            <w:r/>
            <w:r>
              <w:rPr>
                <w:rFonts w:ascii="Arial" w:hAnsi="Arial"/>
                <w:sz w:val="17"/>
              </w:rPr>
              <w:t>NIST SP 800-53 Rev 5</w:t>
            </w:r>
          </w:p>
        </w:tc>
        <w:tc>
          <w:tcPr>
            <w:tcW w:type="dxa" w:w="4464"/>
            <w:shd w:val="clear" w:color="auto" w:fill="F2F4F7"/>
          </w:tcPr>
          <w:p>
            <w:r/>
            <w:r>
              <w:rPr>
                <w:rFonts w:ascii="Arial" w:hAnsi="Arial"/>
                <w:sz w:val="17"/>
              </w:rPr>
              <w:t>Security and privacy control baseline</w:t>
            </w:r>
          </w:p>
        </w:tc>
      </w:tr>
      <w:tr>
        <w:tc>
          <w:tcPr>
            <w:tcW w:type="dxa" w:w="576"/>
          </w:tcPr>
          <w:p>
            <w:r/>
            <w:r>
              <w:rPr>
                <w:rFonts w:ascii="Arial" w:hAnsi="Arial"/>
                <w:sz w:val="17"/>
              </w:rPr>
              <w:t>5</w:t>
            </w:r>
          </w:p>
        </w:tc>
        <w:tc>
          <w:tcPr>
            <w:tcW w:type="dxa" w:w="4320"/>
          </w:tcPr>
          <w:p>
            <w:r/>
            <w:r>
              <w:rPr>
                <w:rFonts w:ascii="Arial" w:hAnsi="Arial"/>
                <w:sz w:val="17"/>
              </w:rPr>
              <w:t>NIST SP 800-171</w:t>
            </w:r>
          </w:p>
        </w:tc>
        <w:tc>
          <w:tcPr>
            <w:tcW w:type="dxa" w:w="4464"/>
          </w:tcPr>
          <w:p>
            <w:r/>
            <w:r>
              <w:rPr>
                <w:rFonts w:ascii="Arial" w:hAnsi="Arial"/>
                <w:sz w:val="17"/>
              </w:rPr>
              <w:t>Protecting CUI in nonfederal systems</w:t>
            </w:r>
          </w:p>
        </w:tc>
      </w:tr>
      <w:tr>
        <w:tc>
          <w:tcPr>
            <w:tcW w:type="dxa" w:w="576"/>
            <w:shd w:val="clear" w:color="auto" w:fill="F2F4F7"/>
          </w:tcPr>
          <w:p>
            <w:r/>
            <w:r>
              <w:rPr>
                <w:rFonts w:ascii="Arial" w:hAnsi="Arial"/>
                <w:sz w:val="17"/>
              </w:rPr>
              <w:t>6</w:t>
            </w:r>
          </w:p>
        </w:tc>
        <w:tc>
          <w:tcPr>
            <w:tcW w:type="dxa" w:w="4320"/>
            <w:shd w:val="clear" w:color="auto" w:fill="F2F4F7"/>
          </w:tcPr>
          <w:p>
            <w:r/>
            <w:r>
              <w:rPr>
                <w:rFonts w:ascii="Arial" w:hAnsi="Arial"/>
                <w:sz w:val="17"/>
              </w:rPr>
              <w:t>FIPS 199</w:t>
            </w:r>
          </w:p>
        </w:tc>
        <w:tc>
          <w:tcPr>
            <w:tcW w:type="dxa" w:w="4464"/>
            <w:shd w:val="clear" w:color="auto" w:fill="F2F4F7"/>
          </w:tcPr>
          <w:p>
            <w:r/>
            <w:r>
              <w:rPr>
                <w:rFonts w:ascii="Arial" w:hAnsi="Arial"/>
                <w:sz w:val="17"/>
              </w:rPr>
              <w:t>Security categorisation — Moderate assumed</w:t>
            </w:r>
          </w:p>
        </w:tc>
      </w:tr>
      <w:tr>
        <w:tc>
          <w:tcPr>
            <w:tcW w:type="dxa" w:w="576"/>
          </w:tcPr>
          <w:p>
            <w:r/>
            <w:r>
              <w:rPr>
                <w:rFonts w:ascii="Arial" w:hAnsi="Arial"/>
                <w:sz w:val="17"/>
              </w:rPr>
              <w:t>7</w:t>
            </w:r>
          </w:p>
        </w:tc>
        <w:tc>
          <w:tcPr>
            <w:tcW w:type="dxa" w:w="4320"/>
          </w:tcPr>
          <w:p>
            <w:r/>
            <w:r>
              <w:rPr>
                <w:rFonts w:ascii="Arial" w:hAnsi="Arial"/>
                <w:sz w:val="17"/>
              </w:rPr>
              <w:t>HIPAA Security Rule (45 CFR Part 164 Subpart C)</w:t>
            </w:r>
          </w:p>
        </w:tc>
        <w:tc>
          <w:tcPr>
            <w:tcW w:type="dxa" w:w="4464"/>
          </w:tcPr>
          <w:p>
            <w:r/>
            <w:r>
              <w:rPr>
                <w:rFonts w:ascii="Arial" w:hAnsi="Arial"/>
                <w:sz w:val="17"/>
              </w:rPr>
              <w:t>Safeguards where PHI is in scope</w:t>
            </w:r>
          </w:p>
        </w:tc>
      </w:tr>
      <w:tr>
        <w:tc>
          <w:tcPr>
            <w:tcW w:type="dxa" w:w="576"/>
            <w:shd w:val="clear" w:color="auto" w:fill="F2F4F7"/>
          </w:tcPr>
          <w:p>
            <w:r/>
            <w:r>
              <w:rPr>
                <w:rFonts w:ascii="Arial" w:hAnsi="Arial"/>
                <w:sz w:val="17"/>
              </w:rPr>
              <w:t>8</w:t>
            </w:r>
          </w:p>
        </w:tc>
        <w:tc>
          <w:tcPr>
            <w:tcW w:type="dxa" w:w="4320"/>
            <w:shd w:val="clear" w:color="auto" w:fill="F2F4F7"/>
          </w:tcPr>
          <w:p>
            <w:r/>
            <w:r>
              <w:rPr>
                <w:rFonts w:ascii="Arial" w:hAnsi="Arial"/>
                <w:sz w:val="17"/>
              </w:rPr>
              <w:t>FAR Part 8</w:t>
            </w:r>
          </w:p>
        </w:tc>
        <w:tc>
          <w:tcPr>
            <w:tcW w:type="dxa" w:w="4464"/>
            <w:shd w:val="clear" w:color="auto" w:fill="F2F4F7"/>
          </w:tcPr>
          <w:p>
            <w:r/>
            <w:r>
              <w:rPr>
                <w:rFonts w:ascii="Arial" w:hAnsi="Arial"/>
                <w:sz w:val="17"/>
              </w:rPr>
              <w:t>Acquisition via Federal Supply Schedules</w:t>
            </w:r>
          </w:p>
        </w:tc>
      </w:tr>
      <w:tr>
        <w:tc>
          <w:tcPr>
            <w:tcW w:type="dxa" w:w="576"/>
          </w:tcPr>
          <w:p>
            <w:r/>
            <w:r>
              <w:rPr>
                <w:rFonts w:ascii="Arial" w:hAnsi="Arial"/>
                <w:sz w:val="17"/>
              </w:rPr>
              <w:t>9</w:t>
            </w:r>
          </w:p>
        </w:tc>
        <w:tc>
          <w:tcPr>
            <w:tcW w:type="dxa" w:w="4320"/>
          </w:tcPr>
          <w:p>
            <w:r/>
            <w:r>
              <w:rPr>
                <w:rFonts w:ascii="Arial" w:hAnsi="Arial"/>
                <w:sz w:val="17"/>
              </w:rPr>
              <w:t>GSA MAS 47QTCA21D003M</w:t>
            </w:r>
          </w:p>
        </w:tc>
        <w:tc>
          <w:tcPr>
            <w:tcW w:type="dxa" w:w="4464"/>
          </w:tcPr>
          <w:p>
            <w:r/>
            <w:r>
              <w:rPr>
                <w:rFonts w:ascii="Arial" w:hAnsi="Arial"/>
                <w:sz w:val="17"/>
              </w:rPr>
              <w:t>Contract vehicle</w:t>
            </w:r>
          </w:p>
        </w:tc>
      </w:tr>
      <w:tr>
        <w:tc>
          <w:tcPr>
            <w:tcW w:type="dxa" w:w="576"/>
            <w:shd w:val="clear" w:color="auto" w:fill="F2F4F7"/>
          </w:tcPr>
          <w:p>
            <w:r/>
            <w:r>
              <w:rPr>
                <w:rFonts w:ascii="Arial" w:hAnsi="Arial"/>
                <w:sz w:val="17"/>
              </w:rPr>
              <w:t>10</w:t>
            </w:r>
          </w:p>
        </w:tc>
        <w:tc>
          <w:tcPr>
            <w:tcW w:type="dxa" w:w="4320"/>
            <w:shd w:val="clear" w:color="auto" w:fill="F2F4F7"/>
          </w:tcPr>
          <w:p>
            <w:r/>
            <w:r>
              <w:rPr>
                <w:rFonts w:ascii="Arial" w:hAnsi="Arial"/>
                <w:sz w:val="17"/>
              </w:rPr>
              <w:t>NIST SP 800-63B</w:t>
            </w:r>
          </w:p>
        </w:tc>
        <w:tc>
          <w:tcPr>
            <w:tcW w:type="dxa" w:w="4464"/>
            <w:shd w:val="clear" w:color="auto" w:fill="F2F4F7"/>
          </w:tcPr>
          <w:p>
            <w:r/>
            <w:r>
              <w:rPr>
                <w:rFonts w:ascii="Arial" w:hAnsi="Arial"/>
                <w:sz w:val="17"/>
              </w:rPr>
              <w:t>Authentication and session management</w:t>
            </w:r>
          </w:p>
        </w:tc>
      </w:tr>
      <w:tr>
        <w:tc>
          <w:tcPr>
            <w:tcW w:type="dxa" w:w="576"/>
          </w:tcPr>
          <w:p>
            <w:r/>
            <w:r>
              <w:rPr>
                <w:rFonts w:ascii="Arial" w:hAnsi="Arial"/>
                <w:sz w:val="17"/>
              </w:rPr>
              <w:t>11</w:t>
            </w:r>
          </w:p>
        </w:tc>
        <w:tc>
          <w:tcPr>
            <w:tcW w:type="dxa" w:w="4320"/>
          </w:tcPr>
          <w:p>
            <w:r/>
            <w:r>
              <w:rPr>
                <w:rFonts w:ascii="Arial" w:hAnsi="Arial"/>
                <w:sz w:val="17"/>
              </w:rPr>
              <w:t>Section 508 / WCAG 2.2 AA</w:t>
            </w:r>
          </w:p>
        </w:tc>
        <w:tc>
          <w:tcPr>
            <w:tcW w:type="dxa" w:w="4464"/>
          </w:tcPr>
          <w:p>
            <w:r/>
            <w:r>
              <w:rPr>
                <w:rFonts w:ascii="Arial" w:hAnsi="Arial"/>
                <w:sz w:val="17"/>
              </w:rPr>
              <w:t>Accessibility conformance</w:t>
            </w:r>
          </w:p>
        </w:tc>
      </w:tr>
      <w:tr>
        <w:tc>
          <w:tcPr>
            <w:tcW w:type="dxa" w:w="576"/>
            <w:shd w:val="clear" w:color="auto" w:fill="F2F4F7"/>
          </w:tcPr>
          <w:p>
            <w:r/>
            <w:r>
              <w:rPr>
                <w:rFonts w:ascii="Arial" w:hAnsi="Arial"/>
                <w:sz w:val="17"/>
              </w:rPr>
              <w:t>12</w:t>
            </w:r>
          </w:p>
        </w:tc>
        <w:tc>
          <w:tcPr>
            <w:tcW w:type="dxa" w:w="4320"/>
            <w:shd w:val="clear" w:color="auto" w:fill="F2F4F7"/>
          </w:tcPr>
          <w:p>
            <w:r/>
            <w:r>
              <w:rPr>
                <w:rFonts w:ascii="Arial" w:hAnsi="Arial"/>
                <w:sz w:val="17"/>
              </w:rPr>
              <w:t>AGT-REQ-001</w:t>
            </w:r>
          </w:p>
        </w:tc>
        <w:tc>
          <w:tcPr>
            <w:tcW w:type="dxa" w:w="4464"/>
            <w:shd w:val="clear" w:color="auto" w:fill="F2F4F7"/>
          </w:tcPr>
          <w:p>
            <w:r/>
            <w:r>
              <w:rPr>
                <w:rFonts w:ascii="Arial" w:hAnsi="Arial"/>
                <w:sz w:val="17"/>
              </w:rPr>
              <w:t>Volume II — Requirements Specification</w:t>
            </w:r>
          </w:p>
        </w:tc>
      </w:tr>
      <w:tr>
        <w:tc>
          <w:tcPr>
            <w:tcW w:type="dxa" w:w="576"/>
          </w:tcPr>
          <w:p>
            <w:r/>
            <w:r>
              <w:rPr>
                <w:rFonts w:ascii="Arial" w:hAnsi="Arial"/>
                <w:sz w:val="17"/>
              </w:rPr>
              <w:t>13</w:t>
            </w:r>
          </w:p>
        </w:tc>
        <w:tc>
          <w:tcPr>
            <w:tcW w:type="dxa" w:w="4320"/>
          </w:tcPr>
          <w:p>
            <w:r/>
            <w:r>
              <w:rPr>
                <w:rFonts w:ascii="Arial" w:hAnsi="Arial"/>
                <w:sz w:val="17"/>
              </w:rPr>
              <w:t>AGT-EA-001</w:t>
            </w:r>
          </w:p>
        </w:tc>
        <w:tc>
          <w:tcPr>
            <w:tcW w:type="dxa" w:w="4464"/>
          </w:tcPr>
          <w:p>
            <w:r/>
            <w:r>
              <w:rPr>
                <w:rFonts w:ascii="Arial" w:hAnsi="Arial"/>
                <w:sz w:val="17"/>
              </w:rPr>
              <w:t>Volume III — Enterprise Architecture</w:t>
            </w:r>
          </w:p>
        </w:tc>
      </w:tr>
      <w:tr>
        <w:tc>
          <w:tcPr>
            <w:tcW w:type="dxa" w:w="576"/>
            <w:shd w:val="clear" w:color="auto" w:fill="F2F4F7"/>
          </w:tcPr>
          <w:p>
            <w:r/>
            <w:r>
              <w:rPr>
                <w:rFonts w:ascii="Arial" w:hAnsi="Arial"/>
                <w:sz w:val="17"/>
              </w:rPr>
              <w:t>14</w:t>
            </w:r>
          </w:p>
        </w:tc>
        <w:tc>
          <w:tcPr>
            <w:tcW w:type="dxa" w:w="4320"/>
            <w:shd w:val="clear" w:color="auto" w:fill="F2F4F7"/>
          </w:tcPr>
          <w:p>
            <w:r/>
            <w:r>
              <w:rPr>
                <w:rFonts w:ascii="Arial" w:hAnsi="Arial"/>
                <w:sz w:val="17"/>
              </w:rPr>
              <w:t>AGT-SD-001</w:t>
            </w:r>
          </w:p>
        </w:tc>
        <w:tc>
          <w:tcPr>
            <w:tcW w:type="dxa" w:w="4464"/>
            <w:shd w:val="clear" w:color="auto" w:fill="F2F4F7"/>
          </w:tcPr>
          <w:p>
            <w:r/>
            <w:r>
              <w:rPr>
                <w:rFonts w:ascii="Arial" w:hAnsi="Arial"/>
                <w:sz w:val="17"/>
              </w:rPr>
              <w:t>Volume IV — System and Module Design</w:t>
            </w:r>
          </w:p>
        </w:tc>
      </w:tr>
      <w:tr>
        <w:tc>
          <w:tcPr>
            <w:tcW w:type="dxa" w:w="576"/>
          </w:tcPr>
          <w:p>
            <w:r/>
            <w:r>
              <w:rPr>
                <w:rFonts w:ascii="Arial" w:hAnsi="Arial"/>
                <w:sz w:val="17"/>
              </w:rPr>
              <w:t>15</w:t>
            </w:r>
          </w:p>
        </w:tc>
        <w:tc>
          <w:tcPr>
            <w:tcW w:type="dxa" w:w="4320"/>
          </w:tcPr>
          <w:p>
            <w:r/>
            <w:r>
              <w:rPr>
                <w:rFonts w:ascii="Arial" w:hAnsi="Arial"/>
                <w:sz w:val="17"/>
              </w:rPr>
              <w:t>AGT-DA-001</w:t>
            </w:r>
          </w:p>
        </w:tc>
        <w:tc>
          <w:tcPr>
            <w:tcW w:type="dxa" w:w="4464"/>
          </w:tcPr>
          <w:p>
            <w:r/>
            <w:r>
              <w:rPr>
                <w:rFonts w:ascii="Arial" w:hAnsi="Arial"/>
                <w:sz w:val="17"/>
              </w:rPr>
              <w:t>Volume VI — Enterprise Data Architecture</w:t>
            </w:r>
          </w:p>
        </w:tc>
      </w:tr>
      <w:tr>
        <w:tc>
          <w:tcPr>
            <w:tcW w:type="dxa" w:w="576"/>
            <w:shd w:val="clear" w:color="auto" w:fill="F2F4F7"/>
          </w:tcPr>
          <w:p>
            <w:r/>
            <w:r>
              <w:rPr>
                <w:rFonts w:ascii="Arial" w:hAnsi="Arial"/>
                <w:sz w:val="17"/>
              </w:rPr>
              <w:t>16</w:t>
            </w:r>
          </w:p>
        </w:tc>
        <w:tc>
          <w:tcPr>
            <w:tcW w:type="dxa" w:w="4320"/>
            <w:shd w:val="clear" w:color="auto" w:fill="F2F4F7"/>
          </w:tcPr>
          <w:p>
            <w:r/>
            <w:r>
              <w:rPr>
                <w:rFonts w:ascii="Arial" w:hAnsi="Arial"/>
                <w:sz w:val="17"/>
              </w:rPr>
              <w:t>AGT-SA-001</w:t>
            </w:r>
          </w:p>
        </w:tc>
        <w:tc>
          <w:tcPr>
            <w:tcW w:type="dxa" w:w="4464"/>
            <w:shd w:val="clear" w:color="auto" w:fill="F2F4F7"/>
          </w:tcPr>
          <w:p>
            <w:r/>
            <w:r>
              <w:rPr>
                <w:rFonts w:ascii="Arial" w:hAnsi="Arial"/>
                <w:sz w:val="17"/>
              </w:rPr>
              <w:t>Automated Security Assessment</w:t>
            </w:r>
          </w:p>
        </w:tc>
      </w:tr>
      <w:tr>
        <w:tc>
          <w:tcPr>
            <w:tcW w:type="dxa" w:w="576"/>
          </w:tcPr>
          <w:p>
            <w:r/>
            <w:r>
              <w:rPr>
                <w:rFonts w:ascii="Arial" w:hAnsi="Arial"/>
                <w:sz w:val="17"/>
              </w:rPr>
              <w:t>17</w:t>
            </w:r>
          </w:p>
        </w:tc>
        <w:tc>
          <w:tcPr>
            <w:tcW w:type="dxa" w:w="4320"/>
          </w:tcPr>
          <w:p>
            <w:r/>
            <w:r>
              <w:rPr>
                <w:rFonts w:ascii="Arial" w:hAnsi="Arial"/>
                <w:sz w:val="17"/>
              </w:rPr>
              <w:t>AGT-TE-005</w:t>
            </w:r>
          </w:p>
        </w:tc>
        <w:tc>
          <w:tcPr>
            <w:tcW w:type="dxa" w:w="4464"/>
          </w:tcPr>
          <w:p>
            <w:r/>
            <w:r>
              <w:rPr>
                <w:rFonts w:ascii="Arial" w:hAnsi="Arial"/>
                <w:sz w:val="17"/>
              </w:rPr>
              <w:t>TEFCA Operational Validation</w:t>
            </w:r>
          </w:p>
        </w:tc>
      </w:tr>
      <w:tr>
        <w:tc>
          <w:tcPr>
            <w:tcW w:type="dxa" w:w="576"/>
            <w:shd w:val="clear" w:color="auto" w:fill="F2F4F7"/>
          </w:tcPr>
          <w:p>
            <w:r/>
            <w:r>
              <w:rPr>
                <w:rFonts w:ascii="Arial" w:hAnsi="Arial"/>
                <w:sz w:val="17"/>
              </w:rPr>
              <w:t>18</w:t>
            </w:r>
          </w:p>
        </w:tc>
        <w:tc>
          <w:tcPr>
            <w:tcW w:type="dxa" w:w="4320"/>
            <w:shd w:val="clear" w:color="auto" w:fill="F2F4F7"/>
          </w:tcPr>
          <w:p>
            <w:r/>
            <w:r>
              <w:rPr>
                <w:rFonts w:ascii="Arial" w:hAnsi="Arial"/>
                <w:sz w:val="17"/>
              </w:rPr>
              <w:t>AGT-TE-006</w:t>
            </w:r>
          </w:p>
        </w:tc>
        <w:tc>
          <w:tcPr>
            <w:tcW w:type="dxa" w:w="4464"/>
            <w:shd w:val="clear" w:color="auto" w:fill="F2F4F7"/>
          </w:tcPr>
          <w:p>
            <w:r/>
            <w:r>
              <w:rPr>
                <w:rFonts w:ascii="Arial" w:hAnsi="Arial"/>
                <w:sz w:val="17"/>
              </w:rPr>
              <w:t>Performance Baseline, Access Control and API Contract</w:t>
            </w:r>
          </w:p>
        </w:tc>
      </w:tr>
    </w:tbl>
    <w:p/>
    <w:p>
      <w:r>
        <w:br w:type="page"/>
      </w:r>
    </w:p>
    <w:p>
      <w:pPr>
        <w:pStyle w:val="Heading1"/>
      </w:pPr>
      <w:r>
        <w:t>11. Revision History</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296"/>
            <w:shd w:val="clear" w:color="auto" w:fill="0B3C5D"/>
          </w:tcPr>
          <w:p>
            <w:r/>
            <w:r>
              <w:rPr>
                <w:rFonts w:ascii="Arial" w:hAnsi="Arial"/>
                <w:b/>
                <w:color w:val="FFFFFF"/>
                <w:sz w:val="17"/>
              </w:rPr>
              <w:t>Version</w:t>
            </w:r>
          </w:p>
        </w:tc>
        <w:tc>
          <w:tcPr>
            <w:tcW w:type="dxa" w:w="1872"/>
            <w:shd w:val="clear" w:color="auto" w:fill="0B3C5D"/>
          </w:tcPr>
          <w:p>
            <w:r/>
            <w:r>
              <w:rPr>
                <w:rFonts w:ascii="Arial" w:hAnsi="Arial"/>
                <w:b/>
                <w:color w:val="FFFFFF"/>
                <w:sz w:val="17"/>
              </w:rPr>
              <w:t>Date</w:t>
            </w:r>
          </w:p>
        </w:tc>
        <w:tc>
          <w:tcPr>
            <w:tcW w:type="dxa" w:w="2448"/>
            <w:shd w:val="clear" w:color="auto" w:fill="0B3C5D"/>
          </w:tcPr>
          <w:p>
            <w:r/>
            <w:r>
              <w:rPr>
                <w:rFonts w:ascii="Arial" w:hAnsi="Arial"/>
                <w:b/>
                <w:color w:val="FFFFFF"/>
                <w:sz w:val="17"/>
              </w:rPr>
              <w:t>Author</w:t>
            </w:r>
          </w:p>
        </w:tc>
        <w:tc>
          <w:tcPr>
            <w:tcW w:type="dxa" w:w="3744"/>
            <w:shd w:val="clear" w:color="auto" w:fill="0B3C5D"/>
          </w:tcPr>
          <w:p>
            <w:r/>
            <w:r>
              <w:rPr>
                <w:rFonts w:ascii="Arial" w:hAnsi="Arial"/>
                <w:b/>
                <w:color w:val="FFFFFF"/>
                <w:sz w:val="17"/>
              </w:rPr>
              <w:t>Description</w:t>
            </w:r>
          </w:p>
        </w:tc>
      </w:tr>
      <w:tr>
        <w:tc>
          <w:tcPr>
            <w:tcW w:type="dxa" w:w="1296"/>
          </w:tcPr>
          <w:p>
            <w:r/>
            <w:r>
              <w:rPr>
                <w:rFonts w:ascii="Arial" w:hAnsi="Arial"/>
                <w:sz w:val="17"/>
              </w:rPr>
              <w:t>1.0</w:t>
            </w:r>
          </w:p>
        </w:tc>
        <w:tc>
          <w:tcPr>
            <w:tcW w:type="dxa" w:w="1872"/>
          </w:tcPr>
          <w:p>
            <w:r/>
            <w:r>
              <w:rPr>
                <w:rFonts w:ascii="Arial" w:hAnsi="Arial"/>
                <w:sz w:val="17"/>
              </w:rPr>
              <w:t>August 2026</w:t>
            </w:r>
          </w:p>
        </w:tc>
        <w:tc>
          <w:tcPr>
            <w:tcW w:type="dxa" w:w="2448"/>
          </w:tcPr>
          <w:p>
            <w:r/>
            <w:r>
              <w:rPr>
                <w:rFonts w:ascii="Arial" w:hAnsi="Arial"/>
                <w:sz w:val="17"/>
              </w:rPr>
              <w:t>Imran Siddiqui</w:t>
            </w:r>
          </w:p>
        </w:tc>
        <w:tc>
          <w:tcPr>
            <w:tcW w:type="dxa" w:w="3744"/>
          </w:tcPr>
          <w:p>
            <w:r/>
            <w:r>
              <w:rPr>
                <w:rFonts w:ascii="Arial" w:hAnsi="Arial"/>
                <w:sz w:val="17"/>
              </w:rPr>
              <w:t>Initial release</w:t>
            </w:r>
          </w:p>
        </w:tc>
      </w:tr>
    </w:tbl>
    <w:p/>
    <w:sectPr w:rsidR="00FC693F" w:rsidRPr="0006063C" w:rsidSect="00034616">
      <w:headerReference w:type="default" r:id="rId9"/>
      <w:footerReference w:type="default" r:id="rId10"/>
      <w:pgSz w:w="12240" w:h="15840"/>
      <w:pgMar w:top="1296"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Arial" w:hAnsi="Arial"/>
        <w:color w:val="0B3C5D"/>
        <w:sz w:val="16"/>
      </w:rPr>
      <w:t>Alliance Global Tech, Inc.</w:t>
      <w:tab/>
    </w:r>
    <w:r>
      <w:rPr>
        <w:rFonts w:ascii="Arial" w:hAnsi="Arial"/>
        <w:sz w:val="16"/>
      </w:rPr>
      <w:t xml:space="preserve">Page </w:t>
    </w:r>
    <w:r>
      <w:fldChar w:fldCharType="begin"/>
    </w:r>
    <w:r>
      <w:instrText xml:space="preserve">PAGE</w:instrText>
    </w:r>
    <w:r>
      <w:fldChar w:fldCharType="separate"/>
    </w:r>
    <w:r>
      <w:rPr>
        <w:rFonts w:ascii="Arial" w:hAnsi="Arial"/>
        <w:sz w:val="16"/>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0B3C5D"/>
        <w:sz w:val="16"/>
      </w:rPr>
      <w:t>AGT-EX-001</w:t>
      <w:tab/>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rial" w:hAnsi="Arial"/>
      <w:sz w:val="20"/>
      <w:rFonts w:ascii="Arial" w:hAnsi="Arial" w:cs="Arial" w:eastAsia="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Arial" w:hAnsi="Arial"/>
      <w:b/>
      <w:bCs/>
      <w:color w:val="0B3C5D"/>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Arial" w:hAnsi="Arial"/>
      <w:b/>
      <w:bCs/>
      <w:color w:val="0B3C5D"/>
      <w:sz w:val="24"/>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Arial" w:hAnsi="Arial"/>
      <w:b/>
      <w:bCs/>
      <w:color w:val="0B3C5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