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640"/>
      </w:tblGrid>
      <w:tr>
        <w:tc>
          <w:tcPr>
            <w:tcW w:type="dxa" w:w="8640"/>
            <w:shd w:val="clear" w:fill="0B3C5D"/>
          </w:tcPr>
          <w:p>
            <w:pPr>
              <w:jc w:val="center"/>
            </w:pPr>
            <w:r>
              <w:rPr>
                <w:rFonts w:ascii="Segoe UI" w:hAnsi="Segoe UI"/>
                <w:b/>
                <w:color w:val="FFFFFF"/>
                <w:sz w:val="48"/>
              </w:rPr>
              <w:t>DocuAction AI</w:t>
            </w:r>
          </w:p>
          <w:p>
            <w:pPr>
              <w:jc w:val="center"/>
            </w:pPr>
            <w:r>
              <w:rPr>
                <w:rFonts w:ascii="Segoe UI" w:hAnsi="Segoe UI"/>
                <w:color w:val="FFFFFF"/>
                <w:sz w:val="22"/>
              </w:rPr>
              <w:t>Enterprise Intelligence Platform — HHS/TEFCA</w:t>
            </w:r>
          </w:p>
          <w:p/>
        </w:tc>
      </w:tr>
    </w:tbl>
    <w:p/>
    <w:p>
      <w:pPr>
        <w:jc w:val="center"/>
      </w:pPr>
      <w:r>
        <w:rPr>
          <w:rFonts w:ascii="Segoe UI" w:hAnsi="Segoe UI"/>
          <w:b/>
          <w:color w:val="0B3C5D"/>
          <w:sz w:val="40"/>
        </w:rPr>
        <w:t>Configuration Management Plan</w:t>
      </w:r>
    </w:p>
    <w:p>
      <w:pPr>
        <w:jc w:val="center"/>
      </w:pPr>
      <w:r>
        <w:rPr>
          <w:rFonts w:ascii="Segoe UI" w:hAnsi="Segoe UI"/>
          <w:color w:val="2A7FFF"/>
          <w:sz w:val="22"/>
        </w:rPr>
        <w:t>NIST SP 800-128 / 800-53 CM Family</w:t>
      </w:r>
    </w:p>
    <w:p/>
    <w:tbl>
      <w:tblPr>
        <w:tblStyle w:val="TableGrid"/>
        <w:tblW w:type="auto" w:w="0"/>
        <w:jc w:val="center"/>
        <w:tblLook w:firstColumn="1" w:firstRow="1" w:lastColumn="0" w:lastRow="0" w:noHBand="0" w:noVBand="1" w:val="04A0"/>
      </w:tblPr>
      <w:tblGrid>
        <w:gridCol w:w="4320"/>
        <w:gridCol w:w="4320"/>
      </w:tblGrid>
      <w:tr>
        <w:tc>
          <w:tcPr>
            <w:tcW w:type="dxa" w:w="4320"/>
            <w:shd w:val="clear" w:fill="F2F6FB"/>
          </w:tcPr>
          <w:p>
            <w:r>
              <w:rPr>
                <w:rFonts w:ascii="Segoe UI" w:hAnsi="Segoe UI"/>
                <w:b/>
                <w:color w:val="0B3C5D"/>
                <w:sz w:val="20"/>
              </w:rPr>
              <w:t>System Name</w:t>
            </w:r>
          </w:p>
        </w:tc>
        <w:tc>
          <w:tcPr>
            <w:tcW w:type="dxa" w:w="4320"/>
          </w:tcPr>
          <w:p>
            <w:r>
              <w:rPr>
                <w:rFonts w:ascii="Segoe UI" w:hAnsi="Segoe UI"/>
                <w:sz w:val="20"/>
              </w:rPr>
              <w:t>DocuAction AI (Enterprise Intelligence / TEFCA ARC)</w:t>
            </w:r>
          </w:p>
        </w:tc>
      </w:tr>
      <w:tr>
        <w:tc>
          <w:tcPr>
            <w:tcW w:type="dxa" w:w="4320"/>
            <w:shd w:val="clear" w:fill="F2F6FB"/>
          </w:tcPr>
          <w:p>
            <w:r>
              <w:rPr>
                <w:rFonts w:ascii="Segoe UI" w:hAnsi="Segoe UI"/>
                <w:b/>
                <w:color w:val="0B3C5D"/>
                <w:sz w:val="20"/>
              </w:rPr>
              <w:t>Version</w:t>
            </w:r>
          </w:p>
        </w:tc>
        <w:tc>
          <w:tcPr>
            <w:tcW w:type="dxa" w:w="4320"/>
          </w:tcPr>
          <w:p>
            <w:r>
              <w:rPr>
                <w:rFonts w:ascii="Segoe UI" w:hAnsi="Segoe UI"/>
                <w:sz w:val="20"/>
              </w:rPr>
              <w:t>1.0</w:t>
            </w:r>
          </w:p>
        </w:tc>
      </w:tr>
      <w:tr>
        <w:tc>
          <w:tcPr>
            <w:tcW w:type="dxa" w:w="4320"/>
            <w:shd w:val="clear" w:fill="F2F6FB"/>
          </w:tcPr>
          <w:p>
            <w:r>
              <w:rPr>
                <w:rFonts w:ascii="Segoe UI" w:hAnsi="Segoe UI"/>
                <w:b/>
                <w:color w:val="0B3C5D"/>
                <w:sz w:val="20"/>
              </w:rPr>
              <w:t>Date</w:t>
            </w:r>
          </w:p>
        </w:tc>
        <w:tc>
          <w:tcPr>
            <w:tcW w:type="dxa" w:w="4320"/>
          </w:tcPr>
          <w:p>
            <w:r>
              <w:rPr>
                <w:rFonts w:ascii="Segoe UI" w:hAnsi="Segoe UI"/>
                <w:sz w:val="20"/>
              </w:rPr>
              <w:t>July 20, 2026</w:t>
            </w:r>
          </w:p>
        </w:tc>
      </w:tr>
      <w:tr>
        <w:tc>
          <w:tcPr>
            <w:tcW w:type="dxa" w:w="4320"/>
            <w:shd w:val="clear" w:fill="F2F6FB"/>
          </w:tcPr>
          <w:p>
            <w:r>
              <w:rPr>
                <w:rFonts w:ascii="Segoe UI" w:hAnsi="Segoe UI"/>
                <w:b/>
                <w:color w:val="0B3C5D"/>
                <w:sz w:val="20"/>
              </w:rPr>
              <w:t>Prepared For</w:t>
            </w:r>
          </w:p>
        </w:tc>
        <w:tc>
          <w:tcPr>
            <w:tcW w:type="dxa" w:w="4320"/>
          </w:tcPr>
          <w:p>
            <w:r>
              <w:rPr>
                <w:rFonts w:ascii="Segoe UI" w:hAnsi="Segoe UI"/>
                <w:sz w:val="20"/>
              </w:rPr>
              <w:t>U.S. Department of Health &amp; Human Services (HHS)</w:t>
            </w:r>
          </w:p>
        </w:tc>
      </w:tr>
      <w:tr>
        <w:tc>
          <w:tcPr>
            <w:tcW w:type="dxa" w:w="4320"/>
            <w:shd w:val="clear" w:fill="F2F6FB"/>
          </w:tcPr>
          <w:p>
            <w:r>
              <w:rPr>
                <w:rFonts w:ascii="Segoe UI" w:hAnsi="Segoe UI"/>
                <w:b/>
                <w:color w:val="0B3C5D"/>
                <w:sz w:val="20"/>
              </w:rPr>
              <w:t>Classification</w:t>
            </w:r>
          </w:p>
        </w:tc>
        <w:tc>
          <w:tcPr>
            <w:tcW w:type="dxa" w:w="4320"/>
          </w:tcPr>
          <w:p>
            <w:r>
              <w:rPr>
                <w:rFonts w:ascii="Segoe UI" w:hAnsi="Segoe UI"/>
                <w:sz w:val="20"/>
              </w:rPr>
              <w:t>Controlled Unclassified Information (CUI)</w:t>
            </w:r>
          </w:p>
        </w:tc>
      </w:tr>
    </w:tbl>
    <w:p>
      <w:r>
        <w:br w:type="page"/>
      </w:r>
    </w:p>
    <w:p>
      <w:pPr>
        <w:pStyle w:val="Heading1"/>
      </w:pPr>
      <w:r>
        <w:t>1. Purpose</w:t>
      </w:r>
    </w:p>
    <w:p>
      <w:r>
        <w:rPr>
          <w:rFonts w:ascii="Segoe UI" w:hAnsi="Segoe UI"/>
          <w:sz w:val="21"/>
        </w:rPr>
        <w:t>This Configuration Management Plan (CMP) defines how changes to the DocuAction AI system are controlled, baselined, security-reviewed, and audited to preserve a known, secure state.</w:t>
      </w:r>
    </w:p>
    <w:p>
      <w:pPr>
        <w:pStyle w:val="Heading1"/>
      </w:pPr>
      <w:r>
        <w:t>2. Configuration Management Roles</w:t>
      </w:r>
    </w:p>
    <w:tbl>
      <w:tblPr>
        <w:tblStyle w:val="TableGrid"/>
        <w:tblW w:type="auto" w:w="0"/>
        <w:tblLook w:firstColumn="1" w:firstRow="1" w:lastColumn="0" w:lastRow="0" w:noHBand="0" w:noVBand="1" w:val="04A0"/>
      </w:tblPr>
      <w:tblGrid>
        <w:gridCol w:w="4320"/>
        <w:gridCol w:w="4320"/>
      </w:tblGrid>
      <w:tr>
        <w:tc>
          <w:tcPr>
            <w:tcW w:type="dxa" w:w="4320"/>
            <w:shd w:val="clear" w:fill="0B3C5D"/>
          </w:tcPr>
          <w:p>
            <w:r>
              <w:rPr>
                <w:rFonts w:ascii="Segoe UI" w:hAnsi="Segoe UI"/>
                <w:b/>
                <w:color w:val="FFFFFF"/>
                <w:sz w:val="19"/>
              </w:rPr>
              <w:t>Role</w:t>
            </w:r>
          </w:p>
        </w:tc>
        <w:tc>
          <w:tcPr>
            <w:tcW w:type="dxa" w:w="4320"/>
            <w:shd w:val="clear" w:fill="0B3C5D"/>
          </w:tcPr>
          <w:p>
            <w:r>
              <w:rPr>
                <w:rFonts w:ascii="Segoe UI" w:hAnsi="Segoe UI"/>
                <w:b/>
                <w:color w:val="FFFFFF"/>
                <w:sz w:val="19"/>
              </w:rPr>
              <w:t>Responsibility</w:t>
            </w:r>
          </w:p>
        </w:tc>
      </w:tr>
      <w:tr>
        <w:tc>
          <w:tcPr>
            <w:tcW w:type="dxa" w:w="4320"/>
          </w:tcPr>
          <w:p>
            <w:r>
              <w:rPr>
                <w:rFonts w:ascii="Segoe UI" w:hAnsi="Segoe UI"/>
                <w:sz w:val="19"/>
              </w:rPr>
              <w:t>System Owner</w:t>
            </w:r>
          </w:p>
        </w:tc>
        <w:tc>
          <w:tcPr>
            <w:tcW w:type="dxa" w:w="4320"/>
          </w:tcPr>
          <w:p>
            <w:r>
              <w:rPr>
                <w:rFonts w:ascii="Segoe UI" w:hAnsi="Segoe UI"/>
                <w:sz w:val="19"/>
              </w:rPr>
              <w:t>Approves baselines and significant changes.</w:t>
            </w:r>
          </w:p>
        </w:tc>
      </w:tr>
      <w:tr>
        <w:tc>
          <w:tcPr>
            <w:tcW w:type="dxa" w:w="4320"/>
            <w:shd w:val="clear" w:fill="F2F6FB"/>
          </w:tcPr>
          <w:p>
            <w:r>
              <w:rPr>
                <w:rFonts w:ascii="Segoe UI" w:hAnsi="Segoe UI"/>
                <w:sz w:val="19"/>
              </w:rPr>
              <w:t>Change Approver / ISSO</w:t>
            </w:r>
          </w:p>
        </w:tc>
        <w:tc>
          <w:tcPr>
            <w:tcW w:type="dxa" w:w="4320"/>
            <w:shd w:val="clear" w:fill="F2F6FB"/>
          </w:tcPr>
          <w:p>
            <w:r>
              <w:rPr>
                <w:rFonts w:ascii="Segoe UI" w:hAnsi="Segoe UI"/>
                <w:sz w:val="19"/>
              </w:rPr>
              <w:t>Reviews security impact; approves or defers.</w:t>
            </w:r>
          </w:p>
        </w:tc>
      </w:tr>
      <w:tr>
        <w:tc>
          <w:tcPr>
            <w:tcW w:type="dxa" w:w="4320"/>
          </w:tcPr>
          <w:p>
            <w:r>
              <w:rPr>
                <w:rFonts w:ascii="Segoe UI" w:hAnsi="Segoe UI"/>
                <w:sz w:val="19"/>
              </w:rPr>
              <w:t>Developer</w:t>
            </w:r>
          </w:p>
        </w:tc>
        <w:tc>
          <w:tcPr>
            <w:tcW w:type="dxa" w:w="4320"/>
          </w:tcPr>
          <w:p>
            <w:r>
              <w:rPr>
                <w:rFonts w:ascii="Segoe UI" w:hAnsi="Segoe UI"/>
                <w:sz w:val="19"/>
              </w:rPr>
              <w:t>Implements changes via version control and pull requests.</w:t>
            </w:r>
          </w:p>
        </w:tc>
      </w:tr>
      <w:tr>
        <w:tc>
          <w:tcPr>
            <w:tcW w:type="dxa" w:w="4320"/>
            <w:shd w:val="clear" w:fill="F2F6FB"/>
          </w:tcPr>
          <w:p>
            <w:r>
              <w:rPr>
                <w:rFonts w:ascii="Segoe UI" w:hAnsi="Segoe UI"/>
                <w:sz w:val="19"/>
              </w:rPr>
              <w:t>Cloud Administrator</w:t>
            </w:r>
          </w:p>
        </w:tc>
        <w:tc>
          <w:tcPr>
            <w:tcW w:type="dxa" w:w="4320"/>
            <w:shd w:val="clear" w:fill="F2F6FB"/>
          </w:tcPr>
          <w:p>
            <w:r>
              <w:rPr>
                <w:rFonts w:ascii="Segoe UI" w:hAnsi="Segoe UI"/>
                <w:sz w:val="19"/>
              </w:rPr>
              <w:t>Applies infrastructure changes; maintains config records.</w:t>
            </w:r>
          </w:p>
        </w:tc>
      </w:tr>
    </w:tbl>
    <w:p/>
    <w:p>
      <w:pPr>
        <w:pStyle w:val="Heading1"/>
      </w:pPr>
      <w:r>
        <w:t>3. Configuration Items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0B3C5D"/>
          </w:tcPr>
          <w:p>
            <w:r>
              <w:rPr>
                <w:rFonts w:ascii="Segoe UI" w:hAnsi="Segoe UI"/>
                <w:b/>
                <w:color w:val="FFFFFF"/>
                <w:sz w:val="19"/>
              </w:rPr>
              <w:t>CI Category</w:t>
            </w:r>
          </w:p>
        </w:tc>
        <w:tc>
          <w:tcPr>
            <w:tcW w:type="dxa" w:w="2880"/>
            <w:shd w:val="clear" w:fill="0B3C5D"/>
          </w:tcPr>
          <w:p>
            <w:r>
              <w:rPr>
                <w:rFonts w:ascii="Segoe UI" w:hAnsi="Segoe UI"/>
                <w:b/>
                <w:color w:val="FFFFFF"/>
                <w:sz w:val="19"/>
              </w:rPr>
              <w:t>Examples</w:t>
            </w:r>
          </w:p>
        </w:tc>
        <w:tc>
          <w:tcPr>
            <w:tcW w:type="dxa" w:w="2880"/>
            <w:shd w:val="clear" w:fill="0B3C5D"/>
          </w:tcPr>
          <w:p>
            <w:r>
              <w:rPr>
                <w:rFonts w:ascii="Segoe UI" w:hAnsi="Segoe UI"/>
                <w:b/>
                <w:color w:val="FFFFFF"/>
                <w:sz w:val="19"/>
              </w:rPr>
              <w:t>System of Record</w:t>
            </w:r>
          </w:p>
        </w:tc>
      </w:tr>
      <w:tr>
        <w:tc>
          <w:tcPr>
            <w:tcW w:type="dxa" w:w="2880"/>
          </w:tcPr>
          <w:p>
            <w:r>
              <w:rPr>
                <w:rFonts w:ascii="Segoe UI" w:hAnsi="Segoe UI"/>
                <w:sz w:val="19"/>
              </w:rPr>
              <w:t>Application code</w:t>
            </w:r>
          </w:p>
        </w:tc>
        <w:tc>
          <w:tcPr>
            <w:tcW w:type="dxa" w:w="2880"/>
          </w:tcPr>
          <w:p>
            <w:r>
              <w:rPr>
                <w:rFonts w:ascii="Segoe UI" w:hAnsi="Segoe UI"/>
                <w:sz w:val="19"/>
              </w:rPr>
              <w:t>FastAPI backend, Next.js frontend</w:t>
            </w:r>
          </w:p>
        </w:tc>
        <w:tc>
          <w:tcPr>
            <w:tcW w:type="dxa" w:w="2880"/>
          </w:tcPr>
          <w:p>
            <w:r>
              <w:rPr>
                <w:rFonts w:ascii="Segoe UI" w:hAnsi="Segoe UI"/>
                <w:sz w:val="19"/>
              </w:rPr>
              <w:t>GitHub (origin/main)</w:t>
            </w:r>
          </w:p>
        </w:tc>
      </w:tr>
      <w:tr>
        <w:tc>
          <w:tcPr>
            <w:tcW w:type="dxa" w:w="2880"/>
            <w:shd w:val="clear" w:fill="F2F6FB"/>
          </w:tcPr>
          <w:p>
            <w:r>
              <w:rPr>
                <w:rFonts w:ascii="Segoe UI" w:hAnsi="Segoe UI"/>
                <w:sz w:val="19"/>
              </w:rPr>
              <w:t>Azure resources</w:t>
            </w:r>
          </w:p>
        </w:tc>
        <w:tc>
          <w:tcPr>
            <w:tcW w:type="dxa" w:w="2880"/>
            <w:shd w:val="clear" w:fill="F2F6FB"/>
          </w:tcPr>
          <w:p>
            <w:r>
              <w:rPr>
                <w:rFonts w:ascii="Segoe UI" w:hAnsi="Segoe UI"/>
                <w:sz w:val="19"/>
              </w:rPr>
              <w:t>App Service, PostgreSQL, Key Vault, alerts</w:t>
            </w:r>
          </w:p>
        </w:tc>
        <w:tc>
          <w:tcPr>
            <w:tcW w:type="dxa" w:w="2880"/>
            <w:shd w:val="clear" w:fill="F2F6FB"/>
          </w:tcPr>
          <w:p>
            <w:r>
              <w:rPr>
                <w:rFonts w:ascii="Segoe UI" w:hAnsi="Segoe UI"/>
                <w:sz w:val="19"/>
              </w:rPr>
              <w:t>Azure Resource Manager</w:t>
            </w:r>
          </w:p>
        </w:tc>
      </w:tr>
      <w:tr>
        <w:tc>
          <w:tcPr>
            <w:tcW w:type="dxa" w:w="2880"/>
          </w:tcPr>
          <w:p>
            <w:r>
              <w:rPr>
                <w:rFonts w:ascii="Segoe UI" w:hAnsi="Segoe UI"/>
                <w:sz w:val="19"/>
              </w:rPr>
              <w:t>Database schema</w:t>
            </w:r>
          </w:p>
        </w:tc>
        <w:tc>
          <w:tcPr>
            <w:tcW w:type="dxa" w:w="2880"/>
          </w:tcPr>
          <w:p>
            <w:r>
              <w:rPr>
                <w:rFonts w:ascii="Segoe UI" w:hAnsi="Segoe UI"/>
                <w:sz w:val="19"/>
              </w:rPr>
              <w:t>Tables, indexes, migrations</w:t>
            </w:r>
          </w:p>
        </w:tc>
        <w:tc>
          <w:tcPr>
            <w:tcW w:type="dxa" w:w="2880"/>
          </w:tcPr>
          <w:p>
            <w:r>
              <w:rPr>
                <w:rFonts w:ascii="Segoe UI" w:hAnsi="Segoe UI"/>
                <w:sz w:val="19"/>
              </w:rPr>
              <w:t>Alembic migrations in GitHub</w:t>
            </w:r>
          </w:p>
        </w:tc>
      </w:tr>
      <w:tr>
        <w:tc>
          <w:tcPr>
            <w:tcW w:type="dxa" w:w="2880"/>
            <w:shd w:val="clear" w:fill="F2F6FB"/>
          </w:tcPr>
          <w:p>
            <w:r>
              <w:rPr>
                <w:rFonts w:ascii="Segoe UI" w:hAnsi="Segoe UI"/>
                <w:sz w:val="19"/>
              </w:rPr>
              <w:t>Environment config</w:t>
            </w:r>
          </w:p>
        </w:tc>
        <w:tc>
          <w:tcPr>
            <w:tcW w:type="dxa" w:w="2880"/>
            <w:shd w:val="clear" w:fill="F2F6FB"/>
          </w:tcPr>
          <w:p>
            <w:r>
              <w:rPr>
                <w:rFonts w:ascii="Segoe UI" w:hAnsi="Segoe UI"/>
                <w:sz w:val="19"/>
              </w:rPr>
              <w:t>App settings, Key Vault references</w:t>
            </w:r>
          </w:p>
        </w:tc>
        <w:tc>
          <w:tcPr>
            <w:tcW w:type="dxa" w:w="2880"/>
            <w:shd w:val="clear" w:fill="F2F6FB"/>
          </w:tcPr>
          <w:p>
            <w:r>
              <w:rPr>
                <w:rFonts w:ascii="Segoe UI" w:hAnsi="Segoe UI"/>
                <w:sz w:val="19"/>
              </w:rPr>
              <w:t>App Service configuration</w:t>
            </w:r>
          </w:p>
        </w:tc>
      </w:tr>
    </w:tbl>
    <w:p/>
    <w:p>
      <w:pPr>
        <w:pStyle w:val="Heading1"/>
      </w:pPr>
      <w:r>
        <w:t>4. Change Control Process</w:t>
      </w:r>
    </w:p>
    <w:p>
      <w:pPr>
        <w:pStyle w:val="ListBullet"/>
      </w:pPr>
      <w:r>
        <w:rPr>
          <w:rFonts w:ascii="Segoe UI" w:hAnsi="Segoe UI"/>
          <w:sz w:val="21"/>
        </w:rPr>
        <w:t>Propose — change request captured with rationale and scope.</w:t>
      </w:r>
    </w:p>
    <w:p>
      <w:pPr>
        <w:pStyle w:val="ListBullet"/>
      </w:pPr>
      <w:r>
        <w:rPr>
          <w:rFonts w:ascii="Segoe UI" w:hAnsi="Segoe UI"/>
          <w:sz w:val="21"/>
        </w:rPr>
        <w:t>Review — security impact analysis (Section 6); approver sign-off.</w:t>
      </w:r>
    </w:p>
    <w:p>
      <w:pPr>
        <w:pStyle w:val="ListBullet"/>
      </w:pPr>
      <w:r>
        <w:rPr>
          <w:rFonts w:ascii="Segoe UI" w:hAnsi="Segoe UI"/>
          <w:sz w:val="21"/>
        </w:rPr>
        <w:t>Implement — via pull request to main; peer review required.</w:t>
      </w:r>
    </w:p>
    <w:p>
      <w:pPr>
        <w:pStyle w:val="ListBullet"/>
      </w:pPr>
      <w:r>
        <w:rPr>
          <w:rFonts w:ascii="Segoe UI" w:hAnsi="Segoe UI"/>
          <w:sz w:val="21"/>
        </w:rPr>
        <w:t>Deploy — controlled release to production; /health verified after every change.</w:t>
      </w:r>
    </w:p>
    <w:p>
      <w:pPr>
        <w:pStyle w:val="ListBullet"/>
      </w:pPr>
      <w:r>
        <w:rPr>
          <w:rFonts w:ascii="Segoe UI" w:hAnsi="Segoe UI"/>
          <w:sz w:val="21"/>
        </w:rPr>
        <w:t>Record — commit history + Azure activity log form the change record.</w:t>
      </w:r>
    </w:p>
    <w:p>
      <w:pPr>
        <w:pStyle w:val="Heading1"/>
      </w:pPr>
      <w:r>
        <w:t>5. Configuration Baselines</w:t>
      </w:r>
    </w:p>
    <w:p>
      <w:r>
        <w:rPr>
          <w:rFonts w:ascii="Segoe UI" w:hAnsi="Segoe UI"/>
          <w:sz w:val="21"/>
        </w:rPr>
        <w:t>The approved baseline is the state of origin/main plus the documented Azure resource configuration. Baselines are versioned; the current production baseline is Version 1.0 as of July 20, 2026.</w:t>
      </w:r>
    </w:p>
    <w:p>
      <w:pPr>
        <w:pStyle w:val="Heading1"/>
      </w:pPr>
      <w:r>
        <w:t>6. Security Impact Analysis for Changes</w:t>
      </w:r>
    </w:p>
    <w:p>
      <w:r>
        <w:rPr>
          <w:rFonts w:ascii="Segoe UI" w:hAnsi="Segoe UI"/>
          <w:sz w:val="21"/>
        </w:rPr>
        <w:t>Each change is evaluated for effect on the authorization boundary, control implementations, data flows, and attack surface. Changes with security impact require ISSO approval and, if material, an SSP update and POA&amp;M entry.</w:t>
      </w:r>
    </w:p>
    <w:p>
      <w:pPr>
        <w:pStyle w:val="Heading1"/>
      </w:pPr>
      <w:r>
        <w:t>7. Version Control</w:t>
      </w:r>
    </w:p>
    <w:p>
      <w:pPr>
        <w:pStyle w:val="ListBullet"/>
      </w:pPr>
      <w:r>
        <w:rPr>
          <w:rFonts w:ascii="Segoe UI" w:hAnsi="Segoe UI"/>
          <w:sz w:val="21"/>
        </w:rPr>
        <w:t>GitHub is the authoritative source repository (origin/main is the production baseline).</w:t>
      </w:r>
    </w:p>
    <w:p>
      <w:pPr>
        <w:pStyle w:val="ListBullet"/>
      </w:pPr>
      <w:r>
        <w:rPr>
          <w:rFonts w:ascii="Segoe UI" w:hAnsi="Segoe UI"/>
          <w:sz w:val="21"/>
        </w:rPr>
        <w:t>Feature and hardening branches are merged to main via reviewed pull requests.</w:t>
      </w:r>
    </w:p>
    <w:p>
      <w:pPr>
        <w:pStyle w:val="ListBullet"/>
      </w:pPr>
      <w:r>
        <w:rPr>
          <w:rFonts w:ascii="Segoe UI" w:hAnsi="Segoe UI"/>
          <w:sz w:val="21"/>
        </w:rPr>
        <w:t>Every commit is attributable; history is immutable and auditable.</w:t>
      </w:r>
    </w:p>
    <w:p>
      <w:pPr>
        <w:pStyle w:val="Heading1"/>
      </w:pPr>
      <w:r>
        <w:t>8. Configuration Auditing</w:t>
      </w:r>
    </w:p>
    <w:p>
      <w:r>
        <w:rPr>
          <w:rFonts w:ascii="Segoe UI" w:hAnsi="Segoe UI"/>
          <w:sz w:val="21"/>
        </w:rPr>
        <w:t>Configuration is audited by reconciling the GitHub baseline and Azure resource state against this plan. Azure diagnostic settings and the audit_logs table provide evidence of configuration changes for periodic review.</w:t>
      </w:r>
    </w:p>
    <w:tbl>
      <w:tblPr>
        <w:tblW w:type="auto" w:w="0"/>
        <w:jc w:val="center"/>
        <w:tblLook w:firstColumn="1" w:firstRow="1" w:lastColumn="0" w:lastRow="0" w:noHBand="0" w:noVBand="1" w:val="04A0"/>
      </w:tblPr>
      <w:tblGrid>
        <w:gridCol w:w="8640"/>
      </w:tblGrid>
      <w:tr>
        <w:tc>
          <w:tcPr>
            <w:tcW w:type="dxa" w:w="8640"/>
            <w:shd w:val="clear" w:fill="EAF1F8"/>
          </w:tcPr>
          <w:p>
            <w:r>
              <w:rPr>
                <w:rFonts w:ascii="Segoe UI" w:hAnsi="Segoe UI"/>
                <w:b/>
                <w:color w:val="0B3C5D"/>
                <w:sz w:val="20"/>
              </w:rPr>
              <w:t xml:space="preserve">Verification Discipline.  </w:t>
            </w:r>
            <w:r>
              <w:rPr>
                <w:rFonts w:ascii="Segoe UI" w:hAnsi="Segoe UI"/>
                <w:sz w:val="20"/>
              </w:rPr>
              <w:t>No production change is considered complete until /health returns 200 and the change is recorded in version control and the Azure activity log.</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Segoe UI" w:hAnsi="Segoe UI"/>
        <w:color w:val="605E5C"/>
        <w:sz w:val="15"/>
      </w:rPr>
      <w:t xml:space="preserve">DocuAction AI  |  Configuration Management Plan  |  Controlled Unclassified Information (CUI)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0B3C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0B3C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0B3C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