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0B3C5D"/>
          </w:tcPr>
          <w:p>
            <w:pPr>
              <w:jc w:val="center"/>
            </w:pPr>
            <w:r>
              <w:rPr>
                <w:rFonts w:ascii="Segoe UI" w:hAnsi="Segoe UI"/>
                <w:b/>
                <w:color w:val="FFFFFF"/>
                <w:sz w:val="48"/>
              </w:rPr>
              <w:t>DocuAction AI</w:t>
            </w:r>
          </w:p>
          <w:p>
            <w:pPr>
              <w:jc w:val="center"/>
            </w:pPr>
            <w:r>
              <w:rPr>
                <w:rFonts w:ascii="Segoe UI" w:hAnsi="Segoe UI"/>
                <w:color w:val="FFFFFF"/>
                <w:sz w:val="22"/>
              </w:rPr>
              <w:t>Enterprise Intelligence Platform — HHS/TEFCA</w:t>
            </w:r>
          </w:p>
          <w:p/>
        </w:tc>
      </w:tr>
    </w:tbl>
    <w:p/>
    <w:p>
      <w:pPr>
        <w:jc w:val="center"/>
      </w:pPr>
      <w:r>
        <w:rPr>
          <w:rFonts w:ascii="Segoe UI" w:hAnsi="Segoe UI"/>
          <w:b/>
          <w:color w:val="0B3C5D"/>
          <w:sz w:val="40"/>
        </w:rPr>
        <w:t>Security Assessment Plan</w:t>
      </w:r>
    </w:p>
    <w:p>
      <w:pPr>
        <w:jc w:val="center"/>
      </w:pPr>
      <w:r>
        <w:rPr>
          <w:rFonts w:ascii="Segoe UI" w:hAnsi="Segoe UI"/>
          <w:color w:val="2A7FFF"/>
          <w:sz w:val="22"/>
        </w:rPr>
        <w:t>NIST SP 800-53A Rev 5 Control Assessment</w:t>
      </w:r>
    </w:p>
    <w:p/>
    <w:tbl>
      <w:tblPr>
        <w:tblStyle w:val="TableGrid"/>
        <w:tblW w:type="auto" w:w="0"/>
        <w:jc w:val="center"/>
        <w:tblLook w:firstColumn="1" w:firstRow="1" w:lastColumn="0" w:lastRow="0" w:noHBand="0" w:noVBand="1" w:val="04A0"/>
      </w:tblPr>
      <w:tblGrid>
        <w:gridCol w:w="4320"/>
        <w:gridCol w:w="4320"/>
      </w:tblGrid>
      <w:tr>
        <w:tc>
          <w:tcPr>
            <w:tcW w:type="dxa" w:w="4320"/>
            <w:shd w:val="clear" w:fill="F2F6FB"/>
          </w:tcPr>
          <w:p>
            <w:r>
              <w:rPr>
                <w:rFonts w:ascii="Segoe UI" w:hAnsi="Segoe UI"/>
                <w:b/>
                <w:color w:val="0B3C5D"/>
                <w:sz w:val="20"/>
              </w:rPr>
              <w:t>System Name</w:t>
            </w:r>
          </w:p>
        </w:tc>
        <w:tc>
          <w:tcPr>
            <w:tcW w:type="dxa" w:w="4320"/>
          </w:tcPr>
          <w:p>
            <w:r>
              <w:rPr>
                <w:rFonts w:ascii="Segoe UI" w:hAnsi="Segoe UI"/>
                <w:sz w:val="20"/>
              </w:rPr>
              <w:t>DocuAction AI (Enterprise Intelligence / TEFCA ARC)</w:t>
            </w:r>
          </w:p>
        </w:tc>
      </w:tr>
      <w:tr>
        <w:tc>
          <w:tcPr>
            <w:tcW w:type="dxa" w:w="4320"/>
            <w:shd w:val="clear" w:fill="F2F6FB"/>
          </w:tcPr>
          <w:p>
            <w:r>
              <w:rPr>
                <w:rFonts w:ascii="Segoe UI" w:hAnsi="Segoe UI"/>
                <w:b/>
                <w:color w:val="0B3C5D"/>
                <w:sz w:val="20"/>
              </w:rPr>
              <w:t>Version</w:t>
            </w:r>
          </w:p>
        </w:tc>
        <w:tc>
          <w:tcPr>
            <w:tcW w:type="dxa" w:w="4320"/>
          </w:tcPr>
          <w:p>
            <w:r>
              <w:rPr>
                <w:rFonts w:ascii="Segoe UI" w:hAnsi="Segoe UI"/>
                <w:sz w:val="20"/>
              </w:rPr>
              <w:t>1.0</w:t>
            </w:r>
          </w:p>
        </w:tc>
      </w:tr>
      <w:tr>
        <w:tc>
          <w:tcPr>
            <w:tcW w:type="dxa" w:w="4320"/>
            <w:shd w:val="clear" w:fill="F2F6FB"/>
          </w:tcPr>
          <w:p>
            <w:r>
              <w:rPr>
                <w:rFonts w:ascii="Segoe UI" w:hAnsi="Segoe UI"/>
                <w:b/>
                <w:color w:val="0B3C5D"/>
                <w:sz w:val="20"/>
              </w:rPr>
              <w:t>Date</w:t>
            </w:r>
          </w:p>
        </w:tc>
        <w:tc>
          <w:tcPr>
            <w:tcW w:type="dxa" w:w="4320"/>
          </w:tcPr>
          <w:p>
            <w:r>
              <w:rPr>
                <w:rFonts w:ascii="Segoe UI" w:hAnsi="Segoe UI"/>
                <w:sz w:val="20"/>
              </w:rPr>
              <w:t>July 20, 2026</w:t>
            </w:r>
          </w:p>
        </w:tc>
      </w:tr>
      <w:tr>
        <w:tc>
          <w:tcPr>
            <w:tcW w:type="dxa" w:w="4320"/>
            <w:shd w:val="clear" w:fill="F2F6FB"/>
          </w:tcPr>
          <w:p>
            <w:r>
              <w:rPr>
                <w:rFonts w:ascii="Segoe UI" w:hAnsi="Segoe UI"/>
                <w:b/>
                <w:color w:val="0B3C5D"/>
                <w:sz w:val="20"/>
              </w:rPr>
              <w:t>Prepared For</w:t>
            </w:r>
          </w:p>
        </w:tc>
        <w:tc>
          <w:tcPr>
            <w:tcW w:type="dxa" w:w="4320"/>
          </w:tcPr>
          <w:p>
            <w:r>
              <w:rPr>
                <w:rFonts w:ascii="Segoe UI" w:hAnsi="Segoe UI"/>
                <w:sz w:val="20"/>
              </w:rPr>
              <w:t>U.S. Department of Health &amp; Human Services (HHS)</w:t>
            </w:r>
          </w:p>
        </w:tc>
      </w:tr>
      <w:tr>
        <w:tc>
          <w:tcPr>
            <w:tcW w:type="dxa" w:w="4320"/>
            <w:shd w:val="clear" w:fill="F2F6FB"/>
          </w:tcPr>
          <w:p>
            <w:r>
              <w:rPr>
                <w:rFonts w:ascii="Segoe UI" w:hAnsi="Segoe UI"/>
                <w:b/>
                <w:color w:val="0B3C5D"/>
                <w:sz w:val="20"/>
              </w:rPr>
              <w:t>Classification</w:t>
            </w:r>
          </w:p>
        </w:tc>
        <w:tc>
          <w:tcPr>
            <w:tcW w:type="dxa" w:w="4320"/>
          </w:tcPr>
          <w:p>
            <w:r>
              <w:rPr>
                <w:rFonts w:ascii="Segoe UI" w:hAnsi="Segoe UI"/>
                <w:sz w:val="20"/>
              </w:rPr>
              <w:t>Controlled Unclassified Information (CUI)</w:t>
            </w:r>
          </w:p>
        </w:tc>
      </w:tr>
    </w:tbl>
    <w:p>
      <w:r>
        <w:br w:type="page"/>
      </w:r>
    </w:p>
    <w:p>
      <w:pPr>
        <w:pStyle w:val="Heading1"/>
      </w:pPr>
      <w:r>
        <w:t>1. Purpose and Scope</w:t>
      </w:r>
    </w:p>
    <w:p>
      <w:r>
        <w:rPr>
          <w:rFonts w:ascii="Segoe UI" w:hAnsi="Segoe UI"/>
          <w:sz w:val="21"/>
        </w:rPr>
        <w:t>This Security Assessment Plan (SAP) defines the methodology, scope, schedule, and evidence requirements for assessing the security controls implemented for the DocuAction AI platform in support of an HHS Authorization to Operate (ATO). It operationalizes the assessment of the controls documented in the System Security Plan (SSP).</w:t>
      </w:r>
    </w:p>
    <w:p>
      <w:pPr>
        <w:pStyle w:val="Heading1"/>
      </w:pPr>
      <w:r>
        <w:t>2. System Description</w:t>
      </w:r>
    </w:p>
    <w:p>
      <w:r>
        <w:rPr>
          <w:rFonts w:ascii="Segoe UI" w:hAnsi="Segoe UI"/>
          <w:sz w:val="21"/>
        </w:rPr>
        <w:t>DocuAction AI is a cloud-native SaaS platform hosted on Microsoft Azure (East US 2) that ingests, classifies, and reports on regulatory and healthcare-exchange intelligence, including the TEFCA Audit, Review &amp; Compliance (ARC) module. Detailed system boundaries, data flows, and control implementation statements are maintained in the SSP; this SAP references, and does not restate, them.</w:t>
      </w:r>
    </w:p>
    <w:p>
      <w:pPr>
        <w:pStyle w:val="Heading1"/>
      </w:pPr>
      <w:r>
        <w:t>3. Assessment Methodology</w:t>
      </w:r>
    </w:p>
    <w:p>
      <w:r>
        <w:rPr>
          <w:rFonts w:ascii="Segoe UI" w:hAnsi="Segoe UI"/>
          <w:sz w:val="21"/>
        </w:rPr>
        <w:t>Controls are assessed per NIST SP 800-53A Rev 5 using the Examine / Interview / Test method set. Each control is assigned a determination of Satisfied, Other-Than-Satisfied, or Not Applicable, with supporting evidence and any resulting Plan of Action &amp; Milestones (POA&amp;M) items.</w:t>
      </w:r>
    </w:p>
    <w:p>
      <w:pPr>
        <w:pStyle w:val="ListBullet"/>
      </w:pPr>
      <w:r>
        <w:rPr>
          <w:rFonts w:ascii="Segoe UI" w:hAnsi="Segoe UI"/>
          <w:sz w:val="21"/>
        </w:rPr>
        <w:t>Examine — review of configuration exports, policies, and Azure resource state.</w:t>
      </w:r>
    </w:p>
    <w:p>
      <w:pPr>
        <w:pStyle w:val="ListBullet"/>
      </w:pPr>
      <w:r>
        <w:rPr>
          <w:rFonts w:ascii="Segoe UI" w:hAnsi="Segoe UI"/>
          <w:sz w:val="21"/>
        </w:rPr>
        <w:t>Interview — discussion with the system owner and administrators.</w:t>
      </w:r>
    </w:p>
    <w:p>
      <w:pPr>
        <w:pStyle w:val="ListBullet"/>
      </w:pPr>
      <w:r>
        <w:rPr>
          <w:rFonts w:ascii="Segoe UI" w:hAnsi="Segoe UI"/>
          <w:sz w:val="21"/>
        </w:rPr>
        <w:t>Test — functional verification (e.g., forced-auth failure, backup restore, alert firing).</w:t>
      </w:r>
    </w:p>
    <w:p>
      <w:pPr>
        <w:pStyle w:val="Heading1"/>
      </w:pPr>
      <w:r>
        <w:t>4. Assessment Scope and Boundary</w:t>
      </w:r>
    </w:p>
    <w:p>
      <w:r>
        <w:rPr>
          <w:rFonts w:ascii="Segoe UI" w:hAnsi="Segoe UI"/>
          <w:sz w:val="21"/>
        </w:rPr>
        <w:t>The authorization boundary comprises the Azure App Service (Docuaction), Azure PostgreSQL Flexible Server (docuaction-db), Azure Key Vault (docuaction-kv-prod), Azure Static Web Apps (frontend), system-assigned Managed Identity, and the Application Insights / Log Analytics monitoring plane. Third-party APIs (Anthropic, SendGrid, Microsoft Entra ID) are interconnections, not components.</w:t>
      </w:r>
    </w:p>
    <w:p>
      <w:pPr>
        <w:pStyle w:val="Heading1"/>
      </w:pPr>
      <w:r>
        <w:t>5. Controls Selected for Assessment</w:t>
      </w:r>
    </w:p>
    <w:p>
      <w:r>
        <w:rPr>
          <w:rFonts w:ascii="Segoe UI" w:hAnsi="Segoe UI"/>
          <w:sz w:val="21"/>
        </w:rPr>
        <w:t>The assessment prioritizes the control families most material to this system's risk posture. Representative controls and their test procedures: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B3C5D"/>
          </w:tcPr>
          <w:p>
            <w:r>
              <w:rPr>
                <w:rFonts w:ascii="Segoe UI" w:hAnsi="Segoe UI"/>
                <w:b/>
                <w:color w:val="FFFFFF"/>
                <w:sz w:val="19"/>
              </w:rPr>
              <w:t>Control</w:t>
            </w:r>
          </w:p>
        </w:tc>
        <w:tc>
          <w:tcPr>
            <w:tcW w:type="dxa" w:w="2880"/>
            <w:shd w:val="clear" w:fill="0B3C5D"/>
          </w:tcPr>
          <w:p>
            <w:r>
              <w:rPr>
                <w:rFonts w:ascii="Segoe UI" w:hAnsi="Segoe UI"/>
                <w:b/>
                <w:color w:val="FFFFFF"/>
                <w:sz w:val="19"/>
              </w:rPr>
              <w:t>Title</w:t>
            </w:r>
          </w:p>
        </w:tc>
        <w:tc>
          <w:tcPr>
            <w:tcW w:type="dxa" w:w="2880"/>
            <w:shd w:val="clear" w:fill="0B3C5D"/>
          </w:tcPr>
          <w:p>
            <w:r>
              <w:rPr>
                <w:rFonts w:ascii="Segoe UI" w:hAnsi="Segoe UI"/>
                <w:b/>
                <w:color w:val="FFFFFF"/>
                <w:sz w:val="19"/>
              </w:rPr>
              <w:t>Test Procedure</w:t>
            </w:r>
          </w:p>
        </w:tc>
      </w:tr>
      <w:tr>
        <w:tc>
          <w:tcPr>
            <w:tcW w:type="dxa" w:w="2880"/>
          </w:tcPr>
          <w:p>
            <w:r>
              <w:rPr>
                <w:rFonts w:ascii="Segoe UI" w:hAnsi="Segoe UI"/>
                <w:sz w:val="19"/>
              </w:rPr>
              <w:t>AC-2</w:t>
            </w:r>
          </w:p>
        </w:tc>
        <w:tc>
          <w:tcPr>
            <w:tcW w:type="dxa" w:w="2880"/>
          </w:tcPr>
          <w:p>
            <w:r>
              <w:rPr>
                <w:rFonts w:ascii="Segoe UI" w:hAnsi="Segoe UI"/>
                <w:sz w:val="19"/>
              </w:rPr>
              <w:t>Account Management</w:t>
            </w:r>
          </w:p>
        </w:tc>
        <w:tc>
          <w:tcPr>
            <w:tcW w:type="dxa" w:w="2880"/>
          </w:tcPr>
          <w:p>
            <w:r>
              <w:rPr>
                <w:rFonts w:ascii="Segoe UI" w:hAnsi="Segoe UI"/>
                <w:sz w:val="19"/>
              </w:rPr>
              <w:t>Verify account lifecycle + admin approval; inspect audit_logs for account events.</w:t>
            </w:r>
          </w:p>
        </w:tc>
      </w:tr>
      <w:tr>
        <w:tc>
          <w:tcPr>
            <w:tcW w:type="dxa" w:w="2880"/>
            <w:shd w:val="clear" w:fill="F2F6FB"/>
          </w:tcPr>
          <w:p>
            <w:r>
              <w:rPr>
                <w:rFonts w:ascii="Segoe UI" w:hAnsi="Segoe UI"/>
                <w:sz w:val="19"/>
              </w:rPr>
              <w:t>AC-3 / AC-6</w:t>
            </w:r>
          </w:p>
        </w:tc>
        <w:tc>
          <w:tcPr>
            <w:tcW w:type="dxa" w:w="2880"/>
            <w:shd w:val="clear" w:fill="F2F6FB"/>
          </w:tcPr>
          <w:p>
            <w:r>
              <w:rPr>
                <w:rFonts w:ascii="Segoe UI" w:hAnsi="Segoe UI"/>
                <w:sz w:val="19"/>
              </w:rPr>
              <w:t>Access Enforcement / Least Privilege</w:t>
            </w:r>
          </w:p>
        </w:tc>
        <w:tc>
          <w:tcPr>
            <w:tcW w:type="dxa" w:w="2880"/>
            <w:shd w:val="clear" w:fill="F2F6FB"/>
          </w:tcPr>
          <w:p>
            <w:r>
              <w:rPr>
                <w:rFonts w:ascii="Segoe UI" w:hAnsi="Segoe UI"/>
                <w:sz w:val="19"/>
              </w:rPr>
              <w:t>Attempt cross-role access; confirm 403 + authorization_denied audit.</w:t>
            </w:r>
          </w:p>
        </w:tc>
      </w:tr>
      <w:tr>
        <w:tc>
          <w:tcPr>
            <w:tcW w:type="dxa" w:w="2880"/>
          </w:tcPr>
          <w:p>
            <w:r>
              <w:rPr>
                <w:rFonts w:ascii="Segoe UI" w:hAnsi="Segoe UI"/>
                <w:sz w:val="19"/>
              </w:rPr>
              <w:t>IA-2 / IA-5</w:t>
            </w:r>
          </w:p>
        </w:tc>
        <w:tc>
          <w:tcPr>
            <w:tcW w:type="dxa" w:w="2880"/>
          </w:tcPr>
          <w:p>
            <w:r>
              <w:rPr>
                <w:rFonts w:ascii="Segoe UI" w:hAnsi="Segoe UI"/>
                <w:sz w:val="19"/>
              </w:rPr>
              <w:t>Identification &amp; Authentication</w:t>
            </w:r>
          </w:p>
        </w:tc>
        <w:tc>
          <w:tcPr>
            <w:tcW w:type="dxa" w:w="2880"/>
          </w:tcPr>
          <w:p>
            <w:r>
              <w:rPr>
                <w:rFonts w:ascii="Segoe UI" w:hAnsi="Segoe UI"/>
                <w:sz w:val="19"/>
              </w:rPr>
              <w:t>Verify JWT auth, password policy, Entra SSO; confirm session revocation on logout.</w:t>
            </w:r>
          </w:p>
        </w:tc>
      </w:tr>
      <w:tr>
        <w:tc>
          <w:tcPr>
            <w:tcW w:type="dxa" w:w="2880"/>
            <w:shd w:val="clear" w:fill="F2F6FB"/>
          </w:tcPr>
          <w:p>
            <w:r>
              <w:rPr>
                <w:rFonts w:ascii="Segoe UI" w:hAnsi="Segoe UI"/>
                <w:sz w:val="19"/>
              </w:rPr>
              <w:t>AU-2 / AU-3</w:t>
            </w:r>
          </w:p>
        </w:tc>
        <w:tc>
          <w:tcPr>
            <w:tcW w:type="dxa" w:w="2880"/>
            <w:shd w:val="clear" w:fill="F2F6FB"/>
          </w:tcPr>
          <w:p>
            <w:r>
              <w:rPr>
                <w:rFonts w:ascii="Segoe UI" w:hAnsi="Segoe UI"/>
                <w:sz w:val="19"/>
              </w:rPr>
              <w:t>Audit Events / Content</w:t>
            </w:r>
          </w:p>
        </w:tc>
        <w:tc>
          <w:tcPr>
            <w:tcW w:type="dxa" w:w="2880"/>
            <w:shd w:val="clear" w:fill="F2F6FB"/>
          </w:tcPr>
          <w:p>
            <w:r>
              <w:rPr>
                <w:rFonts w:ascii="Segoe UI" w:hAnsi="Segoe UI"/>
                <w:sz w:val="19"/>
              </w:rPr>
              <w:t>Trigger login, role change, 403, delivery; confirm complete, timestamped records.</w:t>
            </w:r>
          </w:p>
        </w:tc>
      </w:tr>
      <w:tr>
        <w:tc>
          <w:tcPr>
            <w:tcW w:type="dxa" w:w="2880"/>
          </w:tcPr>
          <w:p>
            <w:r>
              <w:rPr>
                <w:rFonts w:ascii="Segoe UI" w:hAnsi="Segoe UI"/>
                <w:sz w:val="19"/>
              </w:rPr>
              <w:t>AU-9</w:t>
            </w:r>
          </w:p>
        </w:tc>
        <w:tc>
          <w:tcPr>
            <w:tcW w:type="dxa" w:w="2880"/>
          </w:tcPr>
          <w:p>
            <w:r>
              <w:rPr>
                <w:rFonts w:ascii="Segoe UI" w:hAnsi="Segoe UI"/>
                <w:sz w:val="19"/>
              </w:rPr>
              <w:t>Protection of Audit Info</w:t>
            </w:r>
          </w:p>
        </w:tc>
        <w:tc>
          <w:tcPr>
            <w:tcW w:type="dxa" w:w="2880"/>
          </w:tcPr>
          <w:p>
            <w:r>
              <w:rPr>
                <w:rFonts w:ascii="Segoe UI" w:hAnsi="Segoe UI"/>
                <w:sz w:val="19"/>
              </w:rPr>
              <w:t>Confirm append-only audit table + Log Analytics 90-day retention.</w:t>
            </w:r>
          </w:p>
        </w:tc>
      </w:tr>
      <w:tr>
        <w:tc>
          <w:tcPr>
            <w:tcW w:type="dxa" w:w="2880"/>
            <w:shd w:val="clear" w:fill="F2F6FB"/>
          </w:tcPr>
          <w:p>
            <w:r>
              <w:rPr>
                <w:rFonts w:ascii="Segoe UI" w:hAnsi="Segoe UI"/>
                <w:sz w:val="19"/>
              </w:rPr>
              <w:t>SC-8 / SC-13</w:t>
            </w:r>
          </w:p>
        </w:tc>
        <w:tc>
          <w:tcPr>
            <w:tcW w:type="dxa" w:w="2880"/>
            <w:shd w:val="clear" w:fill="F2F6FB"/>
          </w:tcPr>
          <w:p>
            <w:r>
              <w:rPr>
                <w:rFonts w:ascii="Segoe UI" w:hAnsi="Segoe UI"/>
                <w:sz w:val="19"/>
              </w:rPr>
              <w:t>Transmission Confidentiality / Crypto</w:t>
            </w:r>
          </w:p>
        </w:tc>
        <w:tc>
          <w:tcPr>
            <w:tcW w:type="dxa" w:w="2880"/>
            <w:shd w:val="clear" w:fill="F2F6FB"/>
          </w:tcPr>
          <w:p>
            <w:r>
              <w:rPr>
                <w:rFonts w:ascii="Segoe UI" w:hAnsi="Segoe UI"/>
                <w:sz w:val="19"/>
              </w:rPr>
              <w:t>Confirm TLS + HSTS; secrets in Key Vault; DB SSL required.</w:t>
            </w:r>
          </w:p>
        </w:tc>
      </w:tr>
      <w:tr>
        <w:tc>
          <w:tcPr>
            <w:tcW w:type="dxa" w:w="2880"/>
          </w:tcPr>
          <w:p>
            <w:r>
              <w:rPr>
                <w:rFonts w:ascii="Segoe UI" w:hAnsi="Segoe UI"/>
                <w:sz w:val="19"/>
              </w:rPr>
              <w:t>SC-12 / SC-28</w:t>
            </w:r>
          </w:p>
        </w:tc>
        <w:tc>
          <w:tcPr>
            <w:tcW w:type="dxa" w:w="2880"/>
          </w:tcPr>
          <w:p>
            <w:r>
              <w:rPr>
                <w:rFonts w:ascii="Segoe UI" w:hAnsi="Segoe UI"/>
                <w:sz w:val="19"/>
              </w:rPr>
              <w:t>Key Mgmt / Data at Rest</w:t>
            </w:r>
          </w:p>
        </w:tc>
        <w:tc>
          <w:tcPr>
            <w:tcW w:type="dxa" w:w="2880"/>
          </w:tcPr>
          <w:p>
            <w:r>
              <w:rPr>
                <w:rFonts w:ascii="Segoe UI" w:hAnsi="Segoe UI"/>
                <w:sz w:val="19"/>
              </w:rPr>
              <w:t>Confirm Key Vault (purge protection) + Azure platform encryption.</w:t>
            </w:r>
          </w:p>
        </w:tc>
      </w:tr>
      <w:tr>
        <w:tc>
          <w:tcPr>
            <w:tcW w:type="dxa" w:w="2880"/>
            <w:shd w:val="clear" w:fill="F2F6FB"/>
          </w:tcPr>
          <w:p>
            <w:r>
              <w:rPr>
                <w:rFonts w:ascii="Segoe UI" w:hAnsi="Segoe UI"/>
                <w:sz w:val="19"/>
              </w:rPr>
              <w:t>SI-4</w:t>
            </w:r>
          </w:p>
        </w:tc>
        <w:tc>
          <w:tcPr>
            <w:tcW w:type="dxa" w:w="2880"/>
            <w:shd w:val="clear" w:fill="F2F6FB"/>
          </w:tcPr>
          <w:p>
            <w:r>
              <w:rPr>
                <w:rFonts w:ascii="Segoe UI" w:hAnsi="Segoe UI"/>
                <w:sz w:val="19"/>
              </w:rPr>
              <w:t>System Monitoring</w:t>
            </w:r>
          </w:p>
        </w:tc>
        <w:tc>
          <w:tcPr>
            <w:tcW w:type="dxa" w:w="2880"/>
            <w:shd w:val="clear" w:fill="F2F6FB"/>
          </w:tcPr>
          <w:p>
            <w:r>
              <w:rPr>
                <w:rFonts w:ascii="Segoe UI" w:hAnsi="Segoe UI"/>
                <w:sz w:val="19"/>
              </w:rPr>
              <w:t>Confirm diagnostic settings + 4 Azure Monitor alerts to the ISSO.</w:t>
            </w:r>
          </w:p>
        </w:tc>
      </w:tr>
      <w:tr>
        <w:tc>
          <w:tcPr>
            <w:tcW w:type="dxa" w:w="2880"/>
          </w:tcPr>
          <w:p>
            <w:r>
              <w:rPr>
                <w:rFonts w:ascii="Segoe UI" w:hAnsi="Segoe UI"/>
                <w:sz w:val="19"/>
              </w:rPr>
              <w:t>SI-11</w:t>
            </w:r>
          </w:p>
        </w:tc>
        <w:tc>
          <w:tcPr>
            <w:tcW w:type="dxa" w:w="2880"/>
          </w:tcPr>
          <w:p>
            <w:r>
              <w:rPr>
                <w:rFonts w:ascii="Segoe UI" w:hAnsi="Segoe UI"/>
                <w:sz w:val="19"/>
              </w:rPr>
              <w:t>Error Handling</w:t>
            </w:r>
          </w:p>
        </w:tc>
        <w:tc>
          <w:tcPr>
            <w:tcW w:type="dxa" w:w="2880"/>
          </w:tcPr>
          <w:p>
            <w:r>
              <w:rPr>
                <w:rFonts w:ascii="Segoe UI" w:hAnsi="Segoe UI"/>
                <w:sz w:val="19"/>
              </w:rPr>
              <w:t>Confirm generic 5xx responses; no stack traces or secrets leaked.</w:t>
            </w:r>
          </w:p>
        </w:tc>
      </w:tr>
    </w:tbl>
    <w:p/>
    <w:p>
      <w:pPr>
        <w:pStyle w:val="Heading1"/>
      </w:pPr>
      <w:r>
        <w:t>6. Assessment Schedule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B3C5D"/>
          </w:tcPr>
          <w:p>
            <w:r>
              <w:rPr>
                <w:rFonts w:ascii="Segoe UI" w:hAnsi="Segoe UI"/>
                <w:b/>
                <w:color w:val="FFFFFF"/>
                <w:sz w:val="19"/>
              </w:rPr>
              <w:t>Phase</w:t>
            </w:r>
          </w:p>
        </w:tc>
        <w:tc>
          <w:tcPr>
            <w:tcW w:type="dxa" w:w="2880"/>
            <w:shd w:val="clear" w:fill="0B3C5D"/>
          </w:tcPr>
          <w:p>
            <w:r>
              <w:rPr>
                <w:rFonts w:ascii="Segoe UI" w:hAnsi="Segoe UI"/>
                <w:b/>
                <w:color w:val="FFFFFF"/>
                <w:sz w:val="19"/>
              </w:rPr>
              <w:t>Activity</w:t>
            </w:r>
          </w:p>
        </w:tc>
        <w:tc>
          <w:tcPr>
            <w:tcW w:type="dxa" w:w="2880"/>
            <w:shd w:val="clear" w:fill="0B3C5D"/>
          </w:tcPr>
          <w:p>
            <w:r>
              <w:rPr>
                <w:rFonts w:ascii="Segoe UI" w:hAnsi="Segoe UI"/>
                <w:b/>
                <w:color w:val="FFFFFF"/>
                <w:sz w:val="19"/>
              </w:rPr>
              <w:t>Window</w:t>
            </w:r>
          </w:p>
        </w:tc>
      </w:tr>
      <w:tr>
        <w:tc>
          <w:tcPr>
            <w:tcW w:type="dxa" w:w="2880"/>
          </w:tcPr>
          <w:p>
            <w:r>
              <w:rPr>
                <w:rFonts w:ascii="Segoe UI" w:hAnsi="Segoe UI"/>
                <w:sz w:val="19"/>
              </w:rPr>
              <w:t>1</w:t>
            </w:r>
          </w:p>
        </w:tc>
        <w:tc>
          <w:tcPr>
            <w:tcW w:type="dxa" w:w="2880"/>
          </w:tcPr>
          <w:p>
            <w:r>
              <w:rPr>
                <w:rFonts w:ascii="Segoe UI" w:hAnsi="Segoe UI"/>
                <w:sz w:val="19"/>
              </w:rPr>
              <w:t>Documentation review (SSP, policies, this SAP)</w:t>
            </w:r>
          </w:p>
        </w:tc>
        <w:tc>
          <w:tcPr>
            <w:tcW w:type="dxa" w:w="2880"/>
          </w:tcPr>
          <w:p>
            <w:r>
              <w:rPr>
                <w:rFonts w:ascii="Segoe UI" w:hAnsi="Segoe UI"/>
                <w:sz w:val="19"/>
              </w:rPr>
              <w:t>Days 1–3</w:t>
            </w:r>
          </w:p>
        </w:tc>
      </w:tr>
      <w:tr>
        <w:tc>
          <w:tcPr>
            <w:tcW w:type="dxa" w:w="2880"/>
            <w:shd w:val="clear" w:fill="F2F6FB"/>
          </w:tcPr>
          <w:p>
            <w:r>
              <w:rPr>
                <w:rFonts w:ascii="Segoe UI" w:hAnsi="Segoe UI"/>
                <w:sz w:val="19"/>
              </w:rPr>
              <w:t>2</w:t>
            </w:r>
          </w:p>
        </w:tc>
        <w:tc>
          <w:tcPr>
            <w:tcW w:type="dxa" w:w="2880"/>
            <w:shd w:val="clear" w:fill="F2F6FB"/>
          </w:tcPr>
          <w:p>
            <w:r>
              <w:rPr>
                <w:rFonts w:ascii="Segoe UI" w:hAnsi="Segoe UI"/>
                <w:sz w:val="19"/>
              </w:rPr>
              <w:t>Control testing (Examine/Interview/Test)</w:t>
            </w:r>
          </w:p>
        </w:tc>
        <w:tc>
          <w:tcPr>
            <w:tcW w:type="dxa" w:w="2880"/>
            <w:shd w:val="clear" w:fill="F2F6FB"/>
          </w:tcPr>
          <w:p>
            <w:r>
              <w:rPr>
                <w:rFonts w:ascii="Segoe UI" w:hAnsi="Segoe UI"/>
                <w:sz w:val="19"/>
              </w:rPr>
              <w:t>Days 4–8</w:t>
            </w:r>
          </w:p>
        </w:tc>
      </w:tr>
      <w:tr>
        <w:tc>
          <w:tcPr>
            <w:tcW w:type="dxa" w:w="2880"/>
          </w:tcPr>
          <w:p>
            <w:r>
              <w:rPr>
                <w:rFonts w:ascii="Segoe UI" w:hAnsi="Segoe UI"/>
                <w:sz w:val="19"/>
              </w:rPr>
              <w:t>3</w:t>
            </w:r>
          </w:p>
        </w:tc>
        <w:tc>
          <w:tcPr>
            <w:tcW w:type="dxa" w:w="2880"/>
          </w:tcPr>
          <w:p>
            <w:r>
              <w:rPr>
                <w:rFonts w:ascii="Segoe UI" w:hAnsi="Segoe UI"/>
                <w:sz w:val="19"/>
              </w:rPr>
              <w:t>Evidence consolidation + preliminary findings</w:t>
            </w:r>
          </w:p>
        </w:tc>
        <w:tc>
          <w:tcPr>
            <w:tcW w:type="dxa" w:w="2880"/>
          </w:tcPr>
          <w:p>
            <w:r>
              <w:rPr>
                <w:rFonts w:ascii="Segoe UI" w:hAnsi="Segoe UI"/>
                <w:sz w:val="19"/>
              </w:rPr>
              <w:t>Days 9–10</w:t>
            </w:r>
          </w:p>
        </w:tc>
      </w:tr>
      <w:tr>
        <w:tc>
          <w:tcPr>
            <w:tcW w:type="dxa" w:w="2880"/>
            <w:shd w:val="clear" w:fill="F2F6FB"/>
          </w:tcPr>
          <w:p>
            <w:r>
              <w:rPr>
                <w:rFonts w:ascii="Segoe UI" w:hAnsi="Segoe UI"/>
                <w:sz w:val="19"/>
              </w:rPr>
              <w:t>4</w:t>
            </w:r>
          </w:p>
        </w:tc>
        <w:tc>
          <w:tcPr>
            <w:tcW w:type="dxa" w:w="2880"/>
            <w:shd w:val="clear" w:fill="F2F6FB"/>
          </w:tcPr>
          <w:p>
            <w:r>
              <w:rPr>
                <w:rFonts w:ascii="Segoe UI" w:hAnsi="Segoe UI"/>
                <w:sz w:val="19"/>
              </w:rPr>
              <w:t>Draft Security Assessment Report (SAR) + POA&amp;M</w:t>
            </w:r>
          </w:p>
        </w:tc>
        <w:tc>
          <w:tcPr>
            <w:tcW w:type="dxa" w:w="2880"/>
            <w:shd w:val="clear" w:fill="F2F6FB"/>
          </w:tcPr>
          <w:p>
            <w:r>
              <w:rPr>
                <w:rFonts w:ascii="Segoe UI" w:hAnsi="Segoe UI"/>
                <w:sz w:val="19"/>
              </w:rPr>
              <w:t>Days 11–12</w:t>
            </w:r>
          </w:p>
        </w:tc>
      </w:tr>
    </w:tbl>
    <w:p/>
    <w:p>
      <w:pPr>
        <w:pStyle w:val="Heading1"/>
      </w:pPr>
      <w:r>
        <w:t>7. Evidence Requirements</w:t>
      </w:r>
    </w:p>
    <w:p>
      <w:pPr>
        <w:pStyle w:val="ListBullet"/>
      </w:pPr>
      <w:r>
        <w:rPr>
          <w:rFonts w:ascii="Segoe UI" w:hAnsi="Segoe UI"/>
          <w:sz w:val="21"/>
        </w:rPr>
        <w:t>Azure resource configuration exports (App Service, Key Vault, PostgreSQL, alerts).</w:t>
      </w:r>
    </w:p>
    <w:p>
      <w:pPr>
        <w:pStyle w:val="ListBullet"/>
      </w:pPr>
      <w:r>
        <w:rPr>
          <w:rFonts w:ascii="Segoe UI" w:hAnsi="Segoe UI"/>
          <w:sz w:val="21"/>
        </w:rPr>
        <w:t>Audit-log samples demonstrating each required event type.</w:t>
      </w:r>
    </w:p>
    <w:p>
      <w:pPr>
        <w:pStyle w:val="ListBullet"/>
      </w:pPr>
      <w:r>
        <w:rPr>
          <w:rFonts w:ascii="Segoe UI" w:hAnsi="Segoe UI"/>
          <w:sz w:val="21"/>
        </w:rPr>
        <w:t>Screenshots/CLI output of forced-failure tests and a backup restore.</w:t>
      </w:r>
    </w:p>
    <w:p>
      <w:pPr>
        <w:pStyle w:val="ListBullet"/>
      </w:pPr>
      <w:r>
        <w:rPr>
          <w:rFonts w:ascii="Segoe UI" w:hAnsi="Segoe UI"/>
          <w:sz w:val="21"/>
        </w:rPr>
        <w:t>Policy and procedure documents referenced by the SSP.</w:t>
      </w:r>
    </w:p>
    <w:p>
      <w:pPr>
        <w:pStyle w:val="Heading1"/>
      </w:pPr>
      <w:r>
        <w:t>8. Assessment Team Roles</w:t>
      </w:r>
    </w:p>
    <w:tbl>
      <w:tblPr>
        <w:tblStyle w:val="TableGrid"/>
        <w:tblW w:type="auto" w:w="0"/>
        <w:tblLook w:firstColumn="1" w:firstRow="1" w:lastColumn="0" w:lastRow="0" w:noHBand="0" w:noVBand="1" w:val="04A0"/>
      </w:tblPr>
      <w:tblGrid>
        <w:gridCol w:w="4320"/>
        <w:gridCol w:w="4320"/>
      </w:tblGrid>
      <w:tr>
        <w:tc>
          <w:tcPr>
            <w:tcW w:type="dxa" w:w="4320"/>
            <w:shd w:val="clear" w:fill="0B3C5D"/>
          </w:tcPr>
          <w:p>
            <w:r>
              <w:rPr>
                <w:rFonts w:ascii="Segoe UI" w:hAnsi="Segoe UI"/>
                <w:b/>
                <w:color w:val="FFFFFF"/>
                <w:sz w:val="19"/>
              </w:rPr>
              <w:t>Role</w:t>
            </w:r>
          </w:p>
        </w:tc>
        <w:tc>
          <w:tcPr>
            <w:tcW w:type="dxa" w:w="4320"/>
            <w:shd w:val="clear" w:fill="0B3C5D"/>
          </w:tcPr>
          <w:p>
            <w:r>
              <w:rPr>
                <w:rFonts w:ascii="Segoe UI" w:hAnsi="Segoe UI"/>
                <w:b/>
                <w:color w:val="FFFFFF"/>
                <w:sz w:val="19"/>
              </w:rPr>
              <w:t>Responsibility</w:t>
            </w:r>
          </w:p>
        </w:tc>
      </w:tr>
      <w:tr>
        <w:tc>
          <w:tcPr>
            <w:tcW w:type="dxa" w:w="4320"/>
          </w:tcPr>
          <w:p>
            <w:r>
              <w:rPr>
                <w:rFonts w:ascii="Segoe UI" w:hAnsi="Segoe UI"/>
                <w:sz w:val="19"/>
              </w:rPr>
              <w:t>Authorizing Official (AO)</w:t>
            </w:r>
          </w:p>
        </w:tc>
        <w:tc>
          <w:tcPr>
            <w:tcW w:type="dxa" w:w="4320"/>
          </w:tcPr>
          <w:p>
            <w:r>
              <w:rPr>
                <w:rFonts w:ascii="Segoe UI" w:hAnsi="Segoe UI"/>
                <w:sz w:val="19"/>
              </w:rPr>
              <w:t>Accepts residual risk; issues the ATO decision.</w:t>
            </w:r>
          </w:p>
        </w:tc>
      </w:tr>
      <w:tr>
        <w:tc>
          <w:tcPr>
            <w:tcW w:type="dxa" w:w="4320"/>
            <w:shd w:val="clear" w:fill="F2F6FB"/>
          </w:tcPr>
          <w:p>
            <w:r>
              <w:rPr>
                <w:rFonts w:ascii="Segoe UI" w:hAnsi="Segoe UI"/>
                <w:sz w:val="19"/>
              </w:rPr>
              <w:t>Security Control Assessor (SCA)</w:t>
            </w:r>
          </w:p>
        </w:tc>
        <w:tc>
          <w:tcPr>
            <w:tcW w:type="dxa" w:w="4320"/>
            <w:shd w:val="clear" w:fill="F2F6FB"/>
          </w:tcPr>
          <w:p>
            <w:r>
              <w:rPr>
                <w:rFonts w:ascii="Segoe UI" w:hAnsi="Segoe UI"/>
                <w:sz w:val="19"/>
              </w:rPr>
              <w:t>Independent execution of this SAP; authors the SAR.</w:t>
            </w:r>
          </w:p>
        </w:tc>
      </w:tr>
      <w:tr>
        <w:tc>
          <w:tcPr>
            <w:tcW w:type="dxa" w:w="4320"/>
          </w:tcPr>
          <w:p>
            <w:r>
              <w:rPr>
                <w:rFonts w:ascii="Segoe UI" w:hAnsi="Segoe UI"/>
                <w:sz w:val="19"/>
              </w:rPr>
              <w:t>System Owner</w:t>
            </w:r>
          </w:p>
        </w:tc>
        <w:tc>
          <w:tcPr>
            <w:tcW w:type="dxa" w:w="4320"/>
          </w:tcPr>
          <w:p>
            <w:r>
              <w:rPr>
                <w:rFonts w:ascii="Segoe UI" w:hAnsi="Segoe UI"/>
                <w:sz w:val="19"/>
              </w:rPr>
              <w:t>Provides access, evidence, and remediation.</w:t>
            </w:r>
          </w:p>
        </w:tc>
      </w:tr>
      <w:tr>
        <w:tc>
          <w:tcPr>
            <w:tcW w:type="dxa" w:w="4320"/>
            <w:shd w:val="clear" w:fill="F2F6FB"/>
          </w:tcPr>
          <w:p>
            <w:r>
              <w:rPr>
                <w:rFonts w:ascii="Segoe UI" w:hAnsi="Segoe UI"/>
                <w:sz w:val="19"/>
              </w:rPr>
              <w:t>ISSO</w:t>
            </w:r>
          </w:p>
        </w:tc>
        <w:tc>
          <w:tcPr>
            <w:tcW w:type="dxa" w:w="4320"/>
            <w:shd w:val="clear" w:fill="F2F6FB"/>
          </w:tcPr>
          <w:p>
            <w:r>
              <w:rPr>
                <w:rFonts w:ascii="Segoe UI" w:hAnsi="Segoe UI"/>
                <w:sz w:val="19"/>
              </w:rPr>
              <w:t>Coordinates evidence; maintains the POA&amp;M.</w:t>
            </w:r>
          </w:p>
        </w:tc>
      </w:tr>
    </w:tbl>
    <w:p/>
    <w:tbl>
      <w:tblPr>
        <w:tblW w:type="auto" w:w="0"/>
        <w:jc w:val="center"/>
        <w:tblLook w:firstColumn="1" w:firstRow="1" w:lastColumn="0" w:lastRow="0" w:noHBand="0" w:noVBand="1" w:val="04A0"/>
      </w:tblPr>
      <w:tblGrid>
        <w:gridCol w:w="8640"/>
      </w:tblGrid>
      <w:tr>
        <w:tc>
          <w:tcPr>
            <w:tcW w:type="dxa" w:w="8640"/>
            <w:shd w:val="clear" w:fill="EAF1F8"/>
          </w:tcPr>
          <w:p>
            <w:r>
              <w:rPr>
                <w:rFonts w:ascii="Segoe UI" w:hAnsi="Segoe UI"/>
                <w:b/>
                <w:color w:val="0B3C5D"/>
                <w:sz w:val="20"/>
              </w:rPr>
              <w:t xml:space="preserve">Independence.  </w:t>
            </w:r>
            <w:r>
              <w:rPr>
                <w:rFonts w:ascii="Segoe UI" w:hAnsi="Segoe UI"/>
                <w:sz w:val="20"/>
              </w:rPr>
              <w:t>The SCA is organizationally independent of the development team to preserve objectivity per NIST SP 800-37 Rev 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05E5C"/>
        <w:sz w:val="15"/>
      </w:rPr>
      <w:t xml:space="preserve">DocuAction AI  |  Security Assessment Plan  |  Controlled Unclassified Information (CUI)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