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34"/>
        </w:rPr>
        <w:t>Stats Module Roadmap</w:t>
      </w:r>
    </w:p>
    <w:p>
      <w:r>
        <w:rPr>
          <w:rFonts w:ascii="Arial" w:hAnsi="Arial"/>
          <w:color w:val="505050"/>
          <w:sz w:val="17"/>
        </w:rPr>
        <w:t>Building-block architecture: reusable standalone modules composed by the Stats .NET web and data product layer.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1400"/>
            <w:shd w:fill="1F4E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Dates</w:t>
            </w:r>
          </w:p>
        </w:tc>
        <w:tc>
          <w:tcPr>
            <w:tcW w:type="dxa" w:w="700"/>
            <w:shd w:fill="1F4E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Week</w:t>
            </w:r>
          </w:p>
        </w:tc>
        <w:tc>
          <w:tcPr>
            <w:tcW w:type="dxa" w:w="900"/>
            <w:shd w:fill="1F4E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2700"/>
            <w:shd w:fill="1F4E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Roadmap Area</w:t>
            </w:r>
          </w:p>
        </w:tc>
        <w:tc>
          <w:tcPr>
            <w:tcW w:type="dxa" w:w="1900"/>
            <w:shd w:fill="1F4E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4600"/>
            <w:shd w:fill="1F4E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20-26 May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1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0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Project Foundation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Project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 conventions, module specs, GitHub workflow, evidence standard, contracts folder, and reusable-module rules.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20-26 May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1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1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Identity Access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Login, role claims, tokens, protected access checks, and authorization decisions reusable outside Stats.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20-26 May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1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2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Web Shell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product layer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.NET front end shell, login/access UI, navigation, and orchestration entry point.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27 May-2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2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3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File Validation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Validate file type, size, extension, signatures, hashes, rejection reasons, and validation findings.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27 May-2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2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4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File Ingestion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Receive validated files, track source context, create ingestion records/jobs, and hand off documents for processing.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3-9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3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5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OCR Extraction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Extract text from PDFs/images/scans and return extraction metadata, method, timing, and quality findings.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3-9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3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6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 Classification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Classify bank statement, receipt, invoice, utility bill, or unknown from extracted text and metadata.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3-9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3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7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Transaction Extraction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Extract dates, descriptions, billers/merchants, amounts, debit/credit, categories, and transaction candidates.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10-16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4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8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Data Validation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Clean records, validate fields, detect duplicates, flag incomplete data, and produce a data-quality report.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10-16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4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9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Data and Persistence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product layer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database schema, migrations, persistence adapters, stored workflow results, and reporting queries.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17-23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5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10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Workflow Integration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product layer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Connect Stats Web to reusable modules and persist the complete upload-to-record workflow.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17-23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5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11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Dashboard and Reporting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Stats product layer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.NET financial dashboard, document status, transactions, summaries, warnings, and report views.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Stretch / Week 5-6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Stretch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12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Email Ingestion Module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Standalone reusable module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Retrieve authorized email attachments, deduplicate, and submit them to the file validation/ingestion flow.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24-30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6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13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Containerization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Infrastructure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Dockerfiles, Compose setup, service health checks, local container dependencies, and Tesseract container readiness.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24-30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6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14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Cloud Readiness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Infrastructure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Azure deployment notes, environment variables, secrets, Blob Storage, database target, logging, and monitoring.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24-30 June 2026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Week 6</w:t>
            </w:r>
          </w:p>
        </w:tc>
        <w:tc>
          <w:tcPr>
            <w:tcW w:type="dxa" w:w="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Module 15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Evaluation Evidence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Project evidence</w:t>
            </w:r>
          </w:p>
        </w:tc>
        <w:tc>
          <w:tcPr>
            <w:tcW w:type="dxa" w:w="4600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Synthetic and anonymized test sets, accuracy, completeness, processing time, success rate, and report-ready evidence.</w:t>
            </w:r>
          </w:p>
        </w:tc>
      </w:tr>
    </w:tbl>
    <w:p>
      <w:pPr>
        <w:spacing w:before="100"/>
      </w:pPr>
      <w:r>
        <w:rPr>
          <w:rFonts w:ascii="Arial" w:hAnsi="Arial"/>
          <w:i/>
          <w:color w:val="505050"/>
          <w:sz w:val="15"/>
        </w:rPr>
        <w:t>Note: Reusable modules should expose contracts and remain independent from Stats-specific UI and database choices. Stats Web and Stats Data compose the reusable modules into the Capstone product.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