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7FE" w:rsidRPr="008103E2" w:rsidRDefault="00B067FE" w:rsidP="00B067FE">
      <w:pPr>
        <w:spacing w:beforeLines="50" w:before="156" w:afterLines="50" w:after="156" w:line="300" w:lineRule="auto"/>
        <w:ind w:left="1265" w:hangingChars="450" w:hanging="1265"/>
        <w:rPr>
          <w:b/>
          <w:sz w:val="28"/>
          <w:szCs w:val="28"/>
        </w:rPr>
      </w:pPr>
      <w:r w:rsidRPr="008103E2">
        <w:rPr>
          <w:rFonts w:hAnsi="宋体"/>
          <w:b/>
          <w:sz w:val="28"/>
          <w:szCs w:val="28"/>
        </w:rPr>
        <w:t>附件</w:t>
      </w:r>
      <w:r w:rsidRPr="008103E2">
        <w:rPr>
          <w:b/>
          <w:sz w:val="28"/>
          <w:szCs w:val="28"/>
        </w:rPr>
        <w:t>3:</w:t>
      </w:r>
      <w:r w:rsidRPr="008103E2">
        <w:rPr>
          <w:rFonts w:hAnsi="宋体"/>
          <w:b/>
          <w:sz w:val="28"/>
          <w:szCs w:val="28"/>
        </w:rPr>
        <w:t>第</w:t>
      </w:r>
      <w:r>
        <w:rPr>
          <w:rFonts w:hAnsi="宋体" w:hint="eastAsia"/>
          <w:b/>
          <w:sz w:val="28"/>
          <w:szCs w:val="28"/>
        </w:rPr>
        <w:t>二</w:t>
      </w:r>
      <w:r w:rsidRPr="008103E2">
        <w:rPr>
          <w:rFonts w:hAnsi="宋体"/>
          <w:b/>
          <w:sz w:val="28"/>
          <w:szCs w:val="28"/>
        </w:rPr>
        <w:t>届全国大学生能源经济学术创意大赛评审标准</w:t>
      </w:r>
    </w:p>
    <w:p w:rsidR="00B067FE" w:rsidRPr="008103E2" w:rsidRDefault="00B067FE" w:rsidP="00B067FE">
      <w:pPr>
        <w:spacing w:line="276" w:lineRule="auto"/>
        <w:ind w:left="1" w:firstLineChars="200" w:firstLine="480"/>
        <w:jc w:val="left"/>
        <w:rPr>
          <w:sz w:val="24"/>
          <w:szCs w:val="24"/>
        </w:rPr>
      </w:pPr>
      <w:r w:rsidRPr="008103E2">
        <w:rPr>
          <w:rFonts w:hAnsi="宋体"/>
          <w:sz w:val="24"/>
          <w:szCs w:val="24"/>
        </w:rPr>
        <w:t>全国大学生能源经济学术创意大赛鼓励学生进行创新性的研究和调研，鼓励第一手的调研资料和规范的分析论证。</w:t>
      </w:r>
    </w:p>
    <w:p w:rsidR="00B067FE" w:rsidRPr="008103E2" w:rsidRDefault="00B067FE" w:rsidP="00B067FE">
      <w:pPr>
        <w:spacing w:line="276" w:lineRule="auto"/>
        <w:ind w:left="1" w:firstLineChars="200" w:firstLine="480"/>
        <w:jc w:val="left"/>
        <w:rPr>
          <w:sz w:val="24"/>
          <w:szCs w:val="24"/>
        </w:rPr>
      </w:pPr>
      <w:r w:rsidRPr="008103E2">
        <w:rPr>
          <w:rFonts w:hAnsi="宋体"/>
          <w:sz w:val="24"/>
          <w:szCs w:val="24"/>
        </w:rPr>
        <w:t>参赛作品评审设置分项权重系数。初赛评审及全国总决赛按照表</w:t>
      </w:r>
      <w:r w:rsidRPr="008103E2">
        <w:rPr>
          <w:sz w:val="24"/>
          <w:szCs w:val="24"/>
        </w:rPr>
        <w:t>1</w:t>
      </w:r>
      <w:r w:rsidRPr="008103E2">
        <w:rPr>
          <w:rFonts w:hAnsi="宋体"/>
          <w:sz w:val="24"/>
          <w:szCs w:val="24"/>
        </w:rPr>
        <w:t>计算参赛作品的综合得分。</w:t>
      </w:r>
    </w:p>
    <w:p w:rsidR="00B067FE" w:rsidRPr="008103E2" w:rsidRDefault="00B067FE" w:rsidP="00B067FE">
      <w:pPr>
        <w:tabs>
          <w:tab w:val="left" w:pos="851"/>
        </w:tabs>
        <w:jc w:val="center"/>
        <w:rPr>
          <w:sz w:val="28"/>
          <w:szCs w:val="28"/>
        </w:rPr>
      </w:pPr>
      <w:r w:rsidRPr="008103E2">
        <w:rPr>
          <w:rFonts w:hAnsi="宋体"/>
          <w:sz w:val="28"/>
          <w:szCs w:val="28"/>
        </w:rPr>
        <w:t>作品计分办法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2151"/>
        <w:gridCol w:w="2070"/>
        <w:gridCol w:w="2151"/>
      </w:tblGrid>
      <w:tr w:rsidR="00B067FE" w:rsidRPr="008103E2" w:rsidTr="001B0E87">
        <w:tc>
          <w:tcPr>
            <w:tcW w:w="2150" w:type="dxa"/>
          </w:tcPr>
          <w:p w:rsidR="00B067FE" w:rsidRPr="008103E2" w:rsidRDefault="00B067FE" w:rsidP="001B0E87">
            <w:pPr>
              <w:tabs>
                <w:tab w:val="left" w:pos="851"/>
              </w:tabs>
              <w:jc w:val="center"/>
              <w:rPr>
                <w:sz w:val="28"/>
                <w:szCs w:val="28"/>
              </w:rPr>
            </w:pPr>
            <w:r w:rsidRPr="008103E2">
              <w:rPr>
                <w:rFonts w:hAnsi="宋体"/>
                <w:sz w:val="28"/>
                <w:szCs w:val="28"/>
              </w:rPr>
              <w:t>评审标准</w:t>
            </w:r>
          </w:p>
        </w:tc>
        <w:tc>
          <w:tcPr>
            <w:tcW w:w="2151" w:type="dxa"/>
          </w:tcPr>
          <w:p w:rsidR="00B067FE" w:rsidRPr="008103E2" w:rsidRDefault="00B067FE" w:rsidP="001B0E87">
            <w:pPr>
              <w:tabs>
                <w:tab w:val="left" w:pos="851"/>
              </w:tabs>
              <w:jc w:val="center"/>
              <w:rPr>
                <w:sz w:val="28"/>
                <w:szCs w:val="28"/>
              </w:rPr>
            </w:pPr>
            <w:r w:rsidRPr="008103E2">
              <w:rPr>
                <w:rFonts w:hAnsi="宋体"/>
                <w:sz w:val="28"/>
                <w:szCs w:val="28"/>
              </w:rPr>
              <w:t>初赛权重</w:t>
            </w:r>
          </w:p>
        </w:tc>
        <w:tc>
          <w:tcPr>
            <w:tcW w:w="2070" w:type="dxa"/>
          </w:tcPr>
          <w:p w:rsidR="00B067FE" w:rsidRPr="008103E2" w:rsidRDefault="00B067FE" w:rsidP="001B0E87">
            <w:pPr>
              <w:tabs>
                <w:tab w:val="left" w:pos="851"/>
              </w:tabs>
              <w:jc w:val="center"/>
              <w:rPr>
                <w:sz w:val="28"/>
                <w:szCs w:val="28"/>
              </w:rPr>
            </w:pPr>
            <w:r w:rsidRPr="008103E2">
              <w:rPr>
                <w:rFonts w:hAnsi="宋体"/>
                <w:sz w:val="28"/>
                <w:szCs w:val="28"/>
              </w:rPr>
              <w:t>总决赛权重</w:t>
            </w:r>
          </w:p>
        </w:tc>
        <w:tc>
          <w:tcPr>
            <w:tcW w:w="2151" w:type="dxa"/>
          </w:tcPr>
          <w:p w:rsidR="00B067FE" w:rsidRPr="008103E2" w:rsidRDefault="00B067FE" w:rsidP="001B0E87">
            <w:pPr>
              <w:tabs>
                <w:tab w:val="left" w:pos="851"/>
              </w:tabs>
              <w:jc w:val="center"/>
              <w:rPr>
                <w:sz w:val="28"/>
                <w:szCs w:val="28"/>
              </w:rPr>
            </w:pPr>
            <w:r w:rsidRPr="008103E2">
              <w:rPr>
                <w:rFonts w:hAnsi="宋体"/>
                <w:sz w:val="28"/>
                <w:szCs w:val="28"/>
              </w:rPr>
              <w:t>备注</w:t>
            </w:r>
          </w:p>
        </w:tc>
      </w:tr>
      <w:tr w:rsidR="00B067FE" w:rsidRPr="008103E2" w:rsidTr="001B0E87">
        <w:tc>
          <w:tcPr>
            <w:tcW w:w="2150" w:type="dxa"/>
          </w:tcPr>
          <w:p w:rsidR="00B067FE" w:rsidRPr="008103E2" w:rsidRDefault="00B067FE" w:rsidP="001B0E87">
            <w:pPr>
              <w:tabs>
                <w:tab w:val="left" w:pos="851"/>
              </w:tabs>
              <w:jc w:val="center"/>
              <w:rPr>
                <w:sz w:val="28"/>
                <w:szCs w:val="28"/>
              </w:rPr>
            </w:pPr>
            <w:r w:rsidRPr="008103E2">
              <w:rPr>
                <w:rFonts w:hAnsi="宋体"/>
                <w:sz w:val="28"/>
                <w:szCs w:val="28"/>
              </w:rPr>
              <w:t>创新性</w:t>
            </w:r>
          </w:p>
        </w:tc>
        <w:tc>
          <w:tcPr>
            <w:tcW w:w="2151" w:type="dxa"/>
          </w:tcPr>
          <w:p w:rsidR="00B067FE" w:rsidRPr="008103E2" w:rsidRDefault="00B067FE" w:rsidP="001B0E87">
            <w:pPr>
              <w:tabs>
                <w:tab w:val="left" w:pos="851"/>
              </w:tabs>
              <w:jc w:val="center"/>
              <w:rPr>
                <w:sz w:val="28"/>
                <w:szCs w:val="28"/>
              </w:rPr>
            </w:pPr>
            <w:r w:rsidRPr="008103E2">
              <w:rPr>
                <w:sz w:val="28"/>
                <w:szCs w:val="28"/>
              </w:rPr>
              <w:t>60%</w:t>
            </w:r>
          </w:p>
        </w:tc>
        <w:tc>
          <w:tcPr>
            <w:tcW w:w="2070" w:type="dxa"/>
          </w:tcPr>
          <w:p w:rsidR="00B067FE" w:rsidRPr="008103E2" w:rsidRDefault="00B067FE" w:rsidP="001B0E87">
            <w:pPr>
              <w:tabs>
                <w:tab w:val="left" w:pos="851"/>
              </w:tabs>
              <w:jc w:val="center"/>
              <w:rPr>
                <w:sz w:val="28"/>
                <w:szCs w:val="28"/>
              </w:rPr>
            </w:pPr>
            <w:r w:rsidRPr="008103E2">
              <w:rPr>
                <w:sz w:val="28"/>
                <w:szCs w:val="28"/>
              </w:rPr>
              <w:t>60%</w:t>
            </w:r>
          </w:p>
        </w:tc>
        <w:tc>
          <w:tcPr>
            <w:tcW w:w="2151" w:type="dxa"/>
            <w:vMerge w:val="restart"/>
          </w:tcPr>
          <w:p w:rsidR="00B067FE" w:rsidRPr="008103E2" w:rsidRDefault="00B067FE" w:rsidP="001B0E87">
            <w:pPr>
              <w:tabs>
                <w:tab w:val="left" w:pos="851"/>
              </w:tabs>
              <w:jc w:val="center"/>
              <w:rPr>
                <w:sz w:val="28"/>
                <w:szCs w:val="28"/>
              </w:rPr>
            </w:pPr>
            <w:r w:rsidRPr="008103E2">
              <w:rPr>
                <w:rFonts w:hAnsi="宋体"/>
                <w:sz w:val="28"/>
                <w:szCs w:val="28"/>
              </w:rPr>
              <w:t>初赛无现场表达环节</w:t>
            </w:r>
          </w:p>
        </w:tc>
      </w:tr>
      <w:tr w:rsidR="00B067FE" w:rsidRPr="008103E2" w:rsidTr="001B0E87">
        <w:tc>
          <w:tcPr>
            <w:tcW w:w="2150" w:type="dxa"/>
          </w:tcPr>
          <w:p w:rsidR="00B067FE" w:rsidRPr="008103E2" w:rsidRDefault="00B067FE" w:rsidP="001B0E87">
            <w:pPr>
              <w:tabs>
                <w:tab w:val="left" w:pos="851"/>
              </w:tabs>
              <w:jc w:val="center"/>
              <w:rPr>
                <w:sz w:val="28"/>
                <w:szCs w:val="28"/>
              </w:rPr>
            </w:pPr>
            <w:r w:rsidRPr="008103E2">
              <w:rPr>
                <w:rFonts w:hAnsi="宋体"/>
                <w:sz w:val="28"/>
                <w:szCs w:val="28"/>
              </w:rPr>
              <w:t>规范性</w:t>
            </w:r>
          </w:p>
        </w:tc>
        <w:tc>
          <w:tcPr>
            <w:tcW w:w="2151" w:type="dxa"/>
          </w:tcPr>
          <w:p w:rsidR="00B067FE" w:rsidRPr="008103E2" w:rsidRDefault="00B067FE" w:rsidP="001B0E87">
            <w:pPr>
              <w:tabs>
                <w:tab w:val="left" w:pos="851"/>
              </w:tabs>
              <w:jc w:val="center"/>
              <w:rPr>
                <w:sz w:val="28"/>
                <w:szCs w:val="28"/>
              </w:rPr>
            </w:pPr>
            <w:r w:rsidRPr="008103E2">
              <w:rPr>
                <w:sz w:val="28"/>
                <w:szCs w:val="28"/>
              </w:rPr>
              <w:t>40%</w:t>
            </w:r>
          </w:p>
        </w:tc>
        <w:tc>
          <w:tcPr>
            <w:tcW w:w="2070" w:type="dxa"/>
          </w:tcPr>
          <w:p w:rsidR="00B067FE" w:rsidRPr="008103E2" w:rsidRDefault="00B067FE" w:rsidP="001B0E87">
            <w:pPr>
              <w:tabs>
                <w:tab w:val="left" w:pos="851"/>
              </w:tabs>
              <w:jc w:val="center"/>
              <w:rPr>
                <w:sz w:val="28"/>
                <w:szCs w:val="28"/>
              </w:rPr>
            </w:pPr>
            <w:r w:rsidRPr="008103E2">
              <w:rPr>
                <w:sz w:val="28"/>
                <w:szCs w:val="28"/>
              </w:rPr>
              <w:t>25%</w:t>
            </w:r>
          </w:p>
        </w:tc>
        <w:tc>
          <w:tcPr>
            <w:tcW w:w="2151" w:type="dxa"/>
            <w:vMerge/>
          </w:tcPr>
          <w:p w:rsidR="00B067FE" w:rsidRPr="008103E2" w:rsidRDefault="00B067FE" w:rsidP="001B0E87">
            <w:pPr>
              <w:tabs>
                <w:tab w:val="left" w:pos="851"/>
              </w:tabs>
              <w:jc w:val="center"/>
              <w:rPr>
                <w:sz w:val="28"/>
                <w:szCs w:val="28"/>
              </w:rPr>
            </w:pPr>
          </w:p>
        </w:tc>
      </w:tr>
      <w:tr w:rsidR="00B067FE" w:rsidRPr="008103E2" w:rsidTr="001B0E87">
        <w:tc>
          <w:tcPr>
            <w:tcW w:w="2150" w:type="dxa"/>
          </w:tcPr>
          <w:p w:rsidR="00B067FE" w:rsidRPr="008103E2" w:rsidRDefault="00B067FE" w:rsidP="001B0E87">
            <w:pPr>
              <w:tabs>
                <w:tab w:val="left" w:pos="851"/>
              </w:tabs>
              <w:jc w:val="center"/>
              <w:rPr>
                <w:sz w:val="28"/>
                <w:szCs w:val="28"/>
              </w:rPr>
            </w:pPr>
            <w:r w:rsidRPr="008103E2">
              <w:rPr>
                <w:rFonts w:hAnsi="宋体"/>
                <w:sz w:val="28"/>
                <w:szCs w:val="28"/>
              </w:rPr>
              <w:t>现场表达</w:t>
            </w:r>
          </w:p>
        </w:tc>
        <w:tc>
          <w:tcPr>
            <w:tcW w:w="2151" w:type="dxa"/>
          </w:tcPr>
          <w:p w:rsidR="00B067FE" w:rsidRPr="008103E2" w:rsidRDefault="00B067FE" w:rsidP="001B0E87">
            <w:pPr>
              <w:tabs>
                <w:tab w:val="left" w:pos="851"/>
              </w:tabs>
              <w:jc w:val="center"/>
              <w:rPr>
                <w:sz w:val="28"/>
                <w:szCs w:val="28"/>
              </w:rPr>
            </w:pPr>
            <w:r w:rsidRPr="008103E2">
              <w:rPr>
                <w:sz w:val="28"/>
                <w:szCs w:val="28"/>
              </w:rPr>
              <w:t>0</w:t>
            </w:r>
          </w:p>
        </w:tc>
        <w:tc>
          <w:tcPr>
            <w:tcW w:w="2070" w:type="dxa"/>
          </w:tcPr>
          <w:p w:rsidR="00B067FE" w:rsidRPr="008103E2" w:rsidRDefault="00B067FE" w:rsidP="001B0E87">
            <w:pPr>
              <w:tabs>
                <w:tab w:val="left" w:pos="851"/>
              </w:tabs>
              <w:jc w:val="center"/>
              <w:rPr>
                <w:sz w:val="28"/>
                <w:szCs w:val="28"/>
              </w:rPr>
            </w:pPr>
            <w:r w:rsidRPr="008103E2">
              <w:rPr>
                <w:sz w:val="28"/>
                <w:szCs w:val="28"/>
              </w:rPr>
              <w:t>15%</w:t>
            </w:r>
          </w:p>
        </w:tc>
        <w:tc>
          <w:tcPr>
            <w:tcW w:w="2151" w:type="dxa"/>
            <w:vMerge/>
          </w:tcPr>
          <w:p w:rsidR="00B067FE" w:rsidRPr="008103E2" w:rsidRDefault="00B067FE" w:rsidP="001B0E87">
            <w:pPr>
              <w:tabs>
                <w:tab w:val="left" w:pos="851"/>
              </w:tabs>
              <w:jc w:val="center"/>
              <w:rPr>
                <w:sz w:val="28"/>
                <w:szCs w:val="28"/>
              </w:rPr>
            </w:pPr>
          </w:p>
        </w:tc>
      </w:tr>
      <w:tr w:rsidR="00B067FE" w:rsidRPr="008103E2" w:rsidTr="001B0E87">
        <w:tc>
          <w:tcPr>
            <w:tcW w:w="8522" w:type="dxa"/>
            <w:gridSpan w:val="4"/>
          </w:tcPr>
          <w:p w:rsidR="00B067FE" w:rsidRPr="008103E2" w:rsidRDefault="00B067FE" w:rsidP="001B0E87">
            <w:pPr>
              <w:tabs>
                <w:tab w:val="left" w:pos="851"/>
              </w:tabs>
              <w:spacing w:line="240" w:lineRule="atLeast"/>
              <w:jc w:val="center"/>
              <w:rPr>
                <w:color w:val="FF0000"/>
                <w:sz w:val="28"/>
                <w:szCs w:val="28"/>
              </w:rPr>
            </w:pPr>
            <w:r w:rsidRPr="008103E2">
              <w:rPr>
                <w:rFonts w:hAnsi="宋体"/>
                <w:sz w:val="28"/>
                <w:szCs w:val="28"/>
              </w:rPr>
              <w:t>综合得分：</w:t>
            </w:r>
            <w:r w:rsidRPr="008103E2">
              <w:rPr>
                <w:color w:val="FF0000"/>
                <w:position w:val="-28"/>
                <w:sz w:val="28"/>
                <w:szCs w:val="28"/>
              </w:rPr>
              <w:t xml:space="preserve"> </w:t>
            </w:r>
            <w:r w:rsidR="00E2475F" w:rsidRPr="008103E2">
              <w:rPr>
                <w:noProof/>
                <w:color w:val="FF0000"/>
                <w:position w:val="-28"/>
                <w:sz w:val="28"/>
                <w:szCs w:val="28"/>
              </w:rPr>
              <w:object w:dxaOrig="2480" w:dyaOrig="700" w14:anchorId="451CE8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3.8pt;height:34.85pt;mso-width-percent:0;mso-height-percent:0;mso-width-percent:0;mso-height-percent:0" o:ole="">
                  <v:imagedata r:id="rId4" o:title=""/>
                </v:shape>
                <o:OLEObject Type="Embed" ProgID="Equation.3" ShapeID="_x0000_i1025" DrawAspect="Content" ObjectID="_1638394000" r:id="rId5"/>
              </w:object>
            </w:r>
          </w:p>
        </w:tc>
      </w:tr>
    </w:tbl>
    <w:p w:rsidR="00B067FE" w:rsidRPr="008103E2" w:rsidRDefault="00B067FE" w:rsidP="00B067FE">
      <w:pPr>
        <w:tabs>
          <w:tab w:val="left" w:pos="5070"/>
        </w:tabs>
        <w:spacing w:line="360" w:lineRule="auto"/>
        <w:ind w:left="1571" w:hangingChars="748" w:hanging="1571"/>
        <w:rPr>
          <w:szCs w:val="21"/>
        </w:rPr>
      </w:pPr>
      <w:r w:rsidRPr="008103E2">
        <w:rPr>
          <w:rFonts w:hAnsi="宋体"/>
          <w:szCs w:val="21"/>
        </w:rPr>
        <w:t>注：</w:t>
      </w:r>
      <w:r w:rsidRPr="008103E2">
        <w:rPr>
          <w:i/>
          <w:szCs w:val="21"/>
        </w:rPr>
        <w:t>Score</w:t>
      </w:r>
      <w:r w:rsidRPr="008103E2">
        <w:rPr>
          <w:szCs w:val="21"/>
        </w:rPr>
        <w:t>—</w:t>
      </w:r>
      <w:r w:rsidRPr="008103E2">
        <w:rPr>
          <w:rFonts w:hAnsi="宋体"/>
          <w:szCs w:val="21"/>
        </w:rPr>
        <w:t>综合得分，</w:t>
      </w:r>
      <w:r w:rsidRPr="008103E2">
        <w:rPr>
          <w:i/>
          <w:szCs w:val="21"/>
        </w:rPr>
        <w:t>λ—</w:t>
      </w:r>
      <w:r w:rsidRPr="008103E2">
        <w:rPr>
          <w:rFonts w:hAnsi="宋体"/>
          <w:szCs w:val="21"/>
        </w:rPr>
        <w:t>团队学历系数，</w:t>
      </w:r>
      <w:r w:rsidRPr="008103E2">
        <w:rPr>
          <w:i/>
          <w:szCs w:val="21"/>
        </w:rPr>
        <w:t>C</w:t>
      </w:r>
      <w:r w:rsidRPr="008103E2">
        <w:rPr>
          <w:i/>
          <w:szCs w:val="21"/>
          <w:vertAlign w:val="subscript"/>
        </w:rPr>
        <w:t>i</w:t>
      </w:r>
      <w:r w:rsidRPr="008103E2">
        <w:rPr>
          <w:szCs w:val="21"/>
        </w:rPr>
        <w:t>—</w:t>
      </w:r>
      <w:r w:rsidRPr="008103E2">
        <w:rPr>
          <w:rFonts w:hAnsi="宋体"/>
          <w:szCs w:val="21"/>
        </w:rPr>
        <w:t>分项</w:t>
      </w:r>
      <w:proofErr w:type="spellStart"/>
      <w:r w:rsidRPr="008103E2">
        <w:rPr>
          <w:i/>
          <w:szCs w:val="21"/>
        </w:rPr>
        <w:t>i</w:t>
      </w:r>
      <w:proofErr w:type="spellEnd"/>
      <w:r w:rsidRPr="008103E2">
        <w:rPr>
          <w:rFonts w:hAnsi="宋体"/>
          <w:szCs w:val="21"/>
        </w:rPr>
        <w:t>的得分，</w:t>
      </w:r>
      <w:proofErr w:type="spellStart"/>
      <w:r w:rsidRPr="008103E2">
        <w:rPr>
          <w:i/>
          <w:szCs w:val="21"/>
        </w:rPr>
        <w:t>ρ</w:t>
      </w:r>
      <w:r w:rsidRPr="008103E2">
        <w:rPr>
          <w:i/>
          <w:szCs w:val="21"/>
          <w:vertAlign w:val="subscript"/>
        </w:rPr>
        <w:t>i</w:t>
      </w:r>
      <w:proofErr w:type="spellEnd"/>
      <w:r w:rsidRPr="008103E2">
        <w:rPr>
          <w:szCs w:val="21"/>
        </w:rPr>
        <w:t>—</w:t>
      </w:r>
      <w:r w:rsidRPr="008103E2">
        <w:rPr>
          <w:rFonts w:hAnsi="宋体"/>
          <w:szCs w:val="21"/>
        </w:rPr>
        <w:t>分项</w:t>
      </w:r>
      <w:proofErr w:type="spellStart"/>
      <w:r w:rsidRPr="008103E2">
        <w:rPr>
          <w:i/>
          <w:szCs w:val="21"/>
        </w:rPr>
        <w:t>i</w:t>
      </w:r>
      <w:proofErr w:type="spellEnd"/>
      <w:r w:rsidRPr="008103E2">
        <w:rPr>
          <w:rFonts w:hAnsi="宋体"/>
          <w:szCs w:val="21"/>
        </w:rPr>
        <w:t>的权重。</w:t>
      </w:r>
    </w:p>
    <w:p w:rsidR="00B067FE" w:rsidRPr="008103E2" w:rsidRDefault="00B067FE" w:rsidP="00B067FE">
      <w:pPr>
        <w:spacing w:line="276" w:lineRule="auto"/>
        <w:ind w:left="1" w:firstLineChars="200" w:firstLine="480"/>
        <w:jc w:val="left"/>
        <w:rPr>
          <w:sz w:val="24"/>
          <w:szCs w:val="24"/>
        </w:rPr>
      </w:pPr>
    </w:p>
    <w:p w:rsidR="00B067FE" w:rsidRPr="008103E2" w:rsidRDefault="00B067FE" w:rsidP="00B067FE">
      <w:pPr>
        <w:spacing w:line="276" w:lineRule="auto"/>
        <w:ind w:left="1" w:firstLineChars="200" w:firstLine="480"/>
        <w:jc w:val="left"/>
        <w:rPr>
          <w:sz w:val="24"/>
          <w:szCs w:val="24"/>
        </w:rPr>
      </w:pPr>
      <w:r w:rsidRPr="008103E2">
        <w:rPr>
          <w:rFonts w:hAnsi="宋体"/>
          <w:sz w:val="24"/>
          <w:szCs w:val="24"/>
        </w:rPr>
        <w:t>团队学历系数</w:t>
      </w:r>
      <w:r w:rsidRPr="008103E2">
        <w:rPr>
          <w:sz w:val="24"/>
          <w:szCs w:val="24"/>
        </w:rPr>
        <w:t>λ</w:t>
      </w:r>
      <w:r w:rsidRPr="008103E2">
        <w:rPr>
          <w:rFonts w:hAnsi="宋体"/>
          <w:sz w:val="24"/>
          <w:szCs w:val="24"/>
        </w:rPr>
        <w:t>按下式计算：</w:t>
      </w:r>
    </w:p>
    <w:p w:rsidR="00B067FE" w:rsidRPr="008103E2" w:rsidRDefault="00B067FE" w:rsidP="00B067FE">
      <w:pPr>
        <w:spacing w:line="276" w:lineRule="auto"/>
        <w:ind w:left="1" w:firstLineChars="200" w:firstLine="480"/>
        <w:jc w:val="left"/>
        <w:rPr>
          <w:sz w:val="24"/>
          <w:szCs w:val="24"/>
        </w:rPr>
      </w:pPr>
      <w:r w:rsidRPr="008103E2">
        <w:rPr>
          <w:noProof/>
          <w:sz w:val="24"/>
          <w:szCs w:val="24"/>
        </w:rPr>
        <w:drawing>
          <wp:inline distT="0" distB="0" distL="0" distR="0" wp14:anchorId="38C917F3" wp14:editId="15A890E2">
            <wp:extent cx="2801620" cy="570865"/>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6">
                      <a:extLst>
                        <a:ext uri="{28A0092B-C50C-407E-A947-70E740481C1C}">
                          <a14:useLocalDpi xmlns:a14="http://schemas.microsoft.com/office/drawing/2010/main" val="0"/>
                        </a:ext>
                      </a:extLst>
                    </a:blip>
                    <a:srcRect r="25641"/>
                    <a:stretch>
                      <a:fillRect/>
                    </a:stretch>
                  </pic:blipFill>
                  <pic:spPr bwMode="auto">
                    <a:xfrm>
                      <a:off x="0" y="0"/>
                      <a:ext cx="2801620" cy="570865"/>
                    </a:xfrm>
                    <a:prstGeom prst="rect">
                      <a:avLst/>
                    </a:prstGeom>
                    <a:noFill/>
                    <a:ln>
                      <a:noFill/>
                    </a:ln>
                  </pic:spPr>
                </pic:pic>
              </a:graphicData>
            </a:graphic>
          </wp:inline>
        </w:drawing>
      </w:r>
    </w:p>
    <w:p w:rsidR="00B067FE" w:rsidRPr="008103E2" w:rsidRDefault="00B067FE" w:rsidP="00B067FE">
      <w:pPr>
        <w:spacing w:line="276" w:lineRule="auto"/>
        <w:ind w:left="1" w:firstLineChars="200" w:firstLine="480"/>
        <w:jc w:val="left"/>
        <w:rPr>
          <w:sz w:val="24"/>
          <w:szCs w:val="24"/>
        </w:rPr>
      </w:pPr>
    </w:p>
    <w:p w:rsidR="00B067FE" w:rsidRPr="008103E2" w:rsidRDefault="00B067FE" w:rsidP="00B067FE">
      <w:pPr>
        <w:spacing w:line="276" w:lineRule="auto"/>
        <w:ind w:left="1" w:firstLineChars="200" w:firstLine="480"/>
        <w:jc w:val="left"/>
        <w:rPr>
          <w:sz w:val="24"/>
          <w:szCs w:val="24"/>
        </w:rPr>
      </w:pPr>
      <w:r w:rsidRPr="008103E2">
        <w:rPr>
          <w:rFonts w:hAnsi="宋体"/>
          <w:sz w:val="24"/>
          <w:szCs w:val="24"/>
        </w:rPr>
        <w:t>式中：</w:t>
      </w:r>
      <w:r w:rsidRPr="008103E2">
        <w:rPr>
          <w:sz w:val="24"/>
          <w:szCs w:val="24"/>
        </w:rPr>
        <w:t>λ—</w:t>
      </w:r>
      <w:r w:rsidRPr="008103E2">
        <w:rPr>
          <w:rFonts w:hAnsi="宋体"/>
          <w:sz w:val="24"/>
          <w:szCs w:val="24"/>
        </w:rPr>
        <w:t>综合成绩系数，</w:t>
      </w:r>
      <w:r w:rsidRPr="008103E2">
        <w:rPr>
          <w:sz w:val="24"/>
          <w:szCs w:val="24"/>
        </w:rPr>
        <w:t>N</w:t>
      </w:r>
      <w:r w:rsidRPr="008103E2">
        <w:rPr>
          <w:rFonts w:hAnsi="宋体"/>
          <w:sz w:val="24"/>
          <w:szCs w:val="24"/>
        </w:rPr>
        <w:t>总</w:t>
      </w:r>
      <w:r w:rsidRPr="008103E2">
        <w:rPr>
          <w:sz w:val="24"/>
          <w:szCs w:val="24"/>
        </w:rPr>
        <w:t>—</w:t>
      </w:r>
      <w:r w:rsidRPr="008103E2">
        <w:rPr>
          <w:rFonts w:hAnsi="宋体"/>
          <w:sz w:val="24"/>
          <w:szCs w:val="24"/>
        </w:rPr>
        <w:t>团队总人数，</w:t>
      </w:r>
    </w:p>
    <w:p w:rsidR="00B067FE" w:rsidRPr="008103E2" w:rsidRDefault="00B067FE" w:rsidP="00B067FE">
      <w:pPr>
        <w:spacing w:line="276" w:lineRule="auto"/>
        <w:ind w:left="1" w:firstLineChars="200" w:firstLine="480"/>
        <w:jc w:val="left"/>
        <w:rPr>
          <w:sz w:val="24"/>
          <w:szCs w:val="24"/>
        </w:rPr>
      </w:pPr>
      <w:r w:rsidRPr="008103E2">
        <w:rPr>
          <w:sz w:val="24"/>
          <w:szCs w:val="24"/>
        </w:rPr>
        <w:t>N</w:t>
      </w:r>
      <w:r w:rsidRPr="008103E2">
        <w:rPr>
          <w:rFonts w:hAnsi="宋体"/>
          <w:sz w:val="24"/>
          <w:szCs w:val="24"/>
        </w:rPr>
        <w:t>博士</w:t>
      </w:r>
      <w:r w:rsidRPr="008103E2">
        <w:rPr>
          <w:sz w:val="24"/>
          <w:szCs w:val="24"/>
        </w:rPr>
        <w:t>—</w:t>
      </w:r>
      <w:r w:rsidRPr="008103E2">
        <w:rPr>
          <w:rFonts w:hAnsi="宋体"/>
          <w:sz w:val="24"/>
          <w:szCs w:val="24"/>
        </w:rPr>
        <w:t>团队中博士人数，</w:t>
      </w:r>
      <w:r w:rsidRPr="008103E2">
        <w:rPr>
          <w:sz w:val="24"/>
          <w:szCs w:val="24"/>
        </w:rPr>
        <w:t>N</w:t>
      </w:r>
      <w:r w:rsidRPr="008103E2">
        <w:rPr>
          <w:rFonts w:hAnsi="宋体"/>
          <w:sz w:val="24"/>
          <w:szCs w:val="24"/>
        </w:rPr>
        <w:t>硕士</w:t>
      </w:r>
      <w:r w:rsidRPr="008103E2">
        <w:rPr>
          <w:sz w:val="24"/>
          <w:szCs w:val="24"/>
        </w:rPr>
        <w:t>—</w:t>
      </w:r>
      <w:r w:rsidRPr="008103E2">
        <w:rPr>
          <w:rFonts w:hAnsi="宋体"/>
          <w:sz w:val="24"/>
          <w:szCs w:val="24"/>
        </w:rPr>
        <w:t>团队中硕士人数，</w:t>
      </w:r>
    </w:p>
    <w:p w:rsidR="00B067FE" w:rsidRPr="008103E2" w:rsidRDefault="00B067FE" w:rsidP="00B067FE">
      <w:pPr>
        <w:spacing w:line="276" w:lineRule="auto"/>
        <w:ind w:left="1" w:firstLineChars="200" w:firstLine="480"/>
        <w:jc w:val="left"/>
        <w:rPr>
          <w:sz w:val="24"/>
          <w:szCs w:val="24"/>
        </w:rPr>
      </w:pPr>
      <w:r w:rsidRPr="008103E2">
        <w:rPr>
          <w:sz w:val="24"/>
          <w:szCs w:val="24"/>
        </w:rPr>
        <w:t>N</w:t>
      </w:r>
      <w:r w:rsidRPr="008103E2">
        <w:rPr>
          <w:rFonts w:hAnsi="宋体"/>
          <w:sz w:val="24"/>
          <w:szCs w:val="24"/>
        </w:rPr>
        <w:t>本科</w:t>
      </w:r>
      <w:r w:rsidRPr="008103E2">
        <w:rPr>
          <w:sz w:val="24"/>
          <w:szCs w:val="24"/>
        </w:rPr>
        <w:t>—</w:t>
      </w:r>
      <w:r w:rsidRPr="008103E2">
        <w:rPr>
          <w:rFonts w:hAnsi="宋体"/>
          <w:sz w:val="24"/>
          <w:szCs w:val="24"/>
        </w:rPr>
        <w:t>团队中本科生人数。</w:t>
      </w:r>
    </w:p>
    <w:p w:rsidR="00B067FE" w:rsidRPr="008103E2" w:rsidRDefault="00B067FE" w:rsidP="00B067FE"/>
    <w:p w:rsidR="00B067FE" w:rsidRPr="009D3BB4" w:rsidRDefault="00B067FE" w:rsidP="00B067FE">
      <w:pPr>
        <w:spacing w:line="276" w:lineRule="auto"/>
        <w:ind w:left="1" w:hanging="1"/>
        <w:jc w:val="left"/>
      </w:pPr>
    </w:p>
    <w:p w:rsidR="00B067FE" w:rsidRPr="00AD0D77" w:rsidRDefault="00B067FE" w:rsidP="00B067FE">
      <w:pPr>
        <w:spacing w:beforeLines="50" w:before="156" w:afterLines="50" w:after="156" w:line="300" w:lineRule="auto"/>
        <w:ind w:left="945" w:hangingChars="450" w:hanging="945"/>
      </w:pPr>
    </w:p>
    <w:p w:rsidR="008871C7" w:rsidRPr="00B067FE" w:rsidRDefault="008871C7">
      <w:bookmarkStart w:id="0" w:name="_GoBack"/>
      <w:bookmarkEnd w:id="0"/>
    </w:p>
    <w:sectPr w:rsidR="008871C7" w:rsidRPr="00B067FE">
      <w:footerReference w:type="default" r:id="rId7"/>
      <w:pgSz w:w="11906" w:h="16838"/>
      <w:pgMar w:top="1134" w:right="1588" w:bottom="1134" w:left="1588"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4AA" w:rsidRDefault="00E2475F">
    <w:pPr>
      <w:pStyle w:val="a3"/>
      <w:jc w:val="center"/>
    </w:pPr>
    <w:r>
      <w:fldChar w:fldCharType="begin"/>
    </w:r>
    <w:r>
      <w:instrText xml:space="preserve"> PAGE   \* MERGEFORMAT </w:instrText>
    </w:r>
    <w:r>
      <w:fldChar w:fldCharType="separate"/>
    </w:r>
    <w:r w:rsidRPr="00AD0D77">
      <w:rPr>
        <w:noProof/>
        <w:lang w:val="zh-CN" w:eastAsia="zh-CN"/>
      </w:rPr>
      <w:t>1</w:t>
    </w:r>
    <w:r>
      <w:fldChar w:fldCharType="end"/>
    </w:r>
  </w:p>
  <w:p w:rsidR="007D64AA" w:rsidRDefault="00E2475F">
    <w:pPr>
      <w:pStyle w:val="a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FE"/>
    <w:rsid w:val="008871C7"/>
    <w:rsid w:val="00B067FE"/>
    <w:rsid w:val="00E2475F"/>
    <w:rsid w:val="00F72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A2DBF-1B6F-D54A-8D4A-4EA13F9F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67FE"/>
    <w:pPr>
      <w:widowControl w:val="0"/>
      <w:jc w:val="both"/>
    </w:pPr>
    <w:rPr>
      <w:rFonts w:ascii="Times New Roman" w:eastAsia="宋体" w:hAnsi="Times New Roman" w:cs="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sid w:val="00B067FE"/>
    <w:rPr>
      <w:sz w:val="18"/>
      <w:szCs w:val="18"/>
    </w:rPr>
  </w:style>
  <w:style w:type="paragraph" w:styleId="a3">
    <w:name w:val="footer"/>
    <w:basedOn w:val="a"/>
    <w:link w:val="Char"/>
    <w:uiPriority w:val="99"/>
    <w:unhideWhenUsed/>
    <w:rsid w:val="00B067F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uiPriority w:val="99"/>
    <w:semiHidden/>
    <w:rsid w:val="00B067F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302</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泽泽</dc:creator>
  <cp:keywords/>
  <dc:description/>
  <cp:lastModifiedBy>赵 泽泽</cp:lastModifiedBy>
  <cp:revision>1</cp:revision>
  <dcterms:created xsi:type="dcterms:W3CDTF">2019-12-20T16:40:00Z</dcterms:created>
  <dcterms:modified xsi:type="dcterms:W3CDTF">2019-12-20T16:40:00Z</dcterms:modified>
</cp:coreProperties>
</file>