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CAHIER DES CHARGES</w:t>
      </w:r>
    </w:p>
    <w:p>
      <w:pPr>
        <w:spacing w:after="400"/>
        <w:jc w:val="center"/>
      </w:pPr>
      <w:r>
        <w:rPr>
          <w:color w:val="2D5A87"/>
          <w:sz w:val="32"/>
          <w:szCs w:val="32"/>
        </w:rPr>
        <w:t xml:space="preserve">Application Web de Configuration et Débit de Panneaux d'Agencement Bois</w:t>
      </w:r>
    </w:p>
    <w:p>
      <w:pPr>
        <w:spacing w:before="800"/>
      </w:pPr>
    </w:p>
    <w:p>
      <w:pPr>
        <w:spacing w:after="100"/>
        <w:jc w:val="center"/>
      </w:pPr>
      <w:r>
        <w:rPr>
          <w:b/>
          <w:bCs/>
          <w:sz w:val="24"/>
          <w:szCs w:val="24"/>
        </w:rPr>
        <w:t xml:space="preserve">Version 1.0</w:t>
      </w:r>
    </w:p>
    <w:p>
      <w:pPr>
        <w:spacing w:after="400"/>
        <w:jc w:val="center"/>
      </w:pPr>
      <w:r>
        <w:rPr>
          <w:sz w:val="22"/>
          <w:szCs w:val="22"/>
        </w:rPr>
        <w:t xml:space="preserve">Décembre 2025</w:t>
      </w:r>
    </w:p>
    <w:p>
      <w:pPr>
        <w:spacing w:before="1200"/>
      </w:pPr>
    </w:p>
    <w:p>
      <w:pPr>
        <w:jc w:val="center"/>
      </w:pPr>
      <w:r>
        <w:rPr>
          <w:i/>
          <w:iCs/>
          <w:color w:val="666666"/>
          <w:sz w:val="20"/>
          <w:szCs w:val="20"/>
        </w:rPr>
        <w:t xml:space="preserve">Document destiné aux développeurs</w:t>
      </w:r>
    </w:p>
    <w:p>
      <w:r>
        <w:br w:type="page"/>
      </w:r>
    </w:p>
    <w:p>
      <w:pPr>
        <w:pStyle w:val="Heading1"/>
      </w:pPr>
      <w:r>
        <w:t xml:space="preserve">Table des Matières</w:t>
      </w:r>
    </w:p>
    <w:p>
      <w:pPr>
        <w:spacing w:after="200"/>
      </w:pPr>
      <w:r>
        <w:t xml:space="preserve">1. Contexte et Objectifs</w:t>
      </w:r>
    </w:p>
    <w:p>
      <w:pPr>
        <w:spacing w:after="200"/>
      </w:pPr>
      <w:r>
        <w:t xml:space="preserve">2. Analyse Concurrentielle</w:t>
      </w:r>
    </w:p>
    <w:p>
      <w:pPr>
        <w:spacing w:after="200"/>
      </w:pPr>
      <w:r>
        <w:t xml:space="preserve">3. Spécifications Fonctionnelles</w:t>
      </w:r>
    </w:p>
    <w:p>
      <w:pPr>
        <w:spacing w:after="200"/>
      </w:pPr>
      <w:r>
        <w:t xml:space="preserve">4. Architecture Technique Recommandée</w:t>
      </w:r>
    </w:p>
    <w:p>
      <w:pPr>
        <w:spacing w:after="200"/>
      </w:pPr>
      <w:r>
        <w:t xml:space="preserve">5. Modèle de Données</w:t>
      </w:r>
    </w:p>
    <w:p>
      <w:pPr>
        <w:spacing w:after="200"/>
      </w:pPr>
      <w:r>
        <w:t xml:space="preserve">6. Interface Utilisateur (UX/UI)</w:t>
      </w:r>
    </w:p>
    <w:p>
      <w:pPr>
        <w:spacing w:after="200"/>
      </w:pPr>
      <w:r>
        <w:t xml:space="preserve">7. Calcul des Prix</w:t>
      </w:r>
    </w:p>
    <w:p>
      <w:pPr>
        <w:spacing w:after="200"/>
      </w:pPr>
      <w:r>
        <w:t xml:space="preserve">8. Administration</w:t>
      </w:r>
    </w:p>
    <w:p>
      <w:pPr>
        <w:spacing w:after="200"/>
      </w:pPr>
      <w:r>
        <w:t xml:space="preserve">9. Planning et Livrables</w:t>
      </w:r>
    </w:p>
    <w:p>
      <w:pPr>
        <w:spacing w:after="200"/>
      </w:pPr>
      <w:r>
        <w:t xml:space="preserve">10. Annexes Techniques</w:t>
      </w:r>
    </w:p>
    <w:p>
      <w:r>
        <w:br w:type="page"/>
      </w:r>
    </w:p>
    <w:p>
      <w:pPr>
        <w:pStyle w:val="Heading1"/>
      </w:pPr>
      <w:r>
        <w:t xml:space="preserve">1. Contexte et Objectifs</w:t>
      </w:r>
    </w:p>
    <w:p>
      <w:pPr>
        <w:pStyle w:val="Heading2"/>
      </w:pPr>
      <w:r>
        <w:t xml:space="preserve">1.1 Présentation du Projet</w:t>
      </w:r>
    </w:p>
    <w:p>
      <w:pPr>
        <w:spacing w:after="200"/>
      </w:pPr>
      <w:r>
        <w:t xml:space="preserve">Ce document décrit les spécifications pour le développement d'une application web de configuration et de débit de panneaux d'agencement bois. Cette plateforme professionnelle permettra aux clients de configurer leurs commandes de panneaux avec un niveau de détail très précis, incluant les découpes, le placage de chants, les perçages, les usinages et les finitions.</w:t>
      </w:r>
    </w:p>
    <w:p>
      <w:pPr>
        <w:pStyle w:val="Heading2"/>
      </w:pPr>
      <w:r>
        <w:t xml:space="preserve">1.2 Objectifs Métier</w:t>
      </w:r>
    </w:p>
    <w:p>
      <w:pPr>
        <w:pStyle w:val="ListParagraph"/>
        <w:numPr>
          <w:ilvl w:val="0"/>
          <w:numId w:val="2"/>
        </w:numPr>
        <w:spacing w:after="100"/>
      </w:pPr>
      <w:r>
        <w:t xml:space="preserve">Automatiser et digitaliser le processus de commande de débit de panneaux</w:t>
      </w:r>
    </w:p>
    <w:p>
      <w:pPr>
        <w:pStyle w:val="ListParagraph"/>
        <w:numPr>
          <w:ilvl w:val="0"/>
          <w:numId w:val="2"/>
        </w:numPr>
        <w:spacing w:after="100"/>
      </w:pPr>
      <w:r>
        <w:t xml:space="preserve">Réduire les erreurs de saisie et de communication avec les clients</w:t>
      </w:r>
    </w:p>
    <w:p>
      <w:pPr>
        <w:pStyle w:val="ListParagraph"/>
        <w:numPr>
          <w:ilvl w:val="0"/>
          <w:numId w:val="2"/>
        </w:numPr>
        <w:spacing w:after="100"/>
      </w:pPr>
      <w:r>
        <w:t xml:space="preserve">Fournir un calcul de prix instantané et transparent</w:t>
      </w:r>
    </w:p>
    <w:p>
      <w:pPr>
        <w:pStyle w:val="ListParagraph"/>
        <w:numPr>
          <w:ilvl w:val="0"/>
          <w:numId w:val="2"/>
        </w:numPr>
        <w:spacing w:after="100"/>
      </w:pPr>
      <w:r>
        <w:t xml:space="preserve">Optimiser les processus de production grâce à des données structurées</w:t>
      </w:r>
    </w:p>
    <w:p>
      <w:pPr>
        <w:pStyle w:val="ListParagraph"/>
        <w:numPr>
          <w:ilvl w:val="0"/>
          <w:numId w:val="2"/>
        </w:numPr>
        <w:spacing w:after="200"/>
      </w:pPr>
      <w:r>
        <w:t xml:space="preserve">Permettre aux clients de commander rapidement de manière autonome</w:t>
      </w:r>
    </w:p>
    <w:p>
      <w:pPr>
        <w:pStyle w:val="Heading2"/>
      </w:pPr>
      <w:r>
        <w:t xml:space="preserve">1.3 Utilisateurs Cibles</w:t>
      </w:r>
    </w:p>
    <w:p>
      <w:pPr>
        <w:pStyle w:val="ListParagraph"/>
        <w:numPr>
          <w:ilvl w:val="0"/>
          <w:numId w:val="2"/>
        </w:numPr>
        <w:spacing w:after="100"/>
      </w:pPr>
      <w:r>
        <w:rPr>
          <w:b/>
          <w:bCs/>
        </w:rPr>
        <w:t xml:space="preserve">Clients professionnels : </w:t>
      </w:r>
      <w:r>
        <w:t xml:space="preserve">agenceurs, menuisiers, ébénistes, architectes d'intérieur</w:t>
      </w:r>
    </w:p>
    <w:p>
      <w:pPr>
        <w:pStyle w:val="ListParagraph"/>
        <w:numPr>
          <w:ilvl w:val="0"/>
          <w:numId w:val="2"/>
        </w:numPr>
        <w:spacing w:after="100"/>
      </w:pPr>
      <w:r>
        <w:rPr>
          <w:b/>
          <w:bCs/>
        </w:rPr>
        <w:t xml:space="preserve">Administrateurs : </w:t>
      </w:r>
      <w:r>
        <w:t xml:space="preserve">gestion des panneaux, des tarifs et des commandes</w:t>
      </w:r>
    </w:p>
    <w:p>
      <w:pPr>
        <w:pStyle w:val="ListParagraph"/>
        <w:numPr>
          <w:ilvl w:val="0"/>
          <w:numId w:val="2"/>
        </w:numPr>
        <w:spacing w:after="200"/>
      </w:pPr>
      <w:r>
        <w:rPr>
          <w:b/>
          <w:bCs/>
        </w:rPr>
        <w:t xml:space="preserve">Équipe production : </w:t>
      </w:r>
      <w:r>
        <w:t xml:space="preserve">consultation des fiches de débit et ordres de fabrication</w:t>
      </w:r>
    </w:p>
    <w:p>
      <w:r>
        <w:br w:type="page"/>
      </w:r>
    </w:p>
    <w:p>
      <w:pPr>
        <w:pStyle w:val="Heading1"/>
      </w:pPr>
      <w:r>
        <w:t xml:space="preserve">2. Analyse Concurrentielle</w:t>
      </w:r>
    </w:p>
    <w:p>
      <w:pPr>
        <w:spacing w:after="200"/>
      </w:pPr>
      <w:r>
        <w:t xml:space="preserve">Une analyse des solutions existantes sur le marché a été réalisée afin d'identifier les meilleures pratiques UX/UI et les fonctionnalités attendues.</w:t>
      </w:r>
    </w:p>
    <w:p>
      <w:pPr>
        <w:pStyle w:val="Heading2"/>
      </w:pPr>
      <w:r>
        <w:t xml:space="preserve">2.1 Solutions Analysées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Solution</w:t>
            </w:r>
          </w:p>
        </w:tc>
        <w:tc>
          <w:tcPr>
            <w:tcW w:type="dxa" w:w="3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Points Forts</w:t>
            </w:r>
          </w:p>
        </w:tc>
        <w:tc>
          <w:tcPr>
            <w:tcW w:type="dxa" w:w="36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À Intégrer</w:t>
            </w:r>
          </w:p>
        </w:tc>
      </w:tr>
      <w:tr>
        <w:tc>
          <w:tcPr>
            <w:tcW w:type="dxa" w:w="2500"/>
            <w:tcBorders>
              <w:top w:val="single" w:color="CCCCCC" w:sz="1"/>
              <w:left w:val="single" w:color="CCCCCC" w:sz="1"/>
              <w:bottom w:val="single" w:color="CCCCCC" w:sz="1"/>
              <w:right w:val="single" w:color="CCCCCC" w:sz="1"/>
            </w:tcBorders>
          </w:tcPr>
          <w:p>
            <w:r>
              <w:rPr>
                <w:b/>
                <w:bCs/>
              </w:rPr>
              <w:t xml:space="preserve">OptiCoupe</w:t>
            </w:r>
          </w:p>
        </w:tc>
        <w:tc>
          <w:tcPr>
            <w:tcW w:type="dxa" w:w="3200"/>
            <w:tcBorders>
              <w:top w:val="single" w:color="CCCCCC" w:sz="1"/>
              <w:left w:val="single" w:color="CCCCCC" w:sz="1"/>
              <w:bottom w:val="single" w:color="CCCCCC" w:sz="1"/>
              <w:right w:val="single" w:color="CCCCCC" w:sz="1"/>
            </w:tcBorders>
          </w:tcPr>
          <w:p>
            <w:r>
              <w:t xml:space="preserve">Optimisation découpe, gestion chants, gestion stock</w:t>
            </w:r>
          </w:p>
        </w:tc>
        <w:tc>
          <w:tcPr>
            <w:tcW w:type="dxa" w:w="3660"/>
            <w:tcBorders>
              <w:top w:val="single" w:color="CCCCCC" w:sz="1"/>
              <w:left w:val="single" w:color="CCCCCC" w:sz="1"/>
              <w:bottom w:val="single" w:color="CCCCCC" w:sz="1"/>
              <w:right w:val="single" w:color="CCCCCC" w:sz="1"/>
            </w:tcBorders>
          </w:tcPr>
          <w:p>
            <w:r>
              <w:t xml:space="preserve">Calcul auto surcotes, plans de calepinage</w:t>
            </w:r>
          </w:p>
        </w:tc>
      </w:tr>
      <w:tr>
        <w:tc>
          <w:tcPr>
            <w:tcW w:type="dxa" w:w="2500"/>
            <w:tcBorders>
              <w:top w:val="single" w:color="CCCCCC" w:sz="1"/>
              <w:left w:val="single" w:color="CCCCCC" w:sz="1"/>
              <w:bottom w:val="single" w:color="CCCCCC" w:sz="1"/>
              <w:right w:val="single" w:color="CCCCCC" w:sz="1"/>
            </w:tcBorders>
            <w:shd w:fill="F5F7FA" w:val="clear"/>
          </w:tcPr>
          <w:p>
            <w:r>
              <w:rPr>
                <w:b/>
                <w:bCs/>
              </w:rPr>
              <w:t xml:space="preserve">Blum Configurator</w:t>
            </w:r>
          </w:p>
        </w:tc>
        <w:tc>
          <w:tcPr>
            <w:tcW w:type="dxa" w:w="3200"/>
            <w:tcBorders>
              <w:top w:val="single" w:color="CCCCCC" w:sz="1"/>
              <w:left w:val="single" w:color="CCCCCC" w:sz="1"/>
              <w:bottom w:val="single" w:color="CCCCCC" w:sz="1"/>
              <w:right w:val="single" w:color="CCCCCC" w:sz="1"/>
            </w:tcBorders>
            <w:shd w:fill="F5F7FA" w:val="clear"/>
          </w:tcPr>
          <w:p>
            <w:r>
              <w:t xml:space="preserve">Plans perçage, test collision, export BXF/CAO</w:t>
            </w:r>
          </w:p>
        </w:tc>
        <w:tc>
          <w:tcPr>
            <w:tcW w:type="dxa" w:w="3660"/>
            <w:tcBorders>
              <w:top w:val="single" w:color="CCCCCC" w:sz="1"/>
              <w:left w:val="single" w:color="CCCCCC" w:sz="1"/>
              <w:bottom w:val="single" w:color="CCCCCC" w:sz="1"/>
              <w:right w:val="single" w:color="CCCCCC" w:sz="1"/>
            </w:tcBorders>
            <w:shd w:fill="F5F7FA" w:val="clear"/>
          </w:tcPr>
          <w:p>
            <w:r>
              <w:t xml:space="preserve">Intégration quincaillerie, export données usinage</w:t>
            </w:r>
          </w:p>
        </w:tc>
      </w:tr>
      <w:tr>
        <w:tc>
          <w:tcPr>
            <w:tcW w:type="dxa" w:w="2500"/>
            <w:tcBorders>
              <w:top w:val="single" w:color="CCCCCC" w:sz="1"/>
              <w:left w:val="single" w:color="CCCCCC" w:sz="1"/>
              <w:bottom w:val="single" w:color="CCCCCC" w:sz="1"/>
              <w:right w:val="single" w:color="CCCCCC" w:sz="1"/>
            </w:tcBorders>
          </w:tcPr>
          <w:p>
            <w:r>
              <w:rPr>
                <w:b/>
                <w:bCs/>
              </w:rPr>
              <w:t xml:space="preserve">CutList Optimizer</w:t>
            </w:r>
          </w:p>
        </w:tc>
        <w:tc>
          <w:tcPr>
            <w:tcW w:type="dxa" w:w="3200"/>
            <w:tcBorders>
              <w:top w:val="single" w:color="CCCCCC" w:sz="1"/>
              <w:left w:val="single" w:color="CCCCCC" w:sz="1"/>
              <w:bottom w:val="single" w:color="CCCCCC" w:sz="1"/>
              <w:right w:val="single" w:color="CCCCCC" w:sz="1"/>
            </w:tcBorders>
          </w:tcPr>
          <w:p>
            <w:r>
              <w:t xml:space="preserve">Interface simple, export PDF/CSV, gratuit</w:t>
            </w:r>
          </w:p>
        </w:tc>
        <w:tc>
          <w:tcPr>
            <w:tcW w:type="dxa" w:w="3660"/>
            <w:tcBorders>
              <w:top w:val="single" w:color="CCCCCC" w:sz="1"/>
              <w:left w:val="single" w:color="CCCCCC" w:sz="1"/>
              <w:bottom w:val="single" w:color="CCCCCC" w:sz="1"/>
              <w:right w:val="single" w:color="CCCCCC" w:sz="1"/>
            </w:tcBorders>
          </w:tcPr>
          <w:p>
            <w:r>
              <w:t xml:space="preserve">Facilité de prise en main, multi-support</w:t>
            </w:r>
          </w:p>
        </w:tc>
      </w:tr>
      <w:tr>
        <w:tc>
          <w:tcPr>
            <w:tcW w:type="dxa" w:w="2500"/>
            <w:tcBorders>
              <w:top w:val="single" w:color="CCCCCC" w:sz="1"/>
              <w:left w:val="single" w:color="CCCCCC" w:sz="1"/>
              <w:bottom w:val="single" w:color="CCCCCC" w:sz="1"/>
              <w:right w:val="single" w:color="CCCCCC" w:sz="1"/>
            </w:tcBorders>
            <w:shd w:fill="F5F7FA" w:val="clear"/>
          </w:tcPr>
          <w:p>
            <w:r>
              <w:rPr>
                <w:b/>
                <w:bCs/>
              </w:rPr>
              <w:t xml:space="preserve">Hettich Plan</w:t>
            </w:r>
          </w:p>
        </w:tc>
        <w:tc>
          <w:tcPr>
            <w:tcW w:type="dxa" w:w="3200"/>
            <w:tcBorders>
              <w:top w:val="single" w:color="CCCCCC" w:sz="1"/>
              <w:left w:val="single" w:color="CCCCCC" w:sz="1"/>
              <w:bottom w:val="single" w:color="CCCCCC" w:sz="1"/>
              <w:right w:val="single" w:color="CCCCCC" w:sz="1"/>
            </w:tcBorders>
            <w:shd w:fill="F5F7FA" w:val="clear"/>
          </w:tcPr>
          <w:p>
            <w:r>
              <w:t xml:space="preserve">Configuration meubles complète, commande intégrée</w:t>
            </w:r>
          </w:p>
        </w:tc>
        <w:tc>
          <w:tcPr>
            <w:tcW w:type="dxa" w:w="3660"/>
            <w:tcBorders>
              <w:top w:val="single" w:color="CCCCCC" w:sz="1"/>
              <w:left w:val="single" w:color="CCCCCC" w:sz="1"/>
              <w:bottom w:val="single" w:color="CCCCCC" w:sz="1"/>
              <w:right w:val="single" w:color="CCCCCC" w:sz="1"/>
            </w:tcBorders>
            <w:shd w:fill="F5F7FA" w:val="clear"/>
          </w:tcPr>
          <w:p>
            <w:r>
              <w:t xml:space="preserve">Workflow de commande optimisé</w:t>
            </w:r>
          </w:p>
        </w:tc>
      </w:tr>
    </w:tbl>
    <w:p>
      <w:pPr>
        <w:spacing w:after="300"/>
      </w:pPr>
    </w:p>
    <w:p>
      <w:pPr>
        <w:pStyle w:val="Heading2"/>
      </w:pPr>
      <w:r>
        <w:t xml:space="preserve">2.2 Enseignements Clés</w:t>
      </w:r>
    </w:p>
    <w:p>
      <w:pPr>
        <w:pStyle w:val="ListParagraph"/>
        <w:numPr>
          <w:ilvl w:val="0"/>
          <w:numId w:val="2"/>
        </w:numPr>
        <w:spacing w:after="100"/>
      </w:pPr>
      <w:r>
        <w:rPr>
          <w:b/>
          <w:bCs/>
        </w:rPr>
        <w:t xml:space="preserve">Interface visuelle : </w:t>
      </w:r>
      <w:r>
        <w:t xml:space="preserve">représentation graphique du panneau avec chants cliquables</w:t>
      </w:r>
    </w:p>
    <w:p>
      <w:pPr>
        <w:pStyle w:val="ListParagraph"/>
        <w:numPr>
          <w:ilvl w:val="0"/>
          <w:numId w:val="2"/>
        </w:numPr>
        <w:spacing w:after="100"/>
      </w:pPr>
      <w:r>
        <w:rPr>
          <w:b/>
          <w:bCs/>
        </w:rPr>
        <w:t xml:space="preserve">Progression guidée : </w:t>
      </w:r>
      <w:r>
        <w:t xml:space="preserve">workflow étape par étape type wizard</w:t>
      </w:r>
    </w:p>
    <w:p>
      <w:pPr>
        <w:pStyle w:val="ListParagraph"/>
        <w:numPr>
          <w:ilvl w:val="0"/>
          <w:numId w:val="2"/>
        </w:numPr>
        <w:spacing w:after="100"/>
      </w:pPr>
      <w:r>
        <w:rPr>
          <w:b/>
          <w:bCs/>
        </w:rPr>
        <w:t xml:space="preserve">Prix temps réel : </w:t>
      </w:r>
      <w:r>
        <w:t xml:space="preserve">affichage du prix actualisé à chaque modification</w:t>
      </w:r>
    </w:p>
    <w:p>
      <w:pPr>
        <w:pStyle w:val="ListParagraph"/>
        <w:numPr>
          <w:ilvl w:val="0"/>
          <w:numId w:val="2"/>
        </w:numPr>
        <w:spacing w:after="100"/>
      </w:pPr>
      <w:r>
        <w:rPr>
          <w:b/>
          <w:bCs/>
        </w:rPr>
        <w:t xml:space="preserve">Export multiple : </w:t>
      </w:r>
      <w:r>
        <w:t xml:space="preserve">PDF, Excel, intégration avec systèmes CAO/FAO</w:t>
      </w:r>
    </w:p>
    <w:p>
      <w:pPr>
        <w:pStyle w:val="ListParagraph"/>
        <w:numPr>
          <w:ilvl w:val="0"/>
          <w:numId w:val="2"/>
        </w:numPr>
        <w:spacing w:after="200"/>
      </w:pPr>
      <w:r>
        <w:rPr>
          <w:b/>
          <w:bCs/>
        </w:rPr>
        <w:t xml:space="preserve">Base de données produits : </w:t>
      </w:r>
      <w:r>
        <w:t xml:space="preserve">catalogue complet de quincaillerie préconfiguré</w:t>
      </w:r>
    </w:p>
    <w:p>
      <w:r>
        <w:br w:type="page"/>
      </w:r>
    </w:p>
    <w:p>
      <w:pPr>
        <w:pStyle w:val="Heading1"/>
      </w:pPr>
      <w:r>
        <w:t xml:space="preserve">3. Spécifications Fonctionnelles</w:t>
      </w:r>
    </w:p>
    <w:p>
      <w:pPr>
        <w:pStyle w:val="Heading2"/>
      </w:pPr>
      <w:r>
        <w:t xml:space="preserve">3.1 Module Configurateur de Pièces</w:t>
      </w:r>
    </w:p>
    <w:p>
      <w:pPr>
        <w:spacing w:after="200"/>
      </w:pPr>
      <w:r>
        <w:t xml:space="preserve">Le cœur de l'application est le configurateur permettant de définir chaque pièce avec ses caractéristiques complètes.</w:t>
      </w:r>
    </w:p>
    <w:p>
      <w:pPr>
        <w:pStyle w:val="Heading3"/>
      </w:pPr>
      <w:r>
        <w:t xml:space="preserve">3.1.1 Étape 1 - Identification</w:t>
      </w:r>
    </w:p>
    <w:p>
      <w:pPr>
        <w:pStyle w:val="ListParagraph"/>
        <w:numPr>
          <w:ilvl w:val="0"/>
          <w:numId w:val="3"/>
        </w:numPr>
        <w:spacing w:after="100"/>
      </w:pPr>
      <w:r>
        <w:rPr>
          <w:b/>
          <w:bCs/>
        </w:rPr>
        <w:t xml:space="preserve">Référence pièce : </w:t>
      </w:r>
      <w:r>
        <w:t xml:space="preserve">champ texte libre pour identifier la pièce (ex: MEUBLE-01-COTE-G)</w:t>
      </w:r>
    </w:p>
    <w:p>
      <w:pPr>
        <w:pStyle w:val="ListParagraph"/>
        <w:numPr>
          <w:ilvl w:val="0"/>
          <w:numId w:val="3"/>
        </w:numPr>
        <w:spacing w:after="100"/>
      </w:pPr>
      <w:r>
        <w:rPr>
          <w:b/>
          <w:bCs/>
        </w:rPr>
        <w:t xml:space="preserve">Quantité : </w:t>
      </w:r>
      <w:r>
        <w:t xml:space="preserve">nombre de pièces identiques à produire</w:t>
      </w:r>
    </w:p>
    <w:p>
      <w:pPr>
        <w:pStyle w:val="ListParagraph"/>
        <w:numPr>
          <w:ilvl w:val="0"/>
          <w:numId w:val="3"/>
        </w:numPr>
        <w:spacing w:after="200"/>
      </w:pPr>
      <w:r>
        <w:rPr>
          <w:b/>
          <w:bCs/>
        </w:rPr>
        <w:t xml:space="preserve">Notes/Commentaires : </w:t>
      </w:r>
      <w:r>
        <w:t xml:space="preserve">champ optionnel pour instructions spéciales</w:t>
      </w:r>
    </w:p>
    <w:p>
      <w:pPr>
        <w:pStyle w:val="Heading3"/>
      </w:pPr>
      <w:r>
        <w:t xml:space="preserve">3.1.2 Étape 2 - Sélection du Panneau</w:t>
      </w:r>
    </w:p>
    <w:p>
      <w:pPr>
        <w:pStyle w:val="ListParagraph"/>
        <w:numPr>
          <w:ilvl w:val="0"/>
          <w:numId w:val="4"/>
        </w:numPr>
        <w:spacing w:after="100"/>
      </w:pPr>
      <w:r>
        <w:rPr>
          <w:b/>
          <w:bCs/>
        </w:rPr>
        <w:t xml:space="preserve">Catalogue panneaux fournisseur : </w:t>
      </w:r>
      <w:r>
        <w:t xml:space="preserve">liste déroulante avec recherche</w:t>
      </w:r>
    </w:p>
    <w:p>
      <w:pPr>
        <w:pStyle w:val="ListParagraph"/>
        <w:numPr>
          <w:ilvl w:val="0"/>
          <w:numId w:val="4"/>
        </w:numPr>
        <w:spacing w:after="100"/>
      </w:pPr>
      <w:r>
        <w:rPr>
          <w:b/>
          <w:bCs/>
        </w:rPr>
        <w:t xml:space="preserve">Filtres : </w:t>
      </w:r>
      <w:r>
        <w:t xml:space="preserve">par matière (mélaminé, MDF, stratifié, plaqué), par épaisseur, par fournisseur</w:t>
      </w:r>
    </w:p>
    <w:p>
      <w:pPr>
        <w:pStyle w:val="ListParagraph"/>
        <w:numPr>
          <w:ilvl w:val="0"/>
          <w:numId w:val="4"/>
        </w:numPr>
        <w:spacing w:after="100"/>
      </w:pPr>
      <w:r>
        <w:rPr>
          <w:b/>
          <w:bCs/>
        </w:rPr>
        <w:t xml:space="preserve">Affichage : </w:t>
      </w:r>
      <w:r>
        <w:t xml:space="preserve">dimensions standard (ex: 2800×2070mm), prix au m², stock disponible</w:t>
      </w:r>
    </w:p>
    <w:p>
      <w:pPr>
        <w:pStyle w:val="ListParagraph"/>
        <w:numPr>
          <w:ilvl w:val="0"/>
          <w:numId w:val="4"/>
        </w:numPr>
        <w:spacing w:after="200"/>
      </w:pPr>
      <w:r>
        <w:rPr>
          <w:b/>
          <w:bCs/>
        </w:rPr>
        <w:t xml:space="preserve">Visualisation : </w:t>
      </w:r>
      <w:r>
        <w:t xml:space="preserve">photo/aperçu du décor du panneau si disponible</w:t>
      </w:r>
    </w:p>
    <w:p>
      <w:pPr>
        <w:pStyle w:val="Heading3"/>
      </w:pPr>
      <w:r>
        <w:t xml:space="preserve">3.1.3 Étape 3 - Dimensions de Découpe</w:t>
      </w:r>
    </w:p>
    <w:p>
      <w:pPr>
        <w:pStyle w:val="ListParagraph"/>
        <w:numPr>
          <w:ilvl w:val="0"/>
          <w:numId w:val="5"/>
        </w:numPr>
        <w:spacing w:after="100"/>
      </w:pPr>
      <w:r>
        <w:rPr>
          <w:b/>
          <w:bCs/>
        </w:rPr>
        <w:t xml:space="preserve">Longueur (mm) : </w:t>
      </w:r>
      <w:r>
        <w:t xml:space="preserve">dimension dans le sens du fil si applicable</w:t>
      </w:r>
    </w:p>
    <w:p>
      <w:pPr>
        <w:pStyle w:val="ListParagraph"/>
        <w:numPr>
          <w:ilvl w:val="0"/>
          <w:numId w:val="5"/>
        </w:numPr>
        <w:spacing w:after="100"/>
      </w:pPr>
      <w:r>
        <w:rPr>
          <w:b/>
          <w:bCs/>
        </w:rPr>
        <w:t xml:space="preserve">Largeur (mm) : </w:t>
      </w:r>
      <w:r>
        <w:t xml:space="preserve">dimension perpendiculaire au fil</w:t>
      </w:r>
    </w:p>
    <w:p>
      <w:pPr>
        <w:pStyle w:val="ListParagraph"/>
        <w:numPr>
          <w:ilvl w:val="0"/>
          <w:numId w:val="5"/>
        </w:numPr>
        <w:spacing w:after="100"/>
      </w:pPr>
      <w:r>
        <w:rPr>
          <w:b/>
          <w:bCs/>
        </w:rPr>
        <w:t xml:space="preserve">Orientation du fil : </w:t>
      </w:r>
      <w:r>
        <w:t xml:space="preserve">choix sens du fil pour panneaux à veinage</w:t>
      </w:r>
    </w:p>
    <w:p>
      <w:pPr>
        <w:pStyle w:val="ListParagraph"/>
        <w:numPr>
          <w:ilvl w:val="0"/>
          <w:numId w:val="5"/>
        </w:numPr>
        <w:spacing w:after="200"/>
      </w:pPr>
      <w:r>
        <w:rPr>
          <w:b/>
          <w:bCs/>
        </w:rPr>
        <w:t xml:space="preserve">Validation : </w:t>
      </w:r>
      <w:r>
        <w:t xml:space="preserve">vérification automatique que la pièce entre dans le panneau source</w:t>
      </w:r>
    </w:p>
    <w:p>
      <w:pPr>
        <w:pStyle w:val="Heading3"/>
      </w:pPr>
      <w:r>
        <w:t xml:space="preserve">3.1.4 Étape 4 - Configuration des Chants</w:t>
      </w:r>
    </w:p>
    <w:p>
      <w:pPr>
        <w:spacing w:after="200"/>
      </w:pPr>
      <w:r>
        <w:t xml:space="preserve">Interface visuelle représentant le panneau vu de dessus avec les 4 chants cliquables (Haut, Bas, Gauche, Droite).</w:t>
      </w:r>
    </w:p>
    <w:p>
      <w:pPr>
        <w:pStyle w:val="ListParagraph"/>
        <w:numPr>
          <w:ilvl w:val="0"/>
          <w:numId w:val="2"/>
        </w:numPr>
        <w:spacing w:after="100"/>
      </w:pPr>
      <w:r>
        <w:rPr>
          <w:b/>
          <w:bCs/>
        </w:rPr>
        <w:t xml:space="preserve">Sélection individuelle : </w:t>
      </w:r>
      <w:r>
        <w:t xml:space="preserve">clic sur chaque chant pour activer/désactiver le placage</w:t>
      </w:r>
    </w:p>
    <w:p>
      <w:pPr>
        <w:pStyle w:val="ListParagraph"/>
        <w:numPr>
          <w:ilvl w:val="0"/>
          <w:numId w:val="2"/>
        </w:numPr>
        <w:spacing w:after="100"/>
      </w:pPr>
      <w:r>
        <w:rPr>
          <w:b/>
          <w:bCs/>
        </w:rPr>
        <w:t xml:space="preserve">Matière du chant : </w:t>
      </w:r>
      <w:r>
        <w:t xml:space="preserve">ABS, mélamine, bois massif, aluminium, etc.</w:t>
      </w:r>
    </w:p>
    <w:p>
      <w:pPr>
        <w:pStyle w:val="ListParagraph"/>
        <w:numPr>
          <w:ilvl w:val="0"/>
          <w:numId w:val="2"/>
        </w:numPr>
        <w:spacing w:after="100"/>
      </w:pPr>
      <w:r>
        <w:rPr>
          <w:b/>
          <w:bCs/>
        </w:rPr>
        <w:t xml:space="preserve">Épaisseur : </w:t>
      </w:r>
      <w:r>
        <w:t xml:space="preserve">0.4mm, 1mm, 2mm, 3mm selon le type</w:t>
      </w:r>
    </w:p>
    <w:p>
      <w:pPr>
        <w:pStyle w:val="ListParagraph"/>
        <w:numPr>
          <w:ilvl w:val="0"/>
          <w:numId w:val="2"/>
        </w:numPr>
        <w:spacing w:after="100"/>
      </w:pPr>
      <w:r>
        <w:rPr>
          <w:b/>
          <w:bCs/>
        </w:rPr>
        <w:t xml:space="preserve">Décor/Couleur : </w:t>
      </w:r>
      <w:r>
        <w:t xml:space="preserve">catalogue de chants disponibles avec correspondance décor panneau</w:t>
      </w:r>
    </w:p>
    <w:p>
      <w:pPr>
        <w:pStyle w:val="ListParagraph"/>
        <w:numPr>
          <w:ilvl w:val="0"/>
          <w:numId w:val="2"/>
        </w:numPr>
        <w:spacing w:after="200"/>
      </w:pPr>
      <w:r>
        <w:rPr>
          <w:b/>
          <w:bCs/>
        </w:rPr>
        <w:t xml:space="preserve">Affichage : </w:t>
      </w:r>
      <w:r>
        <w:t xml:space="preserve">code couleur visuel sur le schéma du panneau</w:t>
      </w:r>
    </w:p>
    <w:p>
      <w:pPr>
        <w:pStyle w:val="Heading3"/>
      </w:pPr>
      <w:r>
        <w:t xml:space="preserve">3.1.5 Étape 5 - Perçages d'Assemblage</w:t>
      </w:r>
    </w:p>
    <w:p>
      <w:pPr>
        <w:spacing w:after="200"/>
      </w:pPr>
      <w:r>
        <w:t xml:space="preserve">Définition des perçages pour l'assemblage des pièces entre elles.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800"/>
        <w:gridCol w:w="2260"/>
      </w:tblGrid>
      <w:tr>
        <w:trPr>
          <w:tblHeader/>
        </w:trPr>
        <w:tc>
          <w:tcPr>
            <w:tcW w:type="dxa" w:w="23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Type</w:t>
            </w:r>
          </w:p>
        </w:tc>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Diamètre</w:t>
            </w:r>
          </w:p>
        </w:tc>
        <w:tc>
          <w:tcPr>
            <w:tcW w:type="dxa" w:w="2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Position</w:t>
            </w:r>
          </w:p>
        </w:tc>
        <w:tc>
          <w:tcPr>
            <w:tcW w:type="dxa" w:w="22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Profondeur</w:t>
            </w:r>
          </w:p>
        </w:tc>
      </w:tr>
      <w:tr>
        <w:tc>
          <w:tcPr>
            <w:tcW w:type="dxa" w:w="2300"/>
            <w:tcBorders>
              <w:top w:val="single" w:color="CCCCCC" w:sz="1"/>
              <w:left w:val="single" w:color="CCCCCC" w:sz="1"/>
              <w:bottom w:val="single" w:color="CCCCCC" w:sz="1"/>
              <w:right w:val="single" w:color="CCCCCC" w:sz="1"/>
            </w:tcBorders>
          </w:tcPr>
          <w:p>
            <w:r>
              <w:t xml:space="preserve">Tourillon face</w:t>
            </w:r>
          </w:p>
        </w:tc>
        <w:tc>
          <w:tcPr>
            <w:tcW w:type="dxa" w:w="2000"/>
            <w:tcBorders>
              <w:top w:val="single" w:color="CCCCCC" w:sz="1"/>
              <w:left w:val="single" w:color="CCCCCC" w:sz="1"/>
              <w:bottom w:val="single" w:color="CCCCCC" w:sz="1"/>
              <w:right w:val="single" w:color="CCCCCC" w:sz="1"/>
            </w:tcBorders>
          </w:tcPr>
          <w:p>
            <w:r>
              <w:t xml:space="preserve">Ø8mm</w:t>
            </w:r>
          </w:p>
        </w:tc>
        <w:tc>
          <w:tcPr>
            <w:tcW w:type="dxa" w:w="2800"/>
            <w:tcBorders>
              <w:top w:val="single" w:color="CCCCCC" w:sz="1"/>
              <w:left w:val="single" w:color="CCCCCC" w:sz="1"/>
              <w:bottom w:val="single" w:color="CCCCCC" w:sz="1"/>
              <w:right w:val="single" w:color="CCCCCC" w:sz="1"/>
            </w:tcBorders>
          </w:tcPr>
          <w:p>
            <w:r>
              <w:t xml:space="preserve">Face dessus/dessous</w:t>
            </w:r>
          </w:p>
        </w:tc>
        <w:tc>
          <w:tcPr>
            <w:tcW w:type="dxa" w:w="2260"/>
            <w:tcBorders>
              <w:top w:val="single" w:color="CCCCCC" w:sz="1"/>
              <w:left w:val="single" w:color="CCCCCC" w:sz="1"/>
              <w:bottom w:val="single" w:color="CCCCCC" w:sz="1"/>
              <w:right w:val="single" w:color="CCCCCC" w:sz="1"/>
            </w:tcBorders>
          </w:tcPr>
          <w:p>
            <w:r>
              <w:t xml:space="preserve">12-15mm</w:t>
            </w:r>
          </w:p>
        </w:tc>
      </w:tr>
      <w:tr>
        <w:tc>
          <w:tcPr>
            <w:tcW w:type="dxa" w:w="2300"/>
            <w:tcBorders>
              <w:top w:val="single" w:color="CCCCCC" w:sz="1"/>
              <w:left w:val="single" w:color="CCCCCC" w:sz="1"/>
              <w:bottom w:val="single" w:color="CCCCCC" w:sz="1"/>
              <w:right w:val="single" w:color="CCCCCC" w:sz="1"/>
            </w:tcBorders>
            <w:shd w:fill="F5F7FA" w:val="clear"/>
          </w:tcPr>
          <w:p>
            <w:r>
              <w:t xml:space="preserve">Tourillon chant</w:t>
            </w:r>
          </w:p>
        </w:tc>
        <w:tc>
          <w:tcPr>
            <w:tcW w:type="dxa" w:w="2000"/>
            <w:tcBorders>
              <w:top w:val="single" w:color="CCCCCC" w:sz="1"/>
              <w:left w:val="single" w:color="CCCCCC" w:sz="1"/>
              <w:bottom w:val="single" w:color="CCCCCC" w:sz="1"/>
              <w:right w:val="single" w:color="CCCCCC" w:sz="1"/>
            </w:tcBorders>
            <w:shd w:fill="F5F7FA" w:val="clear"/>
          </w:tcPr>
          <w:p>
            <w:r>
              <w:t xml:space="preserve">Ø8mm</w:t>
            </w:r>
          </w:p>
        </w:tc>
        <w:tc>
          <w:tcPr>
            <w:tcW w:type="dxa" w:w="2800"/>
            <w:tcBorders>
              <w:top w:val="single" w:color="CCCCCC" w:sz="1"/>
              <w:left w:val="single" w:color="CCCCCC" w:sz="1"/>
              <w:bottom w:val="single" w:color="CCCCCC" w:sz="1"/>
              <w:right w:val="single" w:color="CCCCCC" w:sz="1"/>
            </w:tcBorders>
            <w:shd w:fill="F5F7FA" w:val="clear"/>
          </w:tcPr>
          <w:p>
            <w:r>
              <w:t xml:space="preserve">Chant du panneau</w:t>
            </w:r>
          </w:p>
        </w:tc>
        <w:tc>
          <w:tcPr>
            <w:tcW w:type="dxa" w:w="2260"/>
            <w:tcBorders>
              <w:top w:val="single" w:color="CCCCCC" w:sz="1"/>
              <w:left w:val="single" w:color="CCCCCC" w:sz="1"/>
              <w:bottom w:val="single" w:color="CCCCCC" w:sz="1"/>
              <w:right w:val="single" w:color="CCCCCC" w:sz="1"/>
            </w:tcBorders>
            <w:shd w:fill="F5F7FA" w:val="clear"/>
          </w:tcPr>
          <w:p>
            <w:r>
              <w:t xml:space="preserve">30-35mm</w:t>
            </w:r>
          </w:p>
        </w:tc>
      </w:tr>
      <w:tr>
        <w:tc>
          <w:tcPr>
            <w:tcW w:type="dxa" w:w="2300"/>
            <w:tcBorders>
              <w:top w:val="single" w:color="CCCCCC" w:sz="1"/>
              <w:left w:val="single" w:color="CCCCCC" w:sz="1"/>
              <w:bottom w:val="single" w:color="CCCCCC" w:sz="1"/>
              <w:right w:val="single" w:color="CCCCCC" w:sz="1"/>
            </w:tcBorders>
          </w:tcPr>
          <w:p>
            <w:r>
              <w:t xml:space="preserve">Clamex P</w:t>
            </w:r>
          </w:p>
        </w:tc>
        <w:tc>
          <w:tcPr>
            <w:tcW w:type="dxa" w:w="2000"/>
            <w:tcBorders>
              <w:top w:val="single" w:color="CCCCCC" w:sz="1"/>
              <w:left w:val="single" w:color="CCCCCC" w:sz="1"/>
              <w:bottom w:val="single" w:color="CCCCCC" w:sz="1"/>
              <w:right w:val="single" w:color="CCCCCC" w:sz="1"/>
            </w:tcBorders>
          </w:tcPr>
          <w:p>
            <w:r>
              <w:t xml:space="preserve">Ø20mm</w:t>
            </w:r>
          </w:p>
        </w:tc>
        <w:tc>
          <w:tcPr>
            <w:tcW w:type="dxa" w:w="2800"/>
            <w:tcBorders>
              <w:top w:val="single" w:color="CCCCCC" w:sz="1"/>
              <w:left w:val="single" w:color="CCCCCC" w:sz="1"/>
              <w:bottom w:val="single" w:color="CCCCCC" w:sz="1"/>
              <w:right w:val="single" w:color="CCCCCC" w:sz="1"/>
            </w:tcBorders>
          </w:tcPr>
          <w:p>
            <w:r>
              <w:t xml:space="preserve">Face + fraisage</w:t>
            </w:r>
          </w:p>
        </w:tc>
        <w:tc>
          <w:tcPr>
            <w:tcW w:type="dxa" w:w="2260"/>
            <w:tcBorders>
              <w:top w:val="single" w:color="CCCCCC" w:sz="1"/>
              <w:left w:val="single" w:color="CCCCCC" w:sz="1"/>
              <w:bottom w:val="single" w:color="CCCCCC" w:sz="1"/>
              <w:right w:val="single" w:color="CCCCCC" w:sz="1"/>
            </w:tcBorders>
          </w:tcPr>
          <w:p>
            <w:r>
              <w:t xml:space="preserve">Selon modèle</w:t>
            </w:r>
          </w:p>
        </w:tc>
      </w:tr>
      <w:tr>
        <w:tc>
          <w:tcPr>
            <w:tcW w:type="dxa" w:w="2300"/>
            <w:tcBorders>
              <w:top w:val="single" w:color="CCCCCC" w:sz="1"/>
              <w:left w:val="single" w:color="CCCCCC" w:sz="1"/>
              <w:bottom w:val="single" w:color="CCCCCC" w:sz="1"/>
              <w:right w:val="single" w:color="CCCCCC" w:sz="1"/>
            </w:tcBorders>
            <w:shd w:fill="F5F7FA" w:val="clear"/>
          </w:tcPr>
          <w:p>
            <w:r>
              <w:t xml:space="preserve">Cabineo</w:t>
            </w:r>
          </w:p>
        </w:tc>
        <w:tc>
          <w:tcPr>
            <w:tcW w:type="dxa" w:w="2000"/>
            <w:tcBorders>
              <w:top w:val="single" w:color="CCCCCC" w:sz="1"/>
              <w:left w:val="single" w:color="CCCCCC" w:sz="1"/>
              <w:bottom w:val="single" w:color="CCCCCC" w:sz="1"/>
              <w:right w:val="single" w:color="CCCCCC" w:sz="1"/>
            </w:tcBorders>
            <w:shd w:fill="F5F7FA" w:val="clear"/>
          </w:tcPr>
          <w:p>
            <w:r>
              <w:t xml:space="preserve">Spécifique</w:t>
            </w:r>
          </w:p>
        </w:tc>
        <w:tc>
          <w:tcPr>
            <w:tcW w:type="dxa" w:w="2800"/>
            <w:tcBorders>
              <w:top w:val="single" w:color="CCCCCC" w:sz="1"/>
              <w:left w:val="single" w:color="CCCCCC" w:sz="1"/>
              <w:bottom w:val="single" w:color="CCCCCC" w:sz="1"/>
              <w:right w:val="single" w:color="CCCCCC" w:sz="1"/>
            </w:tcBorders>
            <w:shd w:fill="F5F7FA" w:val="clear"/>
          </w:tcPr>
          <w:p>
            <w:r>
              <w:t xml:space="preserve">Face/Chant</w:t>
            </w:r>
          </w:p>
        </w:tc>
        <w:tc>
          <w:tcPr>
            <w:tcW w:type="dxa" w:w="2260"/>
            <w:tcBorders>
              <w:top w:val="single" w:color="CCCCCC" w:sz="1"/>
              <w:left w:val="single" w:color="CCCCCC" w:sz="1"/>
              <w:bottom w:val="single" w:color="CCCCCC" w:sz="1"/>
              <w:right w:val="single" w:color="CCCCCC" w:sz="1"/>
            </w:tcBorders>
            <w:shd w:fill="F5F7FA" w:val="clear"/>
          </w:tcPr>
          <w:p>
            <w:r>
              <w:t xml:space="preserve">Selon modèle</w:t>
            </w:r>
          </w:p>
        </w:tc>
      </w:tr>
      <w:tr>
        <w:tc>
          <w:tcPr>
            <w:tcW w:type="dxa" w:w="2300"/>
            <w:tcBorders>
              <w:top w:val="single" w:color="CCCCCC" w:sz="1"/>
              <w:left w:val="single" w:color="CCCCCC" w:sz="1"/>
              <w:bottom w:val="single" w:color="CCCCCC" w:sz="1"/>
              <w:right w:val="single" w:color="CCCCCC" w:sz="1"/>
            </w:tcBorders>
          </w:tcPr>
          <w:p>
            <w:r>
              <w:t xml:space="preserve">Lamello</w:t>
            </w:r>
          </w:p>
        </w:tc>
        <w:tc>
          <w:tcPr>
            <w:tcW w:type="dxa" w:w="2000"/>
            <w:tcBorders>
              <w:top w:val="single" w:color="CCCCCC" w:sz="1"/>
              <w:left w:val="single" w:color="CCCCCC" w:sz="1"/>
              <w:bottom w:val="single" w:color="CCCCCC" w:sz="1"/>
              <w:right w:val="single" w:color="CCCCCC" w:sz="1"/>
            </w:tcBorders>
          </w:tcPr>
          <w:p>
            <w:r>
              <w:t xml:space="preserve">Rainure</w:t>
            </w:r>
          </w:p>
        </w:tc>
        <w:tc>
          <w:tcPr>
            <w:tcW w:type="dxa" w:w="2800"/>
            <w:tcBorders>
              <w:top w:val="single" w:color="CCCCCC" w:sz="1"/>
              <w:left w:val="single" w:color="CCCCCC" w:sz="1"/>
              <w:bottom w:val="single" w:color="CCCCCC" w:sz="1"/>
              <w:right w:val="single" w:color="CCCCCC" w:sz="1"/>
            </w:tcBorders>
          </w:tcPr>
          <w:p>
            <w:r>
              <w:t xml:space="preserve">Chant</w:t>
            </w:r>
          </w:p>
        </w:tc>
        <w:tc>
          <w:tcPr>
            <w:tcW w:type="dxa" w:w="2260"/>
            <w:tcBorders>
              <w:top w:val="single" w:color="CCCCCC" w:sz="1"/>
              <w:left w:val="single" w:color="CCCCCC" w:sz="1"/>
              <w:bottom w:val="single" w:color="CCCCCC" w:sz="1"/>
              <w:right w:val="single" w:color="CCCCCC" w:sz="1"/>
            </w:tcBorders>
          </w:tcPr>
          <w:p>
            <w:r>
              <w:t xml:space="preserve">4mm profondeur</w:t>
            </w:r>
          </w:p>
        </w:tc>
      </w:tr>
      <w:tr>
        <w:tc>
          <w:tcPr>
            <w:tcW w:type="dxa" w:w="2300"/>
            <w:tcBorders>
              <w:top w:val="single" w:color="CCCCCC" w:sz="1"/>
              <w:left w:val="single" w:color="CCCCCC" w:sz="1"/>
              <w:bottom w:val="single" w:color="CCCCCC" w:sz="1"/>
              <w:right w:val="single" w:color="CCCCCC" w:sz="1"/>
            </w:tcBorders>
            <w:shd w:fill="F5F7FA" w:val="clear"/>
          </w:tcPr>
          <w:p>
            <w:r>
              <w:t xml:space="preserve">Vissage face</w:t>
            </w:r>
          </w:p>
        </w:tc>
        <w:tc>
          <w:tcPr>
            <w:tcW w:type="dxa" w:w="2000"/>
            <w:tcBorders>
              <w:top w:val="single" w:color="CCCCCC" w:sz="1"/>
              <w:left w:val="single" w:color="CCCCCC" w:sz="1"/>
              <w:bottom w:val="single" w:color="CCCCCC" w:sz="1"/>
              <w:right w:val="single" w:color="CCCCCC" w:sz="1"/>
            </w:tcBorders>
            <w:shd w:fill="F5F7FA" w:val="clear"/>
          </w:tcPr>
          <w:p>
            <w:r>
              <w:t xml:space="preserve">Ø4mm</w:t>
            </w:r>
          </w:p>
        </w:tc>
        <w:tc>
          <w:tcPr>
            <w:tcW w:type="dxa" w:w="2800"/>
            <w:tcBorders>
              <w:top w:val="single" w:color="CCCCCC" w:sz="1"/>
              <w:left w:val="single" w:color="CCCCCC" w:sz="1"/>
              <w:bottom w:val="single" w:color="CCCCCC" w:sz="1"/>
              <w:right w:val="single" w:color="CCCCCC" w:sz="1"/>
            </w:tcBorders>
            <w:shd w:fill="F5F7FA" w:val="clear"/>
          </w:tcPr>
          <w:p>
            <w:r>
              <w:t xml:space="preserve">Face</w:t>
            </w:r>
          </w:p>
        </w:tc>
        <w:tc>
          <w:tcPr>
            <w:tcW w:type="dxa" w:w="2260"/>
            <w:tcBorders>
              <w:top w:val="single" w:color="CCCCCC" w:sz="1"/>
              <w:left w:val="single" w:color="CCCCCC" w:sz="1"/>
              <w:bottom w:val="single" w:color="CCCCCC" w:sz="1"/>
              <w:right w:val="single" w:color="CCCCCC" w:sz="1"/>
            </w:tcBorders>
            <w:shd w:fill="F5F7FA" w:val="clear"/>
          </w:tcPr>
          <w:p>
            <w:r>
              <w:t xml:space="preserve">Traversant</w:t>
            </w:r>
          </w:p>
        </w:tc>
      </w:tr>
      <w:tr>
        <w:tc>
          <w:tcPr>
            <w:tcW w:type="dxa" w:w="2300"/>
            <w:tcBorders>
              <w:top w:val="single" w:color="CCCCCC" w:sz="1"/>
              <w:left w:val="single" w:color="CCCCCC" w:sz="1"/>
              <w:bottom w:val="single" w:color="CCCCCC" w:sz="1"/>
              <w:right w:val="single" w:color="CCCCCC" w:sz="1"/>
            </w:tcBorders>
          </w:tcPr>
          <w:p>
            <w:r>
              <w:t xml:space="preserve">Avant-trou chant</w:t>
            </w:r>
          </w:p>
        </w:tc>
        <w:tc>
          <w:tcPr>
            <w:tcW w:type="dxa" w:w="2000"/>
            <w:tcBorders>
              <w:top w:val="single" w:color="CCCCCC" w:sz="1"/>
              <w:left w:val="single" w:color="CCCCCC" w:sz="1"/>
              <w:bottom w:val="single" w:color="CCCCCC" w:sz="1"/>
              <w:right w:val="single" w:color="CCCCCC" w:sz="1"/>
            </w:tcBorders>
          </w:tcPr>
          <w:p>
            <w:r>
              <w:t xml:space="preserve">Ø3mm</w:t>
            </w:r>
          </w:p>
        </w:tc>
        <w:tc>
          <w:tcPr>
            <w:tcW w:type="dxa" w:w="2800"/>
            <w:tcBorders>
              <w:top w:val="single" w:color="CCCCCC" w:sz="1"/>
              <w:left w:val="single" w:color="CCCCCC" w:sz="1"/>
              <w:bottom w:val="single" w:color="CCCCCC" w:sz="1"/>
              <w:right w:val="single" w:color="CCCCCC" w:sz="1"/>
            </w:tcBorders>
          </w:tcPr>
          <w:p>
            <w:r>
              <w:t xml:space="preserve">Chant</w:t>
            </w:r>
          </w:p>
        </w:tc>
        <w:tc>
          <w:tcPr>
            <w:tcW w:type="dxa" w:w="2260"/>
            <w:tcBorders>
              <w:top w:val="single" w:color="CCCCCC" w:sz="1"/>
              <w:left w:val="single" w:color="CCCCCC" w:sz="1"/>
              <w:bottom w:val="single" w:color="CCCCCC" w:sz="1"/>
              <w:right w:val="single" w:color="CCCCCC" w:sz="1"/>
            </w:tcBorders>
          </w:tcPr>
          <w:p>
            <w:r>
              <w:t xml:space="preserve">25-30mm</w:t>
            </w:r>
          </w:p>
        </w:tc>
      </w:tr>
    </w:tbl>
    <w:p>
      <w:pPr>
        <w:spacing w:after="300"/>
      </w:pPr>
    </w:p>
    <w:p>
      <w:pPr>
        <w:pStyle w:val="Heading3"/>
      </w:pPr>
      <w:r>
        <w:t xml:space="preserve">3.1.6 Étape 6 - Quincaillerie</w:t>
      </w:r>
    </w:p>
    <w:p>
      <w:pPr>
        <w:spacing w:after="200"/>
      </w:pPr>
      <w:r>
        <w:t xml:space="preserve">Perçages pour la quincaillerie de meubles selon les catalogues des fabricants.</w:t>
      </w:r>
    </w:p>
    <w:p>
      <w:pPr>
        <w:pStyle w:val="ListParagraph"/>
        <w:numPr>
          <w:ilvl w:val="0"/>
          <w:numId w:val="2"/>
        </w:numPr>
        <w:spacing w:after="100"/>
      </w:pPr>
      <w:r>
        <w:rPr>
          <w:b/>
          <w:bCs/>
        </w:rPr>
        <w:t xml:space="preserve">BLUM : </w:t>
      </w:r>
      <w:r>
        <w:t xml:space="preserve">charnières Clip Top, coulisses TANDEM/MOVENTO, relevables AVENTOS</w:t>
      </w:r>
    </w:p>
    <w:p>
      <w:pPr>
        <w:pStyle w:val="ListParagraph"/>
        <w:numPr>
          <w:ilvl w:val="0"/>
          <w:numId w:val="2"/>
        </w:numPr>
        <w:spacing w:after="100"/>
      </w:pPr>
      <w:r>
        <w:rPr>
          <w:b/>
          <w:bCs/>
        </w:rPr>
        <w:t xml:space="preserve">HETTICH : </w:t>
      </w:r>
      <w:r>
        <w:t xml:space="preserve">charnières Sensys, coulisses ArciTech/InnoTech</w:t>
      </w:r>
    </w:p>
    <w:p>
      <w:pPr>
        <w:pStyle w:val="ListParagraph"/>
        <w:numPr>
          <w:ilvl w:val="0"/>
          <w:numId w:val="2"/>
        </w:numPr>
        <w:spacing w:after="200"/>
      </w:pPr>
      <w:r>
        <w:rPr>
          <w:b/>
          <w:bCs/>
        </w:rPr>
        <w:t xml:space="preserve">GRASS : </w:t>
      </w:r>
      <w:r>
        <w:t xml:space="preserve">charnières Tiomos, coulisses Dynapro</w:t>
      </w:r>
    </w:p>
    <w:p>
      <w:pPr>
        <w:spacing w:after="200"/>
      </w:pPr>
      <w:r>
        <w:t xml:space="preserve">Pour chaque type de quincaillerie, l'utilisateur sélectionne le modèle et positionne les perçages sur une représentation visuelle du panneau.</w:t>
      </w:r>
    </w:p>
    <w:p>
      <w:pPr>
        <w:pStyle w:val="Heading3"/>
      </w:pPr>
      <w:r>
        <w:t xml:space="preserve">3.1.7 Étape 7 - Usinages Spéciaux</w:t>
      </w:r>
    </w:p>
    <w:p>
      <w:pPr>
        <w:pStyle w:val="ListParagraph"/>
        <w:numPr>
          <w:ilvl w:val="0"/>
          <w:numId w:val="2"/>
        </w:numPr>
        <w:spacing w:after="100"/>
      </w:pPr>
      <w:r>
        <w:rPr>
          <w:b/>
          <w:bCs/>
        </w:rPr>
        <w:t xml:space="preserve">Défonçage : </w:t>
      </w:r>
      <w:r>
        <w:t xml:space="preserve">rainures, feuillures, embrèvements</w:t>
      </w:r>
    </w:p>
    <w:p>
      <w:pPr>
        <w:pStyle w:val="ListParagraph"/>
        <w:numPr>
          <w:ilvl w:val="0"/>
          <w:numId w:val="2"/>
        </w:numPr>
        <w:spacing w:after="100"/>
      </w:pPr>
      <w:r>
        <w:rPr>
          <w:b/>
          <w:bCs/>
        </w:rPr>
        <w:t xml:space="preserve">Usinage profil : </w:t>
      </w:r>
      <w:r>
        <w:t xml:space="preserve">profils de poignée intégrée, gorges</w:t>
      </w:r>
    </w:p>
    <w:p>
      <w:pPr>
        <w:pStyle w:val="ListParagraph"/>
        <w:numPr>
          <w:ilvl w:val="0"/>
          <w:numId w:val="2"/>
        </w:numPr>
        <w:spacing w:after="100"/>
      </w:pPr>
      <w:r>
        <w:rPr>
          <w:b/>
          <w:bCs/>
        </w:rPr>
        <w:t xml:space="preserve">Découpes : </w:t>
      </w:r>
      <w:r>
        <w:t xml:space="preserve">encoches, arrondis, formes spéciales</w:t>
      </w:r>
    </w:p>
    <w:p>
      <w:pPr>
        <w:pStyle w:val="ListParagraph"/>
        <w:numPr>
          <w:ilvl w:val="0"/>
          <w:numId w:val="2"/>
        </w:numPr>
        <w:spacing w:after="200"/>
      </w:pPr>
      <w:r>
        <w:rPr>
          <w:b/>
          <w:bCs/>
        </w:rPr>
        <w:t xml:space="preserve">Perçages spéciaux : </w:t>
      </w:r>
      <w:r>
        <w:t xml:space="preserve">passage de câbles, aérations</w:t>
      </w:r>
    </w:p>
    <w:p>
      <w:pPr>
        <w:pStyle w:val="Heading3"/>
      </w:pPr>
      <w:r>
        <w:t xml:space="preserve">3.1.8 Étape 8 - Finition</w:t>
      </w:r>
    </w:p>
    <w:p>
      <w:pPr>
        <w:spacing w:after="200"/>
      </w:pPr>
      <w:r>
        <w:t xml:space="preserve">Applicable uniquement aux panneaux bruts (MDF, panneaux plaqués bois).</w:t>
      </w:r>
    </w:p>
    <w:p>
      <w:pPr>
        <w:pStyle w:val="ListParagraph"/>
        <w:numPr>
          <w:ilvl w:val="0"/>
          <w:numId w:val="2"/>
        </w:numPr>
        <w:spacing w:after="100"/>
      </w:pPr>
      <w:r>
        <w:rPr>
          <w:b/>
          <w:bCs/>
        </w:rPr>
        <w:t xml:space="preserve">Laquage : </w:t>
      </w:r>
      <w:r>
        <w:t xml:space="preserve">choix de la teinte RAL/NCS, finition mate/satinée/brillante</w:t>
      </w:r>
    </w:p>
    <w:p>
      <w:pPr>
        <w:pStyle w:val="ListParagraph"/>
        <w:numPr>
          <w:ilvl w:val="0"/>
          <w:numId w:val="2"/>
        </w:numPr>
        <w:spacing w:after="100"/>
      </w:pPr>
      <w:r>
        <w:rPr>
          <w:b/>
          <w:bCs/>
        </w:rPr>
        <w:t xml:space="preserve">Vernissage : </w:t>
      </w:r>
      <w:r>
        <w:t xml:space="preserve">vernis incolore mat/satiné/brillant</w:t>
      </w:r>
    </w:p>
    <w:p>
      <w:pPr>
        <w:pStyle w:val="ListParagraph"/>
        <w:numPr>
          <w:ilvl w:val="0"/>
          <w:numId w:val="2"/>
        </w:numPr>
        <w:spacing w:after="100"/>
      </w:pPr>
      <w:r>
        <w:rPr>
          <w:b/>
          <w:bCs/>
        </w:rPr>
        <w:t xml:space="preserve">Teinte + Vernis : </w:t>
      </w:r>
      <w:r>
        <w:t xml:space="preserve">teinte bois + couche de protection</w:t>
      </w:r>
    </w:p>
    <w:p>
      <w:pPr>
        <w:pStyle w:val="ListParagraph"/>
        <w:numPr>
          <w:ilvl w:val="0"/>
          <w:numId w:val="2"/>
        </w:numPr>
        <w:spacing w:after="200"/>
      </w:pPr>
      <w:r>
        <w:rPr>
          <w:b/>
          <w:bCs/>
        </w:rPr>
        <w:t xml:space="preserve">Faces à traiter : </w:t>
      </w:r>
      <w:r>
        <w:t xml:space="preserve">une face, deux faces, chants inclus</w:t>
      </w:r>
    </w:p>
    <w:p>
      <w:r>
        <w:br w:type="page"/>
      </w:r>
    </w:p>
    <w:p>
      <w:pPr>
        <w:pStyle w:val="Heading2"/>
      </w:pPr>
      <w:r>
        <w:t xml:space="preserve">3.2 Module Gestion des Commandes</w:t>
      </w:r>
    </w:p>
    <w:p>
      <w:pPr>
        <w:pStyle w:val="Heading3"/>
      </w:pPr>
      <w:r>
        <w:t xml:space="preserve">3.2.1 Panier et Récapitulatif</w:t>
      </w:r>
    </w:p>
    <w:p>
      <w:pPr>
        <w:pStyle w:val="ListParagraph"/>
        <w:numPr>
          <w:ilvl w:val="0"/>
          <w:numId w:val="2"/>
        </w:numPr>
        <w:spacing w:after="100"/>
      </w:pPr>
      <w:r>
        <w:t xml:space="preserve">Liste de toutes les pièces configurées avec aperçu rapide</w:t>
      </w:r>
    </w:p>
    <w:p>
      <w:pPr>
        <w:pStyle w:val="ListParagraph"/>
        <w:numPr>
          <w:ilvl w:val="0"/>
          <w:numId w:val="2"/>
        </w:numPr>
        <w:spacing w:after="100"/>
      </w:pPr>
      <w:r>
        <w:t xml:space="preserve">Modification/duplication/suppression de pièces</w:t>
      </w:r>
    </w:p>
    <w:p>
      <w:pPr>
        <w:pStyle w:val="ListParagraph"/>
        <w:numPr>
          <w:ilvl w:val="0"/>
          <w:numId w:val="2"/>
        </w:numPr>
        <w:spacing w:after="100"/>
      </w:pPr>
      <w:r>
        <w:t xml:space="preserve">Calcul du prix total en temps réel</w:t>
      </w:r>
    </w:p>
    <w:p>
      <w:pPr>
        <w:pStyle w:val="ListParagraph"/>
        <w:numPr>
          <w:ilvl w:val="0"/>
          <w:numId w:val="2"/>
        </w:numPr>
        <w:spacing w:after="200"/>
      </w:pPr>
      <w:r>
        <w:t xml:space="preserve">Regroupement par projet/affaire</w:t>
      </w:r>
    </w:p>
    <w:p>
      <w:pPr>
        <w:pStyle w:val="Heading3"/>
      </w:pPr>
      <w:r>
        <w:t xml:space="preserve">3.2.2 Validation et Commande</w:t>
      </w:r>
    </w:p>
    <w:p>
      <w:pPr>
        <w:pStyle w:val="ListParagraph"/>
        <w:numPr>
          <w:ilvl w:val="0"/>
          <w:numId w:val="2"/>
        </w:numPr>
        <w:spacing w:after="100"/>
      </w:pPr>
      <w:r>
        <w:t xml:space="preserve">Vérification technique automatique (compatibilité perçages, dimensions)</w:t>
      </w:r>
    </w:p>
    <w:p>
      <w:pPr>
        <w:pStyle w:val="ListParagraph"/>
        <w:numPr>
          <w:ilvl w:val="0"/>
          <w:numId w:val="2"/>
        </w:numPr>
        <w:spacing w:after="100"/>
      </w:pPr>
      <w:r>
        <w:t xml:space="preserve">Génération d'un devis PDF téléchargeable</w:t>
      </w:r>
    </w:p>
    <w:p>
      <w:pPr>
        <w:pStyle w:val="ListParagraph"/>
        <w:numPr>
          <w:ilvl w:val="0"/>
          <w:numId w:val="2"/>
        </w:numPr>
        <w:spacing w:after="100"/>
      </w:pPr>
      <w:r>
        <w:t xml:space="preserve">Validation de commande avec conditions générales de vente</w:t>
      </w:r>
    </w:p>
    <w:p>
      <w:pPr>
        <w:pStyle w:val="ListParagraph"/>
        <w:numPr>
          <w:ilvl w:val="0"/>
          <w:numId w:val="2"/>
        </w:numPr>
        <w:spacing w:after="200"/>
      </w:pPr>
      <w:r>
        <w:t xml:space="preserve">Paiement en ligne (optionnel) ou commande sur compte</w:t>
      </w:r>
    </w:p>
    <w:p>
      <w:pPr>
        <w:pStyle w:val="Heading3"/>
      </w:pPr>
      <w:r>
        <w:t xml:space="preserve">3.2.3 Export Production</w:t>
      </w:r>
    </w:p>
    <w:p>
      <w:pPr>
        <w:pStyle w:val="ListParagraph"/>
        <w:numPr>
          <w:ilvl w:val="0"/>
          <w:numId w:val="2"/>
        </w:numPr>
        <w:spacing w:after="100"/>
      </w:pPr>
      <w:r>
        <w:t xml:space="preserve">Fiche de débit PDF détaillée par pièce</w:t>
      </w:r>
    </w:p>
    <w:p>
      <w:pPr>
        <w:pStyle w:val="ListParagraph"/>
        <w:numPr>
          <w:ilvl w:val="0"/>
          <w:numId w:val="2"/>
        </w:numPr>
        <w:spacing w:after="100"/>
      </w:pPr>
      <w:r>
        <w:t xml:space="preserve">Export Excel/CSV pour intégration ERP</w:t>
      </w:r>
    </w:p>
    <w:p>
      <w:pPr>
        <w:pStyle w:val="ListParagraph"/>
        <w:numPr>
          <w:ilvl w:val="0"/>
          <w:numId w:val="2"/>
        </w:numPr>
        <w:spacing w:after="100"/>
      </w:pPr>
      <w:r>
        <w:t xml:space="preserve">Export format machine CNC (DXF, BXF)</w:t>
      </w:r>
    </w:p>
    <w:p>
      <w:pPr>
        <w:pStyle w:val="ListParagraph"/>
        <w:numPr>
          <w:ilvl w:val="0"/>
          <w:numId w:val="2"/>
        </w:numPr>
        <w:spacing w:after="200"/>
      </w:pPr>
      <w:r>
        <w:t xml:space="preserve">Étiquettes avec QR code pour traçabilité</w:t>
      </w:r>
    </w:p>
    <w:p>
      <w:r>
        <w:br w:type="page"/>
      </w:r>
    </w:p>
    <w:p>
      <w:pPr>
        <w:pStyle w:val="Heading1"/>
      </w:pPr>
      <w:r>
        <w:t xml:space="preserve">4. Architecture Technique Recommandée</w:t>
      </w:r>
    </w:p>
    <w:p>
      <w:pPr>
        <w:pStyle w:val="Heading2"/>
      </w:pPr>
      <w:r>
        <w:t xml:space="preserve">4.1 Stack Technologique</w:t>
      </w:r>
    </w:p>
    <w:p>
      <w:pPr>
        <w:spacing w:after="200"/>
      </w:pPr>
      <w:r>
        <w:t xml:space="preserve">Après analyse des besoins et des meilleures pratiques du marché, voici la stack recommandée pour ce projet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Couche</w:t>
            </w:r>
          </w:p>
        </w:tc>
        <w:tc>
          <w:tcPr>
            <w:tcW w:type="dxa" w:w="25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Technologie</w:t>
            </w:r>
          </w:p>
        </w:tc>
        <w:tc>
          <w:tcPr>
            <w:tcW w:type="dxa" w:w="46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Justification</w:t>
            </w:r>
          </w:p>
        </w:tc>
      </w:tr>
      <w:tr>
        <w:tc>
          <w:tcPr>
            <w:tcW w:type="dxa" w:w="2200"/>
            <w:tcBorders>
              <w:top w:val="single" w:color="CCCCCC" w:sz="1"/>
              <w:left w:val="single" w:color="CCCCCC" w:sz="1"/>
              <w:bottom w:val="single" w:color="CCCCCC" w:sz="1"/>
              <w:right w:val="single" w:color="CCCCCC" w:sz="1"/>
            </w:tcBorders>
          </w:tcPr>
          <w:p>
            <w:r>
              <w:rPr>
                <w:b/>
                <w:bCs/>
              </w:rPr>
              <w:t xml:space="preserve">Frontend</w:t>
            </w:r>
          </w:p>
        </w:tc>
        <w:tc>
          <w:tcPr>
            <w:tcW w:type="dxa" w:w="2500"/>
            <w:tcBorders>
              <w:top w:val="single" w:color="CCCCCC" w:sz="1"/>
              <w:left w:val="single" w:color="CCCCCC" w:sz="1"/>
              <w:bottom w:val="single" w:color="CCCCCC" w:sz="1"/>
              <w:right w:val="single" w:color="CCCCCC" w:sz="1"/>
            </w:tcBorders>
          </w:tcPr>
          <w:p>
            <w:r>
              <w:t xml:space="preserve">Next.js 14+ (React)</w:t>
            </w:r>
          </w:p>
        </w:tc>
        <w:tc>
          <w:tcPr>
            <w:tcW w:type="dxa" w:w="4660"/>
            <w:tcBorders>
              <w:top w:val="single" w:color="CCCCCC" w:sz="1"/>
              <w:left w:val="single" w:color="CCCCCC" w:sz="1"/>
              <w:bottom w:val="single" w:color="CCCCCC" w:sz="1"/>
              <w:right w:val="single" w:color="CCCCCC" w:sz="1"/>
            </w:tcBorders>
          </w:tcPr>
          <w:p>
            <w:r>
              <w:t xml:space="preserve">SSR pour SEO, performance optimale, écosystème riche</w:t>
            </w:r>
          </w:p>
        </w:tc>
      </w:tr>
      <w:tr>
        <w:tc>
          <w:tcPr>
            <w:tcW w:type="dxa" w:w="2200"/>
            <w:tcBorders>
              <w:top w:val="single" w:color="CCCCCC" w:sz="1"/>
              <w:left w:val="single" w:color="CCCCCC" w:sz="1"/>
              <w:bottom w:val="single" w:color="CCCCCC" w:sz="1"/>
              <w:right w:val="single" w:color="CCCCCC" w:sz="1"/>
            </w:tcBorders>
            <w:shd w:fill="F5F7FA" w:val="clear"/>
          </w:tcPr>
          <w:p>
            <w:r>
              <w:rPr>
                <w:b/>
                <w:bCs/>
              </w:rPr>
              <w:t xml:space="preserve">UI Framework</w:t>
            </w:r>
          </w:p>
        </w:tc>
        <w:tc>
          <w:tcPr>
            <w:tcW w:type="dxa" w:w="2500"/>
            <w:tcBorders>
              <w:top w:val="single" w:color="CCCCCC" w:sz="1"/>
              <w:left w:val="single" w:color="CCCCCC" w:sz="1"/>
              <w:bottom w:val="single" w:color="CCCCCC" w:sz="1"/>
              <w:right w:val="single" w:color="CCCCCC" w:sz="1"/>
            </w:tcBorders>
            <w:shd w:fill="F5F7FA" w:val="clear"/>
          </w:tcPr>
          <w:p>
            <w:r>
              <w:t xml:space="preserve">Tailwind CSS + shadcn/ui</w:t>
            </w:r>
          </w:p>
        </w:tc>
        <w:tc>
          <w:tcPr>
            <w:tcW w:type="dxa" w:w="4660"/>
            <w:tcBorders>
              <w:top w:val="single" w:color="CCCCCC" w:sz="1"/>
              <w:left w:val="single" w:color="CCCCCC" w:sz="1"/>
              <w:bottom w:val="single" w:color="CCCCCC" w:sz="1"/>
              <w:right w:val="single" w:color="CCCCCC" w:sz="1"/>
            </w:tcBorders>
            <w:shd w:fill="F5F7FA" w:val="clear"/>
          </w:tcPr>
          <w:p>
            <w:r>
              <w:t xml:space="preserve">Design system moderne, composants accessibles, personnalisable</w:t>
            </w:r>
          </w:p>
        </w:tc>
      </w:tr>
      <w:tr>
        <w:tc>
          <w:tcPr>
            <w:tcW w:type="dxa" w:w="2200"/>
            <w:tcBorders>
              <w:top w:val="single" w:color="CCCCCC" w:sz="1"/>
              <w:left w:val="single" w:color="CCCCCC" w:sz="1"/>
              <w:bottom w:val="single" w:color="CCCCCC" w:sz="1"/>
              <w:right w:val="single" w:color="CCCCCC" w:sz="1"/>
            </w:tcBorders>
          </w:tcPr>
          <w:p>
            <w:r>
              <w:rPr>
                <w:b/>
                <w:bCs/>
              </w:rPr>
              <w:t xml:space="preserve">State Management</w:t>
            </w:r>
          </w:p>
        </w:tc>
        <w:tc>
          <w:tcPr>
            <w:tcW w:type="dxa" w:w="2500"/>
            <w:tcBorders>
              <w:top w:val="single" w:color="CCCCCC" w:sz="1"/>
              <w:left w:val="single" w:color="CCCCCC" w:sz="1"/>
              <w:bottom w:val="single" w:color="CCCCCC" w:sz="1"/>
              <w:right w:val="single" w:color="CCCCCC" w:sz="1"/>
            </w:tcBorders>
          </w:tcPr>
          <w:p>
            <w:r>
              <w:t xml:space="preserve">Zustand + TanStack Query</w:t>
            </w:r>
          </w:p>
        </w:tc>
        <w:tc>
          <w:tcPr>
            <w:tcW w:type="dxa" w:w="4660"/>
            <w:tcBorders>
              <w:top w:val="single" w:color="CCCCCC" w:sz="1"/>
              <w:left w:val="single" w:color="CCCCCC" w:sz="1"/>
              <w:bottom w:val="single" w:color="CCCCCC" w:sz="1"/>
              <w:right w:val="single" w:color="CCCCCC" w:sz="1"/>
            </w:tcBorders>
          </w:tcPr>
          <w:p>
            <w:r>
              <w:t xml:space="preserve">Gestion état simple et performante, cache serveur optimisé</w:t>
            </w:r>
          </w:p>
        </w:tc>
      </w:tr>
      <w:tr>
        <w:tc>
          <w:tcPr>
            <w:tcW w:type="dxa" w:w="2200"/>
            <w:tcBorders>
              <w:top w:val="single" w:color="CCCCCC" w:sz="1"/>
              <w:left w:val="single" w:color="CCCCCC" w:sz="1"/>
              <w:bottom w:val="single" w:color="CCCCCC" w:sz="1"/>
              <w:right w:val="single" w:color="CCCCCC" w:sz="1"/>
            </w:tcBorders>
            <w:shd w:fill="F5F7FA" w:val="clear"/>
          </w:tcPr>
          <w:p>
            <w:r>
              <w:rPr>
                <w:b/>
                <w:bCs/>
              </w:rPr>
              <w:t xml:space="preserve">Backend</w:t>
            </w:r>
          </w:p>
        </w:tc>
        <w:tc>
          <w:tcPr>
            <w:tcW w:type="dxa" w:w="2500"/>
            <w:tcBorders>
              <w:top w:val="single" w:color="CCCCCC" w:sz="1"/>
              <w:left w:val="single" w:color="CCCCCC" w:sz="1"/>
              <w:bottom w:val="single" w:color="CCCCCC" w:sz="1"/>
              <w:right w:val="single" w:color="CCCCCC" w:sz="1"/>
            </w:tcBorders>
            <w:shd w:fill="F5F7FA" w:val="clear"/>
          </w:tcPr>
          <w:p>
            <w:r>
              <w:t xml:space="preserve">Node.js + tRPC ou NestJS</w:t>
            </w:r>
          </w:p>
        </w:tc>
        <w:tc>
          <w:tcPr>
            <w:tcW w:type="dxa" w:w="4660"/>
            <w:tcBorders>
              <w:top w:val="single" w:color="CCCCCC" w:sz="1"/>
              <w:left w:val="single" w:color="CCCCCC" w:sz="1"/>
              <w:bottom w:val="single" w:color="CCCCCC" w:sz="1"/>
              <w:right w:val="single" w:color="CCCCCC" w:sz="1"/>
            </w:tcBorders>
            <w:shd w:fill="F5F7FA" w:val="clear"/>
          </w:tcPr>
          <w:p>
            <w:r>
              <w:t xml:space="preserve">TypeScript end-to-end, API type-safe, scalable</w:t>
            </w:r>
          </w:p>
        </w:tc>
      </w:tr>
      <w:tr>
        <w:tc>
          <w:tcPr>
            <w:tcW w:type="dxa" w:w="2200"/>
            <w:tcBorders>
              <w:top w:val="single" w:color="CCCCCC" w:sz="1"/>
              <w:left w:val="single" w:color="CCCCCC" w:sz="1"/>
              <w:bottom w:val="single" w:color="CCCCCC" w:sz="1"/>
              <w:right w:val="single" w:color="CCCCCC" w:sz="1"/>
            </w:tcBorders>
          </w:tcPr>
          <w:p>
            <w:r>
              <w:rPr>
                <w:b/>
                <w:bCs/>
              </w:rPr>
              <w:t xml:space="preserve">Base de Données</w:t>
            </w:r>
          </w:p>
        </w:tc>
        <w:tc>
          <w:tcPr>
            <w:tcW w:type="dxa" w:w="2500"/>
            <w:tcBorders>
              <w:top w:val="single" w:color="CCCCCC" w:sz="1"/>
              <w:left w:val="single" w:color="CCCCCC" w:sz="1"/>
              <w:bottom w:val="single" w:color="CCCCCC" w:sz="1"/>
              <w:right w:val="single" w:color="CCCCCC" w:sz="1"/>
            </w:tcBorders>
          </w:tcPr>
          <w:p>
            <w:r>
              <w:t xml:space="preserve">PostgreSQL + Prisma</w:t>
            </w:r>
          </w:p>
        </w:tc>
        <w:tc>
          <w:tcPr>
            <w:tcW w:type="dxa" w:w="4660"/>
            <w:tcBorders>
              <w:top w:val="single" w:color="CCCCCC" w:sz="1"/>
              <w:left w:val="single" w:color="CCCCCC" w:sz="1"/>
              <w:bottom w:val="single" w:color="CCCCCC" w:sz="1"/>
              <w:right w:val="single" w:color="CCCCCC" w:sz="1"/>
            </w:tcBorders>
          </w:tcPr>
          <w:p>
            <w:r>
              <w:t xml:space="preserve">Robuste, relations complexes, ORM moderne type-safe</w:t>
            </w:r>
          </w:p>
        </w:tc>
      </w:tr>
      <w:tr>
        <w:tc>
          <w:tcPr>
            <w:tcW w:type="dxa" w:w="2200"/>
            <w:tcBorders>
              <w:top w:val="single" w:color="CCCCCC" w:sz="1"/>
              <w:left w:val="single" w:color="CCCCCC" w:sz="1"/>
              <w:bottom w:val="single" w:color="CCCCCC" w:sz="1"/>
              <w:right w:val="single" w:color="CCCCCC" w:sz="1"/>
            </w:tcBorders>
            <w:shd w:fill="F5F7FA" w:val="clear"/>
          </w:tcPr>
          <w:p>
            <w:r>
              <w:rPr>
                <w:b/>
                <w:bCs/>
              </w:rPr>
              <w:t xml:space="preserve">Authentification</w:t>
            </w:r>
          </w:p>
        </w:tc>
        <w:tc>
          <w:tcPr>
            <w:tcW w:type="dxa" w:w="2500"/>
            <w:tcBorders>
              <w:top w:val="single" w:color="CCCCCC" w:sz="1"/>
              <w:left w:val="single" w:color="CCCCCC" w:sz="1"/>
              <w:bottom w:val="single" w:color="CCCCCC" w:sz="1"/>
              <w:right w:val="single" w:color="CCCCCC" w:sz="1"/>
            </w:tcBorders>
            <w:shd w:fill="F5F7FA" w:val="clear"/>
          </w:tcPr>
          <w:p>
            <w:r>
              <w:t xml:space="preserve">NextAuth.js ou Clerk</w:t>
            </w:r>
          </w:p>
        </w:tc>
        <w:tc>
          <w:tcPr>
            <w:tcW w:type="dxa" w:w="4660"/>
            <w:tcBorders>
              <w:top w:val="single" w:color="CCCCCC" w:sz="1"/>
              <w:left w:val="single" w:color="CCCCCC" w:sz="1"/>
              <w:bottom w:val="single" w:color="CCCCCC" w:sz="1"/>
              <w:right w:val="single" w:color="CCCCCC" w:sz="1"/>
            </w:tcBorders>
            <w:shd w:fill="F5F7FA" w:val="clear"/>
          </w:tcPr>
          <w:p>
            <w:r>
              <w:t xml:space="preserve">SSO, multi-tenant, gestion rôles intégrée</w:t>
            </w:r>
          </w:p>
        </w:tc>
      </w:tr>
      <w:tr>
        <w:tc>
          <w:tcPr>
            <w:tcW w:type="dxa" w:w="2200"/>
            <w:tcBorders>
              <w:top w:val="single" w:color="CCCCCC" w:sz="1"/>
              <w:left w:val="single" w:color="CCCCCC" w:sz="1"/>
              <w:bottom w:val="single" w:color="CCCCCC" w:sz="1"/>
              <w:right w:val="single" w:color="CCCCCC" w:sz="1"/>
            </w:tcBorders>
          </w:tcPr>
          <w:p>
            <w:r>
              <w:rPr>
                <w:b/>
                <w:bCs/>
              </w:rPr>
              <w:t xml:space="preserve">Visualisation</w:t>
            </w:r>
          </w:p>
        </w:tc>
        <w:tc>
          <w:tcPr>
            <w:tcW w:type="dxa" w:w="2500"/>
            <w:tcBorders>
              <w:top w:val="single" w:color="CCCCCC" w:sz="1"/>
              <w:left w:val="single" w:color="CCCCCC" w:sz="1"/>
              <w:bottom w:val="single" w:color="CCCCCC" w:sz="1"/>
              <w:right w:val="single" w:color="CCCCCC" w:sz="1"/>
            </w:tcBorders>
          </w:tcPr>
          <w:p>
            <w:r>
              <w:t xml:space="preserve">React Three Fiber ou Konva.js</w:t>
            </w:r>
          </w:p>
        </w:tc>
        <w:tc>
          <w:tcPr>
            <w:tcW w:type="dxa" w:w="4660"/>
            <w:tcBorders>
              <w:top w:val="single" w:color="CCCCCC" w:sz="1"/>
              <w:left w:val="single" w:color="CCCCCC" w:sz="1"/>
              <w:bottom w:val="single" w:color="CCCCCC" w:sz="1"/>
              <w:right w:val="single" w:color="CCCCCC" w:sz="1"/>
            </w:tcBorders>
          </w:tcPr>
          <w:p>
            <w:r>
              <w:t xml:space="preserve">Visualisation 2D/3D des panneaux et perçages</w:t>
            </w:r>
          </w:p>
        </w:tc>
      </w:tr>
      <w:tr>
        <w:tc>
          <w:tcPr>
            <w:tcW w:type="dxa" w:w="2200"/>
            <w:tcBorders>
              <w:top w:val="single" w:color="CCCCCC" w:sz="1"/>
              <w:left w:val="single" w:color="CCCCCC" w:sz="1"/>
              <w:bottom w:val="single" w:color="CCCCCC" w:sz="1"/>
              <w:right w:val="single" w:color="CCCCCC" w:sz="1"/>
            </w:tcBorders>
            <w:shd w:fill="F5F7FA" w:val="clear"/>
          </w:tcPr>
          <w:p>
            <w:r>
              <w:rPr>
                <w:b/>
                <w:bCs/>
              </w:rPr>
              <w:t xml:space="preserve">PDF/Export</w:t>
            </w:r>
          </w:p>
        </w:tc>
        <w:tc>
          <w:tcPr>
            <w:tcW w:type="dxa" w:w="2500"/>
            <w:tcBorders>
              <w:top w:val="single" w:color="CCCCCC" w:sz="1"/>
              <w:left w:val="single" w:color="CCCCCC" w:sz="1"/>
              <w:bottom w:val="single" w:color="CCCCCC" w:sz="1"/>
              <w:right w:val="single" w:color="CCCCCC" w:sz="1"/>
            </w:tcBorders>
            <w:shd w:fill="F5F7FA" w:val="clear"/>
          </w:tcPr>
          <w:p>
            <w:r>
              <w:t xml:space="preserve">React-PDF + jsPDF</w:t>
            </w:r>
          </w:p>
        </w:tc>
        <w:tc>
          <w:tcPr>
            <w:tcW w:type="dxa" w:w="4660"/>
            <w:tcBorders>
              <w:top w:val="single" w:color="CCCCCC" w:sz="1"/>
              <w:left w:val="single" w:color="CCCCCC" w:sz="1"/>
              <w:bottom w:val="single" w:color="CCCCCC" w:sz="1"/>
              <w:right w:val="single" w:color="CCCCCC" w:sz="1"/>
            </w:tcBorders>
            <w:shd w:fill="F5F7FA" w:val="clear"/>
          </w:tcPr>
          <w:p>
            <w:r>
              <w:t xml:space="preserve">Génération PDF côté serveur et client</w:t>
            </w:r>
          </w:p>
        </w:tc>
      </w:tr>
      <w:tr>
        <w:tc>
          <w:tcPr>
            <w:tcW w:type="dxa" w:w="2200"/>
            <w:tcBorders>
              <w:top w:val="single" w:color="CCCCCC" w:sz="1"/>
              <w:left w:val="single" w:color="CCCCCC" w:sz="1"/>
              <w:bottom w:val="single" w:color="CCCCCC" w:sz="1"/>
              <w:right w:val="single" w:color="CCCCCC" w:sz="1"/>
            </w:tcBorders>
          </w:tcPr>
          <w:p>
            <w:r>
              <w:rPr>
                <w:b/>
                <w:bCs/>
              </w:rPr>
              <w:t xml:space="preserve">Hébergement</w:t>
            </w:r>
          </w:p>
        </w:tc>
        <w:tc>
          <w:tcPr>
            <w:tcW w:type="dxa" w:w="2500"/>
            <w:tcBorders>
              <w:top w:val="single" w:color="CCCCCC" w:sz="1"/>
              <w:left w:val="single" w:color="CCCCCC" w:sz="1"/>
              <w:bottom w:val="single" w:color="CCCCCC" w:sz="1"/>
              <w:right w:val="single" w:color="CCCCCC" w:sz="1"/>
            </w:tcBorders>
          </w:tcPr>
          <w:p>
            <w:r>
              <w:t xml:space="preserve">Vercel + Railway/Supabase</w:t>
            </w:r>
          </w:p>
        </w:tc>
        <w:tc>
          <w:tcPr>
            <w:tcW w:type="dxa" w:w="4660"/>
            <w:tcBorders>
              <w:top w:val="single" w:color="CCCCCC" w:sz="1"/>
              <w:left w:val="single" w:color="CCCCCC" w:sz="1"/>
              <w:bottom w:val="single" w:color="CCCCCC" w:sz="1"/>
              <w:right w:val="single" w:color="CCCCCC" w:sz="1"/>
            </w:tcBorders>
          </w:tcPr>
          <w:p>
            <w:r>
              <w:t xml:space="preserve">Déploiement simplifié, scaling automatique, coût optimisé</w:t>
            </w:r>
          </w:p>
        </w:tc>
      </w:tr>
    </w:tbl>
    <w:p>
      <w:pPr>
        <w:spacing w:after="300"/>
      </w:pPr>
    </w:p>
    <w:p>
      <w:pPr>
        <w:pStyle w:val="Heading2"/>
      </w:pPr>
      <w:r>
        <w:t xml:space="preserve">4.2 Justification du Choix Next.js</w:t>
      </w:r>
    </w:p>
    <w:p>
      <w:pPr>
        <w:pStyle w:val="ListParagraph"/>
        <w:numPr>
          <w:ilvl w:val="0"/>
          <w:numId w:val="6"/>
        </w:numPr>
        <w:spacing w:after="100"/>
      </w:pPr>
      <w:r>
        <w:rPr>
          <w:b/>
          <w:bCs/>
        </w:rPr>
        <w:t xml:space="preserve">Performance : </w:t>
      </w:r>
      <w:r>
        <w:t xml:space="preserve">Server Side Rendering pour un temps de chargement optimal</w:t>
      </w:r>
    </w:p>
    <w:p>
      <w:pPr>
        <w:pStyle w:val="ListParagraph"/>
        <w:numPr>
          <w:ilvl w:val="0"/>
          <w:numId w:val="6"/>
        </w:numPr>
        <w:spacing w:after="100"/>
      </w:pPr>
      <w:r>
        <w:rPr>
          <w:b/>
          <w:bCs/>
        </w:rPr>
        <w:t xml:space="preserve">SEO : </w:t>
      </w:r>
      <w:r>
        <w:t xml:space="preserve">pré-rendu des pages pour un meilleur référencement</w:t>
      </w:r>
    </w:p>
    <w:p>
      <w:pPr>
        <w:pStyle w:val="ListParagraph"/>
        <w:numPr>
          <w:ilvl w:val="0"/>
          <w:numId w:val="6"/>
        </w:numPr>
        <w:spacing w:after="100"/>
      </w:pPr>
      <w:r>
        <w:rPr>
          <w:b/>
          <w:bCs/>
        </w:rPr>
        <w:t xml:space="preserve">DX : </w:t>
      </w:r>
      <w:r>
        <w:t xml:space="preserve">expérience développeur excellente avec TypeScript natif</w:t>
      </w:r>
    </w:p>
    <w:p>
      <w:pPr>
        <w:pStyle w:val="ListParagraph"/>
        <w:numPr>
          <w:ilvl w:val="0"/>
          <w:numId w:val="6"/>
        </w:numPr>
        <w:spacing w:after="100"/>
      </w:pPr>
      <w:r>
        <w:rPr>
          <w:b/>
          <w:bCs/>
        </w:rPr>
        <w:t xml:space="preserve">Écosystème : </w:t>
      </w:r>
      <w:r>
        <w:t xml:space="preserve">grande communauté, nombreuses librairies compatibles</w:t>
      </w:r>
    </w:p>
    <w:p>
      <w:pPr>
        <w:pStyle w:val="ListParagraph"/>
        <w:numPr>
          <w:ilvl w:val="0"/>
          <w:numId w:val="6"/>
        </w:numPr>
        <w:spacing w:after="200"/>
      </w:pPr>
      <w:r>
        <w:rPr>
          <w:b/>
          <w:bCs/>
        </w:rPr>
        <w:t xml:space="preserve">Full-stack : </w:t>
      </w:r>
      <w:r>
        <w:t xml:space="preserve">API Routes intégrées, simplification de l'architecture</w:t>
      </w:r>
    </w:p>
    <w:p>
      <w:pPr>
        <w:pStyle w:val="Heading2"/>
      </w:pPr>
      <w:r>
        <w:t xml:space="preserve">4.3 Architecture Globale</w:t>
      </w:r>
    </w:p>
    <w:p>
      <w:pPr>
        <w:spacing w:after="200"/>
      </w:pPr>
      <w:r>
        <w:t xml:space="preserve">L'application suivra une architecture moderne en couches avec séparation claire des responsabilités :</w:t>
      </w:r>
    </w:p>
    <w:p>
      <w:pPr>
        <w:pStyle w:val="ListParagraph"/>
        <w:numPr>
          <w:ilvl w:val="0"/>
          <w:numId w:val="2"/>
        </w:numPr>
        <w:spacing w:after="100"/>
      </w:pPr>
      <w:r>
        <w:rPr>
          <w:b/>
          <w:bCs/>
        </w:rPr>
        <w:t xml:space="preserve">Couche Présentation : </w:t>
      </w:r>
      <w:r>
        <w:t xml:space="preserve">composants React, pages Next.js</w:t>
      </w:r>
    </w:p>
    <w:p>
      <w:pPr>
        <w:pStyle w:val="ListParagraph"/>
        <w:numPr>
          <w:ilvl w:val="0"/>
          <w:numId w:val="2"/>
        </w:numPr>
        <w:spacing w:after="100"/>
      </w:pPr>
      <w:r>
        <w:rPr>
          <w:b/>
          <w:bCs/>
        </w:rPr>
        <w:t xml:space="preserve">Couche Métier : </w:t>
      </w:r>
      <w:r>
        <w:t xml:space="preserve">services de calcul prix, validation, génération documents</w:t>
      </w:r>
    </w:p>
    <w:p>
      <w:pPr>
        <w:pStyle w:val="ListParagraph"/>
        <w:numPr>
          <w:ilvl w:val="0"/>
          <w:numId w:val="2"/>
        </w:numPr>
        <w:spacing w:after="100"/>
      </w:pPr>
      <w:r>
        <w:rPr>
          <w:b/>
          <w:bCs/>
        </w:rPr>
        <w:t xml:space="preserve">Couche Données : </w:t>
      </w:r>
      <w:r>
        <w:t xml:space="preserve">Prisma ORM, repositories</w:t>
      </w:r>
    </w:p>
    <w:p>
      <w:pPr>
        <w:pStyle w:val="ListParagraph"/>
        <w:numPr>
          <w:ilvl w:val="0"/>
          <w:numId w:val="2"/>
        </w:numPr>
        <w:spacing w:after="200"/>
      </w:pPr>
      <w:r>
        <w:rPr>
          <w:b/>
          <w:bCs/>
        </w:rPr>
        <w:t xml:space="preserve">Couche Infrastructure : </w:t>
      </w:r>
      <w:r>
        <w:t xml:space="preserve">authentification, stockage fichiers, emails</w:t>
      </w:r>
    </w:p>
    <w:p>
      <w:r>
        <w:br w:type="page"/>
      </w:r>
    </w:p>
    <w:p>
      <w:pPr>
        <w:pStyle w:val="Heading1"/>
      </w:pPr>
      <w:r>
        <w:t xml:space="preserve">5. Modèle de Données</w:t>
      </w:r>
    </w:p>
    <w:p>
      <w:pPr>
        <w:pStyle w:val="Heading2"/>
      </w:pPr>
      <w:r>
        <w:t xml:space="preserve">5.1 Entités Principales</w:t>
      </w:r>
    </w:p>
    <w:p>
      <w:pPr>
        <w:pStyle w:val="Heading3"/>
      </w:pPr>
      <w:r>
        <w:t xml:space="preserve">5.1.1 Panneaux Fournisseur (SupplierPanel)</w:t>
      </w:r>
    </w:p>
    <w:p>
      <w:pPr>
        <w:pStyle w:val="ListParagraph"/>
        <w:numPr>
          <w:ilvl w:val="0"/>
          <w:numId w:val="2"/>
        </w:numPr>
        <w:spacing w:after="100"/>
      </w:pPr>
      <w:r>
        <w:t xml:space="preserve">id, reference, name, supplier (fournisseur)</w:t>
      </w:r>
    </w:p>
    <w:p>
      <w:pPr>
        <w:pStyle w:val="ListParagraph"/>
        <w:numPr>
          <w:ilvl w:val="0"/>
          <w:numId w:val="2"/>
        </w:numPr>
        <w:spacing w:after="100"/>
      </w:pPr>
      <w:r>
        <w:t xml:space="preserve">material (mélaminé, MDF, stratifié, plaqué...)</w:t>
      </w:r>
    </w:p>
    <w:p>
      <w:pPr>
        <w:pStyle w:val="ListParagraph"/>
        <w:numPr>
          <w:ilvl w:val="0"/>
          <w:numId w:val="2"/>
        </w:numPr>
        <w:spacing w:after="100"/>
      </w:pPr>
      <w:r>
        <w:t xml:space="preserve">thickness (épaisseur en mm)</w:t>
      </w:r>
    </w:p>
    <w:p>
      <w:pPr>
        <w:pStyle w:val="ListParagraph"/>
        <w:numPr>
          <w:ilvl w:val="0"/>
          <w:numId w:val="2"/>
        </w:numPr>
        <w:spacing w:after="100"/>
      </w:pPr>
      <w:r>
        <w:t xml:space="preserve">length, width (dimensions standard)</w:t>
      </w:r>
    </w:p>
    <w:p>
      <w:pPr>
        <w:pStyle w:val="ListParagraph"/>
        <w:numPr>
          <w:ilvl w:val="0"/>
          <w:numId w:val="2"/>
        </w:numPr>
        <w:spacing w:after="100"/>
      </w:pPr>
      <w:r>
        <w:t xml:space="preserve">pricePerM2 (prix au m²)</w:t>
      </w:r>
    </w:p>
    <w:p>
      <w:pPr>
        <w:pStyle w:val="ListParagraph"/>
        <w:numPr>
          <w:ilvl w:val="0"/>
          <w:numId w:val="2"/>
        </w:numPr>
        <w:spacing w:after="100"/>
      </w:pPr>
      <w:r>
        <w:t xml:space="preserve">grainDirection (sens du fil si applicable)</w:t>
      </w:r>
    </w:p>
    <w:p>
      <w:pPr>
        <w:pStyle w:val="ListParagraph"/>
        <w:numPr>
          <w:ilvl w:val="0"/>
          <w:numId w:val="2"/>
        </w:numPr>
        <w:spacing w:after="200"/>
      </w:pPr>
      <w:r>
        <w:t xml:space="preserve">imageUrl, colorCode, isActive</w:t>
      </w:r>
    </w:p>
    <w:p>
      <w:pPr>
        <w:pStyle w:val="Heading3"/>
      </w:pPr>
      <w:r>
        <w:t xml:space="preserve">5.1.2 Chants (EdgeBanding)</w:t>
      </w:r>
    </w:p>
    <w:p>
      <w:pPr>
        <w:pStyle w:val="ListParagraph"/>
        <w:numPr>
          <w:ilvl w:val="0"/>
          <w:numId w:val="2"/>
        </w:numPr>
        <w:spacing w:after="100"/>
      </w:pPr>
      <w:r>
        <w:t xml:space="preserve">id, reference, name, material (ABS, mélamine, bois...)</w:t>
      </w:r>
    </w:p>
    <w:p>
      <w:pPr>
        <w:pStyle w:val="ListParagraph"/>
        <w:numPr>
          <w:ilvl w:val="0"/>
          <w:numId w:val="2"/>
        </w:numPr>
        <w:spacing w:after="100"/>
      </w:pPr>
      <w:r>
        <w:t xml:space="preserve">thickness (0.4, 1, 2, 3mm)</w:t>
      </w:r>
    </w:p>
    <w:p>
      <w:pPr>
        <w:pStyle w:val="ListParagraph"/>
        <w:numPr>
          <w:ilvl w:val="0"/>
          <w:numId w:val="2"/>
        </w:numPr>
        <w:spacing w:after="100"/>
      </w:pPr>
      <w:r>
        <w:t xml:space="preserve">width (hauteur disponible)</w:t>
      </w:r>
    </w:p>
    <w:p>
      <w:pPr>
        <w:pStyle w:val="ListParagraph"/>
        <w:numPr>
          <w:ilvl w:val="0"/>
          <w:numId w:val="2"/>
        </w:numPr>
        <w:spacing w:after="200"/>
      </w:pPr>
      <w:r>
        <w:t xml:space="preserve">pricePerMeter, colorCode, compatiblePanels[]</w:t>
      </w:r>
    </w:p>
    <w:p>
      <w:pPr>
        <w:pStyle w:val="Heading3"/>
      </w:pPr>
      <w:r>
        <w:t xml:space="preserve">5.1.3 Quincaillerie (Hardware)</w:t>
      </w:r>
    </w:p>
    <w:p>
      <w:pPr>
        <w:pStyle w:val="ListParagraph"/>
        <w:numPr>
          <w:ilvl w:val="0"/>
          <w:numId w:val="2"/>
        </w:numPr>
        <w:spacing w:after="100"/>
      </w:pPr>
      <w:r>
        <w:t xml:space="preserve">id, brand (Blum, Hettich, Grass), category, model</w:t>
      </w:r>
    </w:p>
    <w:p>
      <w:pPr>
        <w:pStyle w:val="ListParagraph"/>
        <w:numPr>
          <w:ilvl w:val="0"/>
          <w:numId w:val="2"/>
        </w:numPr>
        <w:spacing w:after="100"/>
      </w:pPr>
      <w:r>
        <w:t xml:space="preserve">drillingPattern (JSON schéma des perçages requis)</w:t>
      </w:r>
    </w:p>
    <w:p>
      <w:pPr>
        <w:pStyle w:val="ListParagraph"/>
        <w:numPr>
          <w:ilvl w:val="0"/>
          <w:numId w:val="2"/>
        </w:numPr>
        <w:spacing w:after="100"/>
      </w:pPr>
      <w:r>
        <w:t xml:space="preserve">minThickness, maxThickness (épaisseurs compatibles)</w:t>
      </w:r>
    </w:p>
    <w:p>
      <w:pPr>
        <w:pStyle w:val="ListParagraph"/>
        <w:numPr>
          <w:ilvl w:val="0"/>
          <w:numId w:val="2"/>
        </w:numPr>
        <w:spacing w:after="200"/>
      </w:pPr>
      <w:r>
        <w:t xml:space="preserve">drillingPrice (tarif perçage associé)</w:t>
      </w:r>
    </w:p>
    <w:p>
      <w:pPr>
        <w:pStyle w:val="Heading3"/>
      </w:pPr>
      <w:r>
        <w:t xml:space="preserve">5.1.4 Pièce Configurée (ConfiguredPart)</w:t>
      </w:r>
    </w:p>
    <w:p>
      <w:pPr>
        <w:pStyle w:val="ListParagraph"/>
        <w:numPr>
          <w:ilvl w:val="0"/>
          <w:numId w:val="2"/>
        </w:numPr>
        <w:spacing w:after="100"/>
      </w:pPr>
      <w:r>
        <w:t xml:space="preserve">id, reference, quantity, orderId</w:t>
      </w:r>
    </w:p>
    <w:p>
      <w:pPr>
        <w:pStyle w:val="ListParagraph"/>
        <w:numPr>
          <w:ilvl w:val="0"/>
          <w:numId w:val="2"/>
        </w:numPr>
        <w:spacing w:after="100"/>
      </w:pPr>
      <w:r>
        <w:t xml:space="preserve">panelId, length, width, grainOrientation</w:t>
      </w:r>
    </w:p>
    <w:p>
      <w:pPr>
        <w:pStyle w:val="ListParagraph"/>
        <w:numPr>
          <w:ilvl w:val="0"/>
          <w:numId w:val="2"/>
        </w:numPr>
        <w:spacing w:after="100"/>
      </w:pPr>
      <w:r>
        <w:t xml:space="preserve">edgeConfig (JSON : {top, bottom, left, right} avec edgeId et thickness)</w:t>
      </w:r>
    </w:p>
    <w:p>
      <w:pPr>
        <w:pStyle w:val="ListParagraph"/>
        <w:numPr>
          <w:ilvl w:val="0"/>
          <w:numId w:val="2"/>
        </w:numPr>
        <w:spacing w:after="100"/>
      </w:pPr>
      <w:r>
        <w:t xml:space="preserve">assemblyDrillings[] (liste des perçages d'assemblage)</w:t>
      </w:r>
    </w:p>
    <w:p>
      <w:pPr>
        <w:pStyle w:val="ListParagraph"/>
        <w:numPr>
          <w:ilvl w:val="0"/>
          <w:numId w:val="2"/>
        </w:numPr>
        <w:spacing w:after="100"/>
      </w:pPr>
      <w:r>
        <w:t xml:space="preserve">hardwareDrillings[] (liste des perçages quincaillerie)</w:t>
      </w:r>
    </w:p>
    <w:p>
      <w:pPr>
        <w:pStyle w:val="ListParagraph"/>
        <w:numPr>
          <w:ilvl w:val="0"/>
          <w:numId w:val="2"/>
        </w:numPr>
        <w:spacing w:after="100"/>
      </w:pPr>
      <w:r>
        <w:t xml:space="preserve">machiningOperations[] (usinages spéciaux)</w:t>
      </w:r>
    </w:p>
    <w:p>
      <w:pPr>
        <w:pStyle w:val="ListParagraph"/>
        <w:numPr>
          <w:ilvl w:val="0"/>
          <w:numId w:val="2"/>
        </w:numPr>
        <w:spacing w:after="100"/>
      </w:pPr>
      <w:r>
        <w:t xml:space="preserve">finish (type de finition, couleur, faces traitées)</w:t>
      </w:r>
    </w:p>
    <w:p>
      <w:pPr>
        <w:pStyle w:val="ListParagraph"/>
        <w:numPr>
          <w:ilvl w:val="0"/>
          <w:numId w:val="2"/>
        </w:numPr>
        <w:spacing w:after="200"/>
      </w:pPr>
      <w:r>
        <w:t xml:space="preserve">calculatedPrice, notes</w:t>
      </w:r>
    </w:p>
    <w:p>
      <w:pPr>
        <w:pStyle w:val="Heading3"/>
      </w:pPr>
      <w:r>
        <w:t xml:space="preserve">5.1.5 Commande (Order)</w:t>
      </w:r>
    </w:p>
    <w:p>
      <w:pPr>
        <w:pStyle w:val="ListParagraph"/>
        <w:numPr>
          <w:ilvl w:val="0"/>
          <w:numId w:val="2"/>
        </w:numPr>
        <w:spacing w:after="100"/>
      </w:pPr>
      <w:r>
        <w:t xml:space="preserve">id, orderNumber, customerId, projectName</w:t>
      </w:r>
    </w:p>
    <w:p>
      <w:pPr>
        <w:pStyle w:val="ListParagraph"/>
        <w:numPr>
          <w:ilvl w:val="0"/>
          <w:numId w:val="2"/>
        </w:numPr>
        <w:spacing w:after="100"/>
      </w:pPr>
      <w:r>
        <w:t xml:space="preserve">status (draft, pending, confirmed, in_production, completed)</w:t>
      </w:r>
    </w:p>
    <w:p>
      <w:pPr>
        <w:pStyle w:val="ListParagraph"/>
        <w:numPr>
          <w:ilvl w:val="0"/>
          <w:numId w:val="2"/>
        </w:numPr>
        <w:spacing w:after="100"/>
      </w:pPr>
      <w:r>
        <w:t xml:space="preserve">parts[] (liste des pièces)</w:t>
      </w:r>
    </w:p>
    <w:p>
      <w:pPr>
        <w:pStyle w:val="ListParagraph"/>
        <w:numPr>
          <w:ilvl w:val="0"/>
          <w:numId w:val="2"/>
        </w:numPr>
        <w:spacing w:after="100"/>
      </w:pPr>
      <w:r>
        <w:t xml:space="preserve">totalPrice, createdAt, confirmedAt</w:t>
      </w:r>
    </w:p>
    <w:p>
      <w:pPr>
        <w:pStyle w:val="ListParagraph"/>
        <w:numPr>
          <w:ilvl w:val="0"/>
          <w:numId w:val="2"/>
        </w:numPr>
        <w:spacing w:after="200"/>
      </w:pPr>
      <w:r>
        <w:t xml:space="preserve">deliveryOption (pickup, delivery, transport)</w:t>
      </w:r>
    </w:p>
    <w:p>
      <w:r>
        <w:br w:type="page"/>
      </w:r>
    </w:p>
    <w:p>
      <w:pPr>
        <w:pStyle w:val="Heading1"/>
      </w:pPr>
      <w:r>
        <w:t xml:space="preserve">6. Interface Utilisateur (UX/UI)</w:t>
      </w:r>
    </w:p>
    <w:p>
      <w:pPr>
        <w:pStyle w:val="Heading2"/>
      </w:pPr>
      <w:r>
        <w:t xml:space="preserve">6.1 Principes de Design</w:t>
      </w:r>
    </w:p>
    <w:p>
      <w:pPr>
        <w:pStyle w:val="ListParagraph"/>
        <w:numPr>
          <w:ilvl w:val="0"/>
          <w:numId w:val="2"/>
        </w:numPr>
        <w:spacing w:after="100"/>
      </w:pPr>
      <w:r>
        <w:rPr>
          <w:b/>
          <w:bCs/>
        </w:rPr>
        <w:t xml:space="preserve">Wizard progressif : </w:t>
      </w:r>
      <w:r>
        <w:t xml:space="preserve">navigation étape par étape avec indicateur de progression</w:t>
      </w:r>
    </w:p>
    <w:p>
      <w:pPr>
        <w:pStyle w:val="ListParagraph"/>
        <w:numPr>
          <w:ilvl w:val="0"/>
          <w:numId w:val="2"/>
        </w:numPr>
        <w:spacing w:after="100"/>
      </w:pPr>
      <w:r>
        <w:rPr>
          <w:b/>
          <w:bCs/>
        </w:rPr>
        <w:t xml:space="preserve">Prix temps réel : </w:t>
      </w:r>
      <w:r>
        <w:t xml:space="preserve">affichage permanent du prix actualisé à chaque modification</w:t>
      </w:r>
    </w:p>
    <w:p>
      <w:pPr>
        <w:pStyle w:val="ListParagraph"/>
        <w:numPr>
          <w:ilvl w:val="0"/>
          <w:numId w:val="2"/>
        </w:numPr>
        <w:spacing w:after="100"/>
      </w:pPr>
      <w:r>
        <w:rPr>
          <w:b/>
          <w:bCs/>
        </w:rPr>
        <w:t xml:space="preserve">Visualisation interactive : </w:t>
      </w:r>
      <w:r>
        <w:t xml:space="preserve">représentation graphique du panneau cliquable</w:t>
      </w:r>
    </w:p>
    <w:p>
      <w:pPr>
        <w:pStyle w:val="ListParagraph"/>
        <w:numPr>
          <w:ilvl w:val="0"/>
          <w:numId w:val="2"/>
        </w:numPr>
        <w:spacing w:after="100"/>
      </w:pPr>
      <w:r>
        <w:rPr>
          <w:b/>
          <w:bCs/>
        </w:rPr>
        <w:t xml:space="preserve">Responsive : </w:t>
      </w:r>
      <w:r>
        <w:t xml:space="preserve">utilisable sur desktop, tablette et mobile</w:t>
      </w:r>
    </w:p>
    <w:p>
      <w:pPr>
        <w:pStyle w:val="ListParagraph"/>
        <w:numPr>
          <w:ilvl w:val="0"/>
          <w:numId w:val="2"/>
        </w:numPr>
        <w:spacing w:after="200"/>
      </w:pPr>
      <w:r>
        <w:rPr>
          <w:b/>
          <w:bCs/>
        </w:rPr>
        <w:t xml:space="preserve">Accessibilité : </w:t>
      </w:r>
      <w:r>
        <w:t xml:space="preserve">conformité WCAG 2.1 niveau AA</w:t>
      </w:r>
    </w:p>
    <w:p>
      <w:pPr>
        <w:pStyle w:val="Heading2"/>
      </w:pPr>
      <w:r>
        <w:t xml:space="preserve">6.2 Parcours Utilisateur</w:t>
      </w:r>
    </w:p>
    <w:p>
      <w:pPr>
        <w:pStyle w:val="ListParagraph"/>
        <w:numPr>
          <w:ilvl w:val="0"/>
          <w:numId w:val="7"/>
        </w:numPr>
        <w:spacing w:after="100"/>
      </w:pPr>
      <w:r>
        <w:rPr>
          <w:b/>
          <w:bCs/>
        </w:rPr>
        <w:t xml:space="preserve">Connexion/Inscription : </w:t>
      </w:r>
      <w:r>
        <w:t xml:space="preserve">accès rapide, SSO entreprise possible</w:t>
      </w:r>
    </w:p>
    <w:p>
      <w:pPr>
        <w:pStyle w:val="ListParagraph"/>
        <w:numPr>
          <w:ilvl w:val="0"/>
          <w:numId w:val="7"/>
        </w:numPr>
        <w:spacing w:after="100"/>
      </w:pPr>
      <w:r>
        <w:rPr>
          <w:b/>
          <w:bCs/>
        </w:rPr>
        <w:t xml:space="preserve">Tableau de bord : </w:t>
      </w:r>
      <w:r>
        <w:t xml:space="preserve">commandes en cours, historique, nouvelle commande</w:t>
      </w:r>
    </w:p>
    <w:p>
      <w:pPr>
        <w:pStyle w:val="ListParagraph"/>
        <w:numPr>
          <w:ilvl w:val="0"/>
          <w:numId w:val="7"/>
        </w:numPr>
        <w:spacing w:after="100"/>
      </w:pPr>
      <w:r>
        <w:rPr>
          <w:b/>
          <w:bCs/>
        </w:rPr>
        <w:t xml:space="preserve">Configurateur : </w:t>
      </w:r>
      <w:r>
        <w:t xml:space="preserve">wizard 8 étapes avec navigation libre</w:t>
      </w:r>
    </w:p>
    <w:p>
      <w:pPr>
        <w:pStyle w:val="ListParagraph"/>
        <w:numPr>
          <w:ilvl w:val="0"/>
          <w:numId w:val="7"/>
        </w:numPr>
        <w:spacing w:after="100"/>
      </w:pPr>
      <w:r>
        <w:rPr>
          <w:b/>
          <w:bCs/>
        </w:rPr>
        <w:t xml:space="preserve">Panier : </w:t>
      </w:r>
      <w:r>
        <w:t xml:space="preserve">récapitulatif, modifications, validation</w:t>
      </w:r>
    </w:p>
    <w:p>
      <w:pPr>
        <w:pStyle w:val="ListParagraph"/>
        <w:numPr>
          <w:ilvl w:val="0"/>
          <w:numId w:val="7"/>
        </w:numPr>
        <w:spacing w:after="200"/>
      </w:pPr>
      <w:r>
        <w:rPr>
          <w:b/>
          <w:bCs/>
        </w:rPr>
        <w:t xml:space="preserve">Confirmation : </w:t>
      </w:r>
      <w:r>
        <w:t xml:space="preserve">récapitulatif PDF, suivi commande</w:t>
      </w:r>
    </w:p>
    <w:p>
      <w:pPr>
        <w:pStyle w:val="Heading2"/>
      </w:pPr>
      <w:r>
        <w:t xml:space="preserve">6.3 Composants Clés</w:t>
      </w:r>
    </w:p>
    <w:p>
      <w:pPr>
        <w:pStyle w:val="Heading3"/>
      </w:pPr>
      <w:r>
        <w:t xml:space="preserve">6.3.1 Visualiseur de Panneau</w:t>
      </w:r>
    </w:p>
    <w:p>
      <w:pPr>
        <w:spacing w:after="200"/>
      </w:pPr>
      <w:r>
        <w:t xml:space="preserve">Composant central affichant le panneau en vue de dessus avec les zones cliquables pour chaque chant et face. Affichage des perçages positionnés, des usinages et mise en évidence des zones sélectionnées.</w:t>
      </w:r>
    </w:p>
    <w:p>
      <w:pPr>
        <w:pStyle w:val="Heading3"/>
      </w:pPr>
      <w:r>
        <w:t xml:space="preserve">6.3.2 Sélecteur de Panneau</w:t>
      </w:r>
    </w:p>
    <w:p>
      <w:pPr>
        <w:spacing w:after="200"/>
      </w:pPr>
      <w:r>
        <w:t xml:space="preserve">Interface de recherche et filtrage des panneaux fournisseur avec aperçu visuel, caractéristiques techniques et prix. Mode grille et mode liste.</w:t>
      </w:r>
    </w:p>
    <w:p>
      <w:pPr>
        <w:pStyle w:val="Heading3"/>
      </w:pPr>
      <w:r>
        <w:t xml:space="preserve">6.3.3 Configurateur de Perçage</w:t>
      </w:r>
    </w:p>
    <w:p>
      <w:pPr>
        <w:spacing w:after="200"/>
      </w:pPr>
      <w:r>
        <w:t xml:space="preserve">Interface permettant de positionner les perçages sur le panneau par glisser-déposer ou saisie de coordonnées. Grille magnétique optionnelle, cotation automatique.</w:t>
      </w:r>
    </w:p>
    <w:p>
      <w:pPr>
        <w:pStyle w:val="Heading3"/>
      </w:pPr>
      <w:r>
        <w:t xml:space="preserve">6.3.4 Récapitulatif Prix</w:t>
      </w:r>
    </w:p>
    <w:p>
      <w:pPr>
        <w:spacing w:after="200"/>
      </w:pPr>
      <w:r>
        <w:t xml:space="preserve">Panneau latéral persistant affichant le détail du calcul de prix avec ventilation par poste : matière, découpe, chants, perçages, usinages, finition.</w:t>
      </w:r>
    </w:p>
    <w:p>
      <w:r>
        <w:br w:type="page"/>
      </w:r>
    </w:p>
    <w:p>
      <w:pPr>
        <w:pStyle w:val="Heading1"/>
      </w:pPr>
      <w:r>
        <w:t xml:space="preserve">7. Calcul des Prix</w:t>
      </w:r>
    </w:p>
    <w:p>
      <w:pPr>
        <w:pStyle w:val="Heading2"/>
      </w:pPr>
      <w:r>
        <w:t xml:space="preserve">7.1 Structure Tarifaire</w:t>
      </w:r>
    </w:p>
    <w:p>
      <w:pPr>
        <w:spacing w:after="200"/>
      </w:pPr>
      <w:r>
        <w:t xml:space="preserve">Le prix d'une pièce est calculé comme la somme des éléments suivants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Poste</w:t>
            </w:r>
          </w:p>
        </w:tc>
        <w:tc>
          <w:tcPr>
            <w:tcW w:type="dxa" w:w="2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Base de Calcul</w:t>
            </w:r>
          </w:p>
        </w:tc>
        <w:tc>
          <w:tcPr>
            <w:tcW w:type="dxa" w:w="37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Formule</w:t>
            </w:r>
          </w:p>
        </w:tc>
      </w:tr>
      <w:tr>
        <w:tc>
          <w:tcPr>
            <w:tcW w:type="dxa" w:w="2800"/>
            <w:tcBorders>
              <w:top w:val="single" w:color="CCCCCC" w:sz="1"/>
              <w:left w:val="single" w:color="CCCCCC" w:sz="1"/>
              <w:bottom w:val="single" w:color="CCCCCC" w:sz="1"/>
              <w:right w:val="single" w:color="CCCCCC" w:sz="1"/>
            </w:tcBorders>
          </w:tcPr>
          <w:p>
            <w:r>
              <w:t xml:space="preserve">Matière panneau</w:t>
            </w:r>
          </w:p>
        </w:tc>
        <w:tc>
          <w:tcPr>
            <w:tcW w:type="dxa" w:w="2800"/>
            <w:tcBorders>
              <w:top w:val="single" w:color="CCCCCC" w:sz="1"/>
              <w:left w:val="single" w:color="CCCCCC" w:sz="1"/>
              <w:bottom w:val="single" w:color="CCCCCC" w:sz="1"/>
              <w:right w:val="single" w:color="CCCCCC" w:sz="1"/>
            </w:tcBorders>
          </w:tcPr>
          <w:p>
            <w:r>
              <w:t xml:space="preserve">Prix au m²</w:t>
            </w:r>
          </w:p>
        </w:tc>
        <w:tc>
          <w:tcPr>
            <w:tcW w:type="dxa" w:w="3760"/>
            <w:tcBorders>
              <w:top w:val="single" w:color="CCCCCC" w:sz="1"/>
              <w:left w:val="single" w:color="CCCCCC" w:sz="1"/>
              <w:bottom w:val="single" w:color="CCCCCC" w:sz="1"/>
              <w:right w:val="single" w:color="CCCCCC" w:sz="1"/>
            </w:tcBorders>
          </w:tcPr>
          <w:p>
            <w:r>
              <w:t xml:space="preserve">(L × l) × pricePerM2 × qty</w:t>
            </w:r>
          </w:p>
        </w:tc>
      </w:tr>
      <w:tr>
        <w:tc>
          <w:tcPr>
            <w:tcW w:type="dxa" w:w="2800"/>
            <w:tcBorders>
              <w:top w:val="single" w:color="CCCCCC" w:sz="1"/>
              <w:left w:val="single" w:color="CCCCCC" w:sz="1"/>
              <w:bottom w:val="single" w:color="CCCCCC" w:sz="1"/>
              <w:right w:val="single" w:color="CCCCCC" w:sz="1"/>
            </w:tcBorders>
            <w:shd w:fill="F5F7FA" w:val="clear"/>
          </w:tcPr>
          <w:p>
            <w:r>
              <w:t xml:space="preserve">Découpe</w:t>
            </w:r>
          </w:p>
        </w:tc>
        <w:tc>
          <w:tcPr>
            <w:tcW w:type="dxa" w:w="2800"/>
            <w:tcBorders>
              <w:top w:val="single" w:color="CCCCCC" w:sz="1"/>
              <w:left w:val="single" w:color="CCCCCC" w:sz="1"/>
              <w:bottom w:val="single" w:color="CCCCCC" w:sz="1"/>
              <w:right w:val="single" w:color="CCCCCC" w:sz="1"/>
            </w:tcBorders>
            <w:shd w:fill="F5F7FA" w:val="clear"/>
          </w:tcPr>
          <w:p>
            <w:r>
              <w:t xml:space="preserve">Forfait ou au mètre</w:t>
            </w:r>
          </w:p>
        </w:tc>
        <w:tc>
          <w:tcPr>
            <w:tcW w:type="dxa" w:w="3760"/>
            <w:tcBorders>
              <w:top w:val="single" w:color="CCCCCC" w:sz="1"/>
              <w:left w:val="single" w:color="CCCCCC" w:sz="1"/>
              <w:bottom w:val="single" w:color="CCCCCC" w:sz="1"/>
              <w:right w:val="single" w:color="CCCCCC" w:sz="1"/>
            </w:tcBorders>
            <w:shd w:fill="F5F7FA" w:val="clear"/>
          </w:tcPr>
          <w:p>
            <w:r>
              <w:t xml:space="preserve">cuttingPrice × qty ou périmètre × pricePerMeter</w:t>
            </w:r>
          </w:p>
        </w:tc>
      </w:tr>
      <w:tr>
        <w:tc>
          <w:tcPr>
            <w:tcW w:type="dxa" w:w="2800"/>
            <w:tcBorders>
              <w:top w:val="single" w:color="CCCCCC" w:sz="1"/>
              <w:left w:val="single" w:color="CCCCCC" w:sz="1"/>
              <w:bottom w:val="single" w:color="CCCCCC" w:sz="1"/>
              <w:right w:val="single" w:color="CCCCCC" w:sz="1"/>
            </w:tcBorders>
          </w:tcPr>
          <w:p>
            <w:r>
              <w:t xml:space="preserve">Placage chants</w:t>
            </w:r>
          </w:p>
        </w:tc>
        <w:tc>
          <w:tcPr>
            <w:tcW w:type="dxa" w:w="2800"/>
            <w:tcBorders>
              <w:top w:val="single" w:color="CCCCCC" w:sz="1"/>
              <w:left w:val="single" w:color="CCCCCC" w:sz="1"/>
              <w:bottom w:val="single" w:color="CCCCCC" w:sz="1"/>
              <w:right w:val="single" w:color="CCCCCC" w:sz="1"/>
            </w:tcBorders>
          </w:tcPr>
          <w:p>
            <w:r>
              <w:t xml:space="preserve">Au mètre linéaire</w:t>
            </w:r>
          </w:p>
        </w:tc>
        <w:tc>
          <w:tcPr>
            <w:tcW w:type="dxa" w:w="3760"/>
            <w:tcBorders>
              <w:top w:val="single" w:color="CCCCCC" w:sz="1"/>
              <w:left w:val="single" w:color="CCCCCC" w:sz="1"/>
              <w:bottom w:val="single" w:color="CCCCCC" w:sz="1"/>
              <w:right w:val="single" w:color="CCCCCC" w:sz="1"/>
            </w:tcBorders>
          </w:tcPr>
          <w:p>
            <w:r>
              <w:t xml:space="preserve">Σ(longueur_chant × pricePerMeter) × qty</w:t>
            </w:r>
          </w:p>
        </w:tc>
      </w:tr>
      <w:tr>
        <w:tc>
          <w:tcPr>
            <w:tcW w:type="dxa" w:w="2800"/>
            <w:tcBorders>
              <w:top w:val="single" w:color="CCCCCC" w:sz="1"/>
              <w:left w:val="single" w:color="CCCCCC" w:sz="1"/>
              <w:bottom w:val="single" w:color="CCCCCC" w:sz="1"/>
              <w:right w:val="single" w:color="CCCCCC" w:sz="1"/>
            </w:tcBorders>
            <w:shd w:fill="F5F7FA" w:val="clear"/>
          </w:tcPr>
          <w:p>
            <w:r>
              <w:t xml:space="preserve">Perçage assemblage</w:t>
            </w:r>
          </w:p>
        </w:tc>
        <w:tc>
          <w:tcPr>
            <w:tcW w:type="dxa" w:w="2800"/>
            <w:tcBorders>
              <w:top w:val="single" w:color="CCCCCC" w:sz="1"/>
              <w:left w:val="single" w:color="CCCCCC" w:sz="1"/>
              <w:bottom w:val="single" w:color="CCCCCC" w:sz="1"/>
              <w:right w:val="single" w:color="CCCCCC" w:sz="1"/>
            </w:tcBorders>
            <w:shd w:fill="F5F7FA" w:val="clear"/>
          </w:tcPr>
          <w:p>
            <w:r>
              <w:t xml:space="preserve">À l'unité</w:t>
            </w:r>
          </w:p>
        </w:tc>
        <w:tc>
          <w:tcPr>
            <w:tcW w:type="dxa" w:w="3760"/>
            <w:tcBorders>
              <w:top w:val="single" w:color="CCCCCC" w:sz="1"/>
              <w:left w:val="single" w:color="CCCCCC" w:sz="1"/>
              <w:bottom w:val="single" w:color="CCCCCC" w:sz="1"/>
              <w:right w:val="single" w:color="CCCCCC" w:sz="1"/>
            </w:tcBorders>
            <w:shd w:fill="F5F7FA" w:val="clear"/>
          </w:tcPr>
          <w:p>
            <w:r>
              <w:t xml:space="preserve">nb_perçages × pricePerHole × qty</w:t>
            </w:r>
          </w:p>
        </w:tc>
      </w:tr>
      <w:tr>
        <w:tc>
          <w:tcPr>
            <w:tcW w:type="dxa" w:w="2800"/>
            <w:tcBorders>
              <w:top w:val="single" w:color="CCCCCC" w:sz="1"/>
              <w:left w:val="single" w:color="CCCCCC" w:sz="1"/>
              <w:bottom w:val="single" w:color="CCCCCC" w:sz="1"/>
              <w:right w:val="single" w:color="CCCCCC" w:sz="1"/>
            </w:tcBorders>
          </w:tcPr>
          <w:p>
            <w:r>
              <w:t xml:space="preserve">Perçage quincaillerie</w:t>
            </w:r>
          </w:p>
        </w:tc>
        <w:tc>
          <w:tcPr>
            <w:tcW w:type="dxa" w:w="2800"/>
            <w:tcBorders>
              <w:top w:val="single" w:color="CCCCCC" w:sz="1"/>
              <w:left w:val="single" w:color="CCCCCC" w:sz="1"/>
              <w:bottom w:val="single" w:color="CCCCCC" w:sz="1"/>
              <w:right w:val="single" w:color="CCCCCC" w:sz="1"/>
            </w:tcBorders>
          </w:tcPr>
          <w:p>
            <w:r>
              <w:t xml:space="preserve">Par type de ferrure</w:t>
            </w:r>
          </w:p>
        </w:tc>
        <w:tc>
          <w:tcPr>
            <w:tcW w:type="dxa" w:w="3760"/>
            <w:tcBorders>
              <w:top w:val="single" w:color="CCCCCC" w:sz="1"/>
              <w:left w:val="single" w:color="CCCCCC" w:sz="1"/>
              <w:bottom w:val="single" w:color="CCCCCC" w:sz="1"/>
              <w:right w:val="single" w:color="CCCCCC" w:sz="1"/>
            </w:tcBorders>
          </w:tcPr>
          <w:p>
            <w:r>
              <w:t xml:space="preserve">nb_ferrures × pricePerHardware × qty</w:t>
            </w:r>
          </w:p>
        </w:tc>
      </w:tr>
      <w:tr>
        <w:tc>
          <w:tcPr>
            <w:tcW w:type="dxa" w:w="2800"/>
            <w:tcBorders>
              <w:top w:val="single" w:color="CCCCCC" w:sz="1"/>
              <w:left w:val="single" w:color="CCCCCC" w:sz="1"/>
              <w:bottom w:val="single" w:color="CCCCCC" w:sz="1"/>
              <w:right w:val="single" w:color="CCCCCC" w:sz="1"/>
            </w:tcBorders>
            <w:shd w:fill="F5F7FA" w:val="clear"/>
          </w:tcPr>
          <w:p>
            <w:r>
              <w:t xml:space="preserve">Usinage</w:t>
            </w:r>
          </w:p>
        </w:tc>
        <w:tc>
          <w:tcPr>
            <w:tcW w:type="dxa" w:w="2800"/>
            <w:tcBorders>
              <w:top w:val="single" w:color="CCCCCC" w:sz="1"/>
              <w:left w:val="single" w:color="CCCCCC" w:sz="1"/>
              <w:bottom w:val="single" w:color="CCCCCC" w:sz="1"/>
              <w:right w:val="single" w:color="CCCCCC" w:sz="1"/>
            </w:tcBorders>
            <w:shd w:fill="F5F7FA" w:val="clear"/>
          </w:tcPr>
          <w:p>
            <w:r>
              <w:t xml:space="preserve">Au temps ou au mètre</w:t>
            </w:r>
          </w:p>
        </w:tc>
        <w:tc>
          <w:tcPr>
            <w:tcW w:type="dxa" w:w="3760"/>
            <w:tcBorders>
              <w:top w:val="single" w:color="CCCCCC" w:sz="1"/>
              <w:left w:val="single" w:color="CCCCCC" w:sz="1"/>
              <w:bottom w:val="single" w:color="CCCCCC" w:sz="1"/>
              <w:right w:val="single" w:color="CCCCCC" w:sz="1"/>
            </w:tcBorders>
            <w:shd w:fill="F5F7FA" w:val="clear"/>
          </w:tcPr>
          <w:p>
            <w:r>
              <w:t xml:space="preserve">longueur_usinage × pricePerMeter × qty</w:t>
            </w:r>
          </w:p>
        </w:tc>
      </w:tr>
      <w:tr>
        <w:tc>
          <w:tcPr>
            <w:tcW w:type="dxa" w:w="2800"/>
            <w:tcBorders>
              <w:top w:val="single" w:color="CCCCCC" w:sz="1"/>
              <w:left w:val="single" w:color="CCCCCC" w:sz="1"/>
              <w:bottom w:val="single" w:color="CCCCCC" w:sz="1"/>
              <w:right w:val="single" w:color="CCCCCC" w:sz="1"/>
            </w:tcBorders>
          </w:tcPr>
          <w:p>
            <w:r>
              <w:t xml:space="preserve">Finition laquage</w:t>
            </w:r>
          </w:p>
        </w:tc>
        <w:tc>
          <w:tcPr>
            <w:tcW w:type="dxa" w:w="2800"/>
            <w:tcBorders>
              <w:top w:val="single" w:color="CCCCCC" w:sz="1"/>
              <w:left w:val="single" w:color="CCCCCC" w:sz="1"/>
              <w:bottom w:val="single" w:color="CCCCCC" w:sz="1"/>
              <w:right w:val="single" w:color="CCCCCC" w:sz="1"/>
            </w:tcBorders>
          </w:tcPr>
          <w:p>
            <w:r>
              <w:t xml:space="preserve">Au m²</w:t>
            </w:r>
          </w:p>
        </w:tc>
        <w:tc>
          <w:tcPr>
            <w:tcW w:type="dxa" w:w="3760"/>
            <w:tcBorders>
              <w:top w:val="single" w:color="CCCCCC" w:sz="1"/>
              <w:left w:val="single" w:color="CCCCCC" w:sz="1"/>
              <w:bottom w:val="single" w:color="CCCCCC" w:sz="1"/>
              <w:right w:val="single" w:color="CCCCCC" w:sz="1"/>
            </w:tcBorders>
          </w:tcPr>
          <w:p>
            <w:r>
              <w:t xml:space="preserve">surface_traitée × pricePerM2 × qty</w:t>
            </w:r>
          </w:p>
        </w:tc>
      </w:tr>
      <w:tr>
        <w:tc>
          <w:tcPr>
            <w:tcW w:type="dxa" w:w="2800"/>
            <w:tcBorders>
              <w:top w:val="single" w:color="CCCCCC" w:sz="1"/>
              <w:left w:val="single" w:color="CCCCCC" w:sz="1"/>
              <w:bottom w:val="single" w:color="CCCCCC" w:sz="1"/>
              <w:right w:val="single" w:color="CCCCCC" w:sz="1"/>
            </w:tcBorders>
            <w:shd w:fill="F5F7FA" w:val="clear"/>
          </w:tcPr>
          <w:p>
            <w:r>
              <w:t xml:space="preserve">Finition vernissage</w:t>
            </w:r>
          </w:p>
        </w:tc>
        <w:tc>
          <w:tcPr>
            <w:tcW w:type="dxa" w:w="2800"/>
            <w:tcBorders>
              <w:top w:val="single" w:color="CCCCCC" w:sz="1"/>
              <w:left w:val="single" w:color="CCCCCC" w:sz="1"/>
              <w:bottom w:val="single" w:color="CCCCCC" w:sz="1"/>
              <w:right w:val="single" w:color="CCCCCC" w:sz="1"/>
            </w:tcBorders>
            <w:shd w:fill="F5F7FA" w:val="clear"/>
          </w:tcPr>
          <w:p>
            <w:r>
              <w:t xml:space="preserve">Au m²</w:t>
            </w:r>
          </w:p>
        </w:tc>
        <w:tc>
          <w:tcPr>
            <w:tcW w:type="dxa" w:w="3760"/>
            <w:tcBorders>
              <w:top w:val="single" w:color="CCCCCC" w:sz="1"/>
              <w:left w:val="single" w:color="CCCCCC" w:sz="1"/>
              <w:bottom w:val="single" w:color="CCCCCC" w:sz="1"/>
              <w:right w:val="single" w:color="CCCCCC" w:sz="1"/>
            </w:tcBorders>
            <w:shd w:fill="F5F7FA" w:val="clear"/>
          </w:tcPr>
          <w:p>
            <w:r>
              <w:t xml:space="preserve">surface_traitée × pricePerM2 × qty</w:t>
            </w:r>
          </w:p>
        </w:tc>
      </w:tr>
    </w:tbl>
    <w:p>
      <w:pPr>
        <w:spacing w:after="300"/>
      </w:pPr>
    </w:p>
    <w:p>
      <w:pPr>
        <w:pStyle w:val="Heading2"/>
      </w:pPr>
      <w:r>
        <w:t xml:space="preserve">7.2 Gestion des Tarifs</w:t>
      </w:r>
    </w:p>
    <w:p>
      <w:pPr>
        <w:pStyle w:val="ListParagraph"/>
        <w:numPr>
          <w:ilvl w:val="0"/>
          <w:numId w:val="2"/>
        </w:numPr>
        <w:spacing w:after="100"/>
      </w:pPr>
      <w:r>
        <w:t xml:space="preserve">Interface d'administration pour la mise à jour des tarifs</w:t>
      </w:r>
    </w:p>
    <w:p>
      <w:pPr>
        <w:pStyle w:val="ListParagraph"/>
        <w:numPr>
          <w:ilvl w:val="0"/>
          <w:numId w:val="2"/>
        </w:numPr>
        <w:spacing w:after="100"/>
      </w:pPr>
      <w:r>
        <w:t xml:space="preserve">Historique des modifications tarifaires</w:t>
      </w:r>
    </w:p>
    <w:p>
      <w:pPr>
        <w:pStyle w:val="ListParagraph"/>
        <w:numPr>
          <w:ilvl w:val="0"/>
          <w:numId w:val="2"/>
        </w:numPr>
        <w:spacing w:after="100"/>
      </w:pPr>
      <w:r>
        <w:t xml:space="preserve">Grilles de prix par client/catégorie client (remises)</w:t>
      </w:r>
    </w:p>
    <w:p>
      <w:pPr>
        <w:pStyle w:val="ListParagraph"/>
        <w:numPr>
          <w:ilvl w:val="0"/>
          <w:numId w:val="2"/>
        </w:numPr>
        <w:spacing w:after="200"/>
      </w:pPr>
      <w:r>
        <w:t xml:space="preserve">Coefficients de marge configurables</w:t>
      </w:r>
    </w:p>
    <w:p>
      <w:r>
        <w:br w:type="page"/>
      </w:r>
    </w:p>
    <w:p>
      <w:pPr>
        <w:pStyle w:val="Heading1"/>
      </w:pPr>
      <w:r>
        <w:t xml:space="preserve">8. Administration</w:t>
      </w:r>
    </w:p>
    <w:p>
      <w:pPr>
        <w:pStyle w:val="Heading2"/>
      </w:pPr>
      <w:r>
        <w:t xml:space="preserve">8.1 Gestion du Catalogue</w:t>
      </w:r>
    </w:p>
    <w:p>
      <w:pPr>
        <w:pStyle w:val="ListParagraph"/>
        <w:numPr>
          <w:ilvl w:val="0"/>
          <w:numId w:val="2"/>
        </w:numPr>
        <w:spacing w:after="100"/>
      </w:pPr>
      <w:r>
        <w:rPr>
          <w:b/>
          <w:bCs/>
        </w:rPr>
        <w:t xml:space="preserve">Panneaux : </w:t>
      </w:r>
      <w:r>
        <w:t xml:space="preserve">CRUD complet, import/export CSV, gestion images</w:t>
      </w:r>
    </w:p>
    <w:p>
      <w:pPr>
        <w:pStyle w:val="ListParagraph"/>
        <w:numPr>
          <w:ilvl w:val="0"/>
          <w:numId w:val="2"/>
        </w:numPr>
        <w:spacing w:after="100"/>
      </w:pPr>
      <w:r>
        <w:rPr>
          <w:b/>
          <w:bCs/>
        </w:rPr>
        <w:t xml:space="preserve">Chants : </w:t>
      </w:r>
      <w:r>
        <w:t xml:space="preserve">CRUD, association avec panneaux compatibles</w:t>
      </w:r>
    </w:p>
    <w:p>
      <w:pPr>
        <w:pStyle w:val="ListParagraph"/>
        <w:numPr>
          <w:ilvl w:val="0"/>
          <w:numId w:val="2"/>
        </w:numPr>
        <w:spacing w:after="100"/>
      </w:pPr>
      <w:r>
        <w:rPr>
          <w:b/>
          <w:bCs/>
        </w:rPr>
        <w:t xml:space="preserve">Quincaillerie : </w:t>
      </w:r>
      <w:r>
        <w:t xml:space="preserve">base de données avec schémas de perçage</w:t>
      </w:r>
    </w:p>
    <w:p>
      <w:pPr>
        <w:pStyle w:val="ListParagraph"/>
        <w:numPr>
          <w:ilvl w:val="0"/>
          <w:numId w:val="2"/>
        </w:numPr>
        <w:spacing w:after="200"/>
      </w:pPr>
      <w:r>
        <w:rPr>
          <w:b/>
          <w:bCs/>
        </w:rPr>
        <w:t xml:space="preserve">Tarifs : </w:t>
      </w:r>
      <w:r>
        <w:t xml:space="preserve">mise à jour des prix, coefficients, promotions</w:t>
      </w:r>
    </w:p>
    <w:p>
      <w:pPr>
        <w:pStyle w:val="Heading2"/>
      </w:pPr>
      <w:r>
        <w:t xml:space="preserve">8.2 Gestion des Commandes</w:t>
      </w:r>
    </w:p>
    <w:p>
      <w:pPr>
        <w:pStyle w:val="ListParagraph"/>
        <w:numPr>
          <w:ilvl w:val="0"/>
          <w:numId w:val="2"/>
        </w:numPr>
        <w:spacing w:after="100"/>
      </w:pPr>
      <w:r>
        <w:t xml:space="preserve">Vue liste avec filtres (statut, date, client)</w:t>
      </w:r>
    </w:p>
    <w:p>
      <w:pPr>
        <w:pStyle w:val="ListParagraph"/>
        <w:numPr>
          <w:ilvl w:val="0"/>
          <w:numId w:val="2"/>
        </w:numPr>
        <w:spacing w:after="100"/>
      </w:pPr>
      <w:r>
        <w:t xml:space="preserve">Détail commande avec modification possible avant production</w:t>
      </w:r>
    </w:p>
    <w:p>
      <w:pPr>
        <w:pStyle w:val="ListParagraph"/>
        <w:numPr>
          <w:ilvl w:val="0"/>
          <w:numId w:val="2"/>
        </w:numPr>
        <w:spacing w:after="100"/>
      </w:pPr>
      <w:r>
        <w:t xml:space="preserve">Changement de statut avec notifications automatiques</w:t>
      </w:r>
    </w:p>
    <w:p>
      <w:pPr>
        <w:pStyle w:val="ListParagraph"/>
        <w:numPr>
          <w:ilvl w:val="0"/>
          <w:numId w:val="2"/>
        </w:numPr>
        <w:spacing w:after="200"/>
      </w:pPr>
      <w:r>
        <w:t xml:space="preserve">Export fiches de débit pour production</w:t>
      </w:r>
    </w:p>
    <w:p>
      <w:pPr>
        <w:pStyle w:val="Heading2"/>
      </w:pPr>
      <w:r>
        <w:t xml:space="preserve">8.3 Gestion des Utilisateurs</w:t>
      </w:r>
    </w:p>
    <w:p>
      <w:pPr>
        <w:pStyle w:val="ListParagraph"/>
        <w:numPr>
          <w:ilvl w:val="0"/>
          <w:numId w:val="2"/>
        </w:numPr>
        <w:spacing w:after="100"/>
      </w:pPr>
      <w:r>
        <w:t xml:space="preserve">Création de comptes clients professionnels</w:t>
      </w:r>
    </w:p>
    <w:p>
      <w:pPr>
        <w:pStyle w:val="ListParagraph"/>
        <w:numPr>
          <w:ilvl w:val="0"/>
          <w:numId w:val="2"/>
        </w:numPr>
        <w:spacing w:after="100"/>
      </w:pPr>
      <w:r>
        <w:t xml:space="preserve">Attribution de rôles (admin, production, client)</w:t>
      </w:r>
    </w:p>
    <w:p>
      <w:pPr>
        <w:pStyle w:val="ListParagraph"/>
        <w:numPr>
          <w:ilvl w:val="0"/>
          <w:numId w:val="2"/>
        </w:numPr>
        <w:spacing w:after="100"/>
      </w:pPr>
      <w:r>
        <w:t xml:space="preserve">Configuration des remises par client</w:t>
      </w:r>
    </w:p>
    <w:p>
      <w:pPr>
        <w:pStyle w:val="ListParagraph"/>
        <w:numPr>
          <w:ilvl w:val="0"/>
          <w:numId w:val="2"/>
        </w:numPr>
        <w:spacing w:after="200"/>
      </w:pPr>
      <w:r>
        <w:t xml:space="preserve">Conditions de paiement personnalisées</w:t>
      </w:r>
    </w:p>
    <w:p>
      <w:pPr>
        <w:pStyle w:val="Heading2"/>
      </w:pPr>
      <w:r>
        <w:t xml:space="preserve">8.4 Statistiques et Reporting</w:t>
      </w:r>
    </w:p>
    <w:p>
      <w:pPr>
        <w:pStyle w:val="ListParagraph"/>
        <w:numPr>
          <w:ilvl w:val="0"/>
          <w:numId w:val="2"/>
        </w:numPr>
        <w:spacing w:after="100"/>
      </w:pPr>
      <w:r>
        <w:t xml:space="preserve">Dashboard avec KPIs : CA, nombre commandes, panier moyen</w:t>
      </w:r>
    </w:p>
    <w:p>
      <w:pPr>
        <w:pStyle w:val="ListParagraph"/>
        <w:numPr>
          <w:ilvl w:val="0"/>
          <w:numId w:val="2"/>
        </w:numPr>
        <w:spacing w:after="100"/>
      </w:pPr>
      <w:r>
        <w:t xml:space="preserve">Analyse des ventes par matière, par client</w:t>
      </w:r>
    </w:p>
    <w:p>
      <w:pPr>
        <w:pStyle w:val="ListParagraph"/>
        <w:numPr>
          <w:ilvl w:val="0"/>
          <w:numId w:val="2"/>
        </w:numPr>
        <w:spacing w:after="100"/>
      </w:pPr>
      <w:r>
        <w:t xml:space="preserve">Suivi des stocks panneaux (optionnel)</w:t>
      </w:r>
    </w:p>
    <w:p>
      <w:pPr>
        <w:pStyle w:val="ListParagraph"/>
        <w:numPr>
          <w:ilvl w:val="0"/>
          <w:numId w:val="2"/>
        </w:numPr>
        <w:spacing w:after="200"/>
      </w:pPr>
      <w:r>
        <w:t xml:space="preserve">Export des données pour comptabilité</w:t>
      </w:r>
    </w:p>
    <w:p>
      <w:r>
        <w:br w:type="page"/>
      </w:r>
    </w:p>
    <w:p>
      <w:pPr>
        <w:pStyle w:val="Heading1"/>
      </w:pPr>
      <w:r>
        <w:t xml:space="preserve">9. Planning et Livrables</w:t>
      </w:r>
    </w:p>
    <w:p>
      <w:pPr>
        <w:pStyle w:val="Heading2"/>
      </w:pPr>
      <w:r>
        <w:t xml:space="preserve">9.1 Phases de Développement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000"/>
        <w:gridCol w:w="1760"/>
      </w:tblGrid>
      <w:tr>
        <w:trPr>
          <w:tblHeader/>
        </w:trPr>
        <w:tc>
          <w:tcPr>
            <w:tcW w:type="dxa" w:w="1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Phase</w:t>
            </w:r>
          </w:p>
        </w:tc>
        <w:tc>
          <w:tcPr>
            <w:tcW w:type="dxa" w:w="38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Description</w:t>
            </w:r>
          </w:p>
        </w:tc>
        <w:tc>
          <w:tcPr>
            <w:tcW w:type="dxa" w:w="200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Durée</w:t>
            </w:r>
          </w:p>
        </w:tc>
        <w:tc>
          <w:tcPr>
            <w:tcW w:type="dxa" w:w="1760"/>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Livrables</w:t>
            </w:r>
          </w:p>
        </w:tc>
      </w:tr>
      <w:tr>
        <w:tc>
          <w:tcPr>
            <w:tcW w:type="dxa" w:w="1800"/>
            <w:tcBorders>
              <w:top w:val="single" w:color="CCCCCC" w:sz="1"/>
              <w:left w:val="single" w:color="CCCCCC" w:sz="1"/>
              <w:bottom w:val="single" w:color="CCCCCC" w:sz="1"/>
              <w:right w:val="single" w:color="CCCCCC" w:sz="1"/>
            </w:tcBorders>
          </w:tcPr>
          <w:p>
            <w:r>
              <w:rPr>
                <w:b/>
                <w:bCs/>
              </w:rPr>
              <w:t xml:space="preserve">1. Setup</w:t>
            </w:r>
          </w:p>
        </w:tc>
        <w:tc>
          <w:tcPr>
            <w:tcW w:type="dxa" w:w="3800"/>
            <w:tcBorders>
              <w:top w:val="single" w:color="CCCCCC" w:sz="1"/>
              <w:left w:val="single" w:color="CCCCCC" w:sz="1"/>
              <w:bottom w:val="single" w:color="CCCCCC" w:sz="1"/>
              <w:right w:val="single" w:color="CCCCCC" w:sz="1"/>
            </w:tcBorders>
          </w:tcPr>
          <w:p>
            <w:r>
              <w:t xml:space="preserve">Architecture, BDD, auth, CI/CD</w:t>
            </w:r>
          </w:p>
        </w:tc>
        <w:tc>
          <w:tcPr>
            <w:tcW w:type="dxa" w:w="2000"/>
            <w:tcBorders>
              <w:top w:val="single" w:color="CCCCCC" w:sz="1"/>
              <w:left w:val="single" w:color="CCCCCC" w:sz="1"/>
              <w:bottom w:val="single" w:color="CCCCCC" w:sz="1"/>
              <w:right w:val="single" w:color="CCCCCC" w:sz="1"/>
            </w:tcBorders>
          </w:tcPr>
          <w:p>
            <w:pPr>
              <w:jc w:val="center"/>
            </w:pPr>
            <w:r>
              <w:t xml:space="preserve">2 semaines</w:t>
            </w:r>
          </w:p>
        </w:tc>
        <w:tc>
          <w:tcPr>
            <w:tcW w:type="dxa" w:w="1760"/>
            <w:tcBorders>
              <w:top w:val="single" w:color="CCCCCC" w:sz="1"/>
              <w:left w:val="single" w:color="CCCCCC" w:sz="1"/>
              <w:bottom w:val="single" w:color="CCCCCC" w:sz="1"/>
              <w:right w:val="single" w:color="CCCCCC" w:sz="1"/>
            </w:tcBorders>
          </w:tcPr>
          <w:p>
            <w:r>
              <w:t xml:space="preserve">Environnement</w:t>
            </w:r>
          </w:p>
        </w:tc>
      </w:tr>
      <w:tr>
        <w:tc>
          <w:tcPr>
            <w:tcW w:type="dxa" w:w="1800"/>
            <w:tcBorders>
              <w:top w:val="single" w:color="CCCCCC" w:sz="1"/>
              <w:left w:val="single" w:color="CCCCCC" w:sz="1"/>
              <w:bottom w:val="single" w:color="CCCCCC" w:sz="1"/>
              <w:right w:val="single" w:color="CCCCCC" w:sz="1"/>
            </w:tcBorders>
            <w:shd w:fill="F5F7FA" w:val="clear"/>
          </w:tcPr>
          <w:p>
            <w:r>
              <w:rPr>
                <w:b/>
                <w:bCs/>
              </w:rPr>
              <w:t xml:space="preserve">2. Admin</w:t>
            </w:r>
          </w:p>
        </w:tc>
        <w:tc>
          <w:tcPr>
            <w:tcW w:type="dxa" w:w="3800"/>
            <w:tcBorders>
              <w:top w:val="single" w:color="CCCCCC" w:sz="1"/>
              <w:left w:val="single" w:color="CCCCCC" w:sz="1"/>
              <w:bottom w:val="single" w:color="CCCCCC" w:sz="1"/>
              <w:right w:val="single" w:color="CCCCCC" w:sz="1"/>
            </w:tcBorders>
            <w:shd w:fill="F5F7FA" w:val="clear"/>
          </w:tcPr>
          <w:p>
            <w:r>
              <w:t xml:space="preserve">CRUD catalogue, tarifs, utilisateurs</w:t>
            </w:r>
          </w:p>
        </w:tc>
        <w:tc>
          <w:tcPr>
            <w:tcW w:type="dxa" w:w="2000"/>
            <w:tcBorders>
              <w:top w:val="single" w:color="CCCCCC" w:sz="1"/>
              <w:left w:val="single" w:color="CCCCCC" w:sz="1"/>
              <w:bottom w:val="single" w:color="CCCCCC" w:sz="1"/>
              <w:right w:val="single" w:color="CCCCCC" w:sz="1"/>
            </w:tcBorders>
            <w:shd w:fill="F5F7FA" w:val="clear"/>
          </w:tcPr>
          <w:p>
            <w:pPr>
              <w:jc w:val="center"/>
            </w:pPr>
            <w:r>
              <w:t xml:space="preserve">3 semaines</w:t>
            </w:r>
          </w:p>
        </w:tc>
        <w:tc>
          <w:tcPr>
            <w:tcW w:type="dxa" w:w="1760"/>
            <w:tcBorders>
              <w:top w:val="single" w:color="CCCCCC" w:sz="1"/>
              <w:left w:val="single" w:color="CCCCCC" w:sz="1"/>
              <w:bottom w:val="single" w:color="CCCCCC" w:sz="1"/>
              <w:right w:val="single" w:color="CCCCCC" w:sz="1"/>
            </w:tcBorders>
            <w:shd w:fill="F5F7FA" w:val="clear"/>
          </w:tcPr>
          <w:p>
            <w:r>
              <w:t xml:space="preserve">Back-office</w:t>
            </w:r>
          </w:p>
        </w:tc>
      </w:tr>
      <w:tr>
        <w:tc>
          <w:tcPr>
            <w:tcW w:type="dxa" w:w="1800"/>
            <w:tcBorders>
              <w:top w:val="single" w:color="CCCCCC" w:sz="1"/>
              <w:left w:val="single" w:color="CCCCCC" w:sz="1"/>
              <w:bottom w:val="single" w:color="CCCCCC" w:sz="1"/>
              <w:right w:val="single" w:color="CCCCCC" w:sz="1"/>
            </w:tcBorders>
          </w:tcPr>
          <w:p>
            <w:r>
              <w:rPr>
                <w:b/>
                <w:bCs/>
              </w:rPr>
              <w:t xml:space="preserve">3. Configurateur</w:t>
            </w:r>
          </w:p>
        </w:tc>
        <w:tc>
          <w:tcPr>
            <w:tcW w:type="dxa" w:w="3800"/>
            <w:tcBorders>
              <w:top w:val="single" w:color="CCCCCC" w:sz="1"/>
              <w:left w:val="single" w:color="CCCCCC" w:sz="1"/>
              <w:bottom w:val="single" w:color="CCCCCC" w:sz="1"/>
              <w:right w:val="single" w:color="CCCCCC" w:sz="1"/>
            </w:tcBorders>
          </w:tcPr>
          <w:p>
            <w:r>
              <w:t xml:space="preserve">Wizard complet, visualiseur, calcul prix</w:t>
            </w:r>
          </w:p>
        </w:tc>
        <w:tc>
          <w:tcPr>
            <w:tcW w:type="dxa" w:w="2000"/>
            <w:tcBorders>
              <w:top w:val="single" w:color="CCCCCC" w:sz="1"/>
              <w:left w:val="single" w:color="CCCCCC" w:sz="1"/>
              <w:bottom w:val="single" w:color="CCCCCC" w:sz="1"/>
              <w:right w:val="single" w:color="CCCCCC" w:sz="1"/>
            </w:tcBorders>
          </w:tcPr>
          <w:p>
            <w:pPr>
              <w:jc w:val="center"/>
            </w:pPr>
            <w:r>
              <w:t xml:space="preserve">5 semaines</w:t>
            </w:r>
          </w:p>
        </w:tc>
        <w:tc>
          <w:tcPr>
            <w:tcW w:type="dxa" w:w="1760"/>
            <w:tcBorders>
              <w:top w:val="single" w:color="CCCCCC" w:sz="1"/>
              <w:left w:val="single" w:color="CCCCCC" w:sz="1"/>
              <w:bottom w:val="single" w:color="CCCCCC" w:sz="1"/>
              <w:right w:val="single" w:color="CCCCCC" w:sz="1"/>
            </w:tcBorders>
          </w:tcPr>
          <w:p>
            <w:r>
              <w:t xml:space="preserve">Configurateur</w:t>
            </w:r>
          </w:p>
        </w:tc>
      </w:tr>
      <w:tr>
        <w:tc>
          <w:tcPr>
            <w:tcW w:type="dxa" w:w="1800"/>
            <w:tcBorders>
              <w:top w:val="single" w:color="CCCCCC" w:sz="1"/>
              <w:left w:val="single" w:color="CCCCCC" w:sz="1"/>
              <w:bottom w:val="single" w:color="CCCCCC" w:sz="1"/>
              <w:right w:val="single" w:color="CCCCCC" w:sz="1"/>
            </w:tcBorders>
            <w:shd w:fill="F5F7FA" w:val="clear"/>
          </w:tcPr>
          <w:p>
            <w:r>
              <w:rPr>
                <w:b/>
                <w:bCs/>
              </w:rPr>
              <w:t xml:space="preserve">4. Commandes</w:t>
            </w:r>
          </w:p>
        </w:tc>
        <w:tc>
          <w:tcPr>
            <w:tcW w:type="dxa" w:w="3800"/>
            <w:tcBorders>
              <w:top w:val="single" w:color="CCCCCC" w:sz="1"/>
              <w:left w:val="single" w:color="CCCCCC" w:sz="1"/>
              <w:bottom w:val="single" w:color="CCCCCC" w:sz="1"/>
              <w:right w:val="single" w:color="CCCCCC" w:sz="1"/>
            </w:tcBorders>
            <w:shd w:fill="F5F7FA" w:val="clear"/>
          </w:tcPr>
          <w:p>
            <w:r>
              <w:t xml:space="preserve">Panier, validation, export PDF</w:t>
            </w:r>
          </w:p>
        </w:tc>
        <w:tc>
          <w:tcPr>
            <w:tcW w:type="dxa" w:w="2000"/>
            <w:tcBorders>
              <w:top w:val="single" w:color="CCCCCC" w:sz="1"/>
              <w:left w:val="single" w:color="CCCCCC" w:sz="1"/>
              <w:bottom w:val="single" w:color="CCCCCC" w:sz="1"/>
              <w:right w:val="single" w:color="CCCCCC" w:sz="1"/>
            </w:tcBorders>
            <w:shd w:fill="F5F7FA" w:val="clear"/>
          </w:tcPr>
          <w:p>
            <w:pPr>
              <w:jc w:val="center"/>
            </w:pPr>
            <w:r>
              <w:t xml:space="preserve">3 semaines</w:t>
            </w:r>
          </w:p>
        </w:tc>
        <w:tc>
          <w:tcPr>
            <w:tcW w:type="dxa" w:w="1760"/>
            <w:tcBorders>
              <w:top w:val="single" w:color="CCCCCC" w:sz="1"/>
              <w:left w:val="single" w:color="CCCCCC" w:sz="1"/>
              <w:bottom w:val="single" w:color="CCCCCC" w:sz="1"/>
              <w:right w:val="single" w:color="CCCCCC" w:sz="1"/>
            </w:tcBorders>
            <w:shd w:fill="F5F7FA" w:val="clear"/>
          </w:tcPr>
          <w:p>
            <w:r>
              <w:t xml:space="preserve">Module ventes</w:t>
            </w:r>
          </w:p>
        </w:tc>
      </w:tr>
      <w:tr>
        <w:tc>
          <w:tcPr>
            <w:tcW w:type="dxa" w:w="1800"/>
            <w:tcBorders>
              <w:top w:val="single" w:color="CCCCCC" w:sz="1"/>
              <w:left w:val="single" w:color="CCCCCC" w:sz="1"/>
              <w:bottom w:val="single" w:color="CCCCCC" w:sz="1"/>
              <w:right w:val="single" w:color="CCCCCC" w:sz="1"/>
            </w:tcBorders>
          </w:tcPr>
          <w:p>
            <w:r>
              <w:rPr>
                <w:b/>
                <w:bCs/>
              </w:rPr>
              <w:t xml:space="preserve">5. Intégration</w:t>
            </w:r>
          </w:p>
        </w:tc>
        <w:tc>
          <w:tcPr>
            <w:tcW w:type="dxa" w:w="3800"/>
            <w:tcBorders>
              <w:top w:val="single" w:color="CCCCCC" w:sz="1"/>
              <w:left w:val="single" w:color="CCCCCC" w:sz="1"/>
              <w:bottom w:val="single" w:color="CCCCCC" w:sz="1"/>
              <w:right w:val="single" w:color="CCCCCC" w:sz="1"/>
            </w:tcBorders>
          </w:tcPr>
          <w:p>
            <w:r>
              <w:t xml:space="preserve">Tests, corrections, déploiement</w:t>
            </w:r>
          </w:p>
        </w:tc>
        <w:tc>
          <w:tcPr>
            <w:tcW w:type="dxa" w:w="2000"/>
            <w:tcBorders>
              <w:top w:val="single" w:color="CCCCCC" w:sz="1"/>
              <w:left w:val="single" w:color="CCCCCC" w:sz="1"/>
              <w:bottom w:val="single" w:color="CCCCCC" w:sz="1"/>
              <w:right w:val="single" w:color="CCCCCC" w:sz="1"/>
            </w:tcBorders>
          </w:tcPr>
          <w:p>
            <w:pPr>
              <w:jc w:val="center"/>
            </w:pPr>
            <w:r>
              <w:t xml:space="preserve">2 semaines</w:t>
            </w:r>
          </w:p>
        </w:tc>
        <w:tc>
          <w:tcPr>
            <w:tcW w:type="dxa" w:w="1760"/>
            <w:tcBorders>
              <w:top w:val="single" w:color="CCCCCC" w:sz="1"/>
              <w:left w:val="single" w:color="CCCCCC" w:sz="1"/>
              <w:bottom w:val="single" w:color="CCCCCC" w:sz="1"/>
              <w:right w:val="single" w:color="CCCCCC" w:sz="1"/>
            </w:tcBorders>
          </w:tcPr>
          <w:p>
            <w:r>
              <w:t xml:space="preserve">Production</w:t>
            </w:r>
          </w:p>
        </w:tc>
      </w:tr>
    </w:tbl>
    <w:p>
      <w:pPr>
        <w:spacing w:after="200"/>
      </w:pPr>
    </w:p>
    <w:p>
      <w:pPr>
        <w:spacing w:after="200"/>
      </w:pPr>
      <w:r>
        <w:rPr>
          <w:b/>
          <w:bCs/>
        </w:rPr>
        <w:t xml:space="preserve">Durée totale estimée : </w:t>
      </w:r>
      <w:r>
        <w:t xml:space="preserve">15 semaines (environ 4 mois)</w:t>
      </w:r>
    </w:p>
    <w:p>
      <w:pPr>
        <w:pStyle w:val="Heading2"/>
      </w:pPr>
      <w:r>
        <w:t xml:space="preserve">9.2 Livrables</w:t>
      </w:r>
    </w:p>
    <w:p>
      <w:pPr>
        <w:pStyle w:val="ListParagraph"/>
        <w:numPr>
          <w:ilvl w:val="0"/>
          <w:numId w:val="2"/>
        </w:numPr>
        <w:spacing w:after="100"/>
      </w:pPr>
      <w:r>
        <w:t xml:space="preserve">Code source avec documentation technique</w:t>
      </w:r>
    </w:p>
    <w:p>
      <w:pPr>
        <w:pStyle w:val="ListParagraph"/>
        <w:numPr>
          <w:ilvl w:val="0"/>
          <w:numId w:val="2"/>
        </w:numPr>
        <w:spacing w:after="100"/>
      </w:pPr>
      <w:r>
        <w:t xml:space="preserve">Application déployée sur environnement de production</w:t>
      </w:r>
    </w:p>
    <w:p>
      <w:pPr>
        <w:pStyle w:val="ListParagraph"/>
        <w:numPr>
          <w:ilvl w:val="0"/>
          <w:numId w:val="2"/>
        </w:numPr>
        <w:spacing w:after="100"/>
      </w:pPr>
      <w:r>
        <w:t xml:space="preserve">Guide d'administration</w:t>
      </w:r>
    </w:p>
    <w:p>
      <w:pPr>
        <w:pStyle w:val="ListParagraph"/>
        <w:numPr>
          <w:ilvl w:val="0"/>
          <w:numId w:val="2"/>
        </w:numPr>
        <w:spacing w:after="100"/>
      </w:pPr>
      <w:r>
        <w:t xml:space="preserve">Guide utilisateur</w:t>
      </w:r>
    </w:p>
    <w:p>
      <w:pPr>
        <w:pStyle w:val="ListParagraph"/>
        <w:numPr>
          <w:ilvl w:val="0"/>
          <w:numId w:val="2"/>
        </w:numPr>
        <w:spacing w:after="200"/>
      </w:pPr>
      <w:r>
        <w:t xml:space="preserve">Formation équipe (1 journée)</w:t>
      </w:r>
    </w:p>
    <w:p>
      <w:r>
        <w:br w:type="page"/>
      </w:r>
    </w:p>
    <w:p>
      <w:pPr>
        <w:pStyle w:val="Heading1"/>
      </w:pPr>
      <w:r>
        <w:t xml:space="preserve">10. Annexes Techniques</w:t>
      </w:r>
    </w:p>
    <w:p>
      <w:pPr>
        <w:pStyle w:val="Heading2"/>
      </w:pPr>
      <w:r>
        <w:t xml:space="preserve">10.1 Exemple de Structure de Projet</w:t>
      </w:r>
    </w:p>
    <w:p>
      <w:pPr>
        <w:spacing w:after="100"/>
      </w:pPr>
      <w:r>
        <w:rPr>
          <w:rFonts w:ascii="Consolas" w:cs="Consolas" w:eastAsia="Consolas" w:hAnsi="Consolas"/>
        </w:rPr>
        <w:t xml:space="preserve">/app</w:t>
      </w:r>
      <w:r>
        <w:t xml:space="preserve"> - Pages et routes Next.js (App Router)</w:t>
      </w:r>
    </w:p>
    <w:p>
      <w:pPr>
        <w:spacing w:after="100"/>
      </w:pPr>
      <w:r>
        <w:rPr>
          <w:rFonts w:ascii="Consolas" w:cs="Consolas" w:eastAsia="Consolas" w:hAnsi="Consolas"/>
        </w:rPr>
        <w:t xml:space="preserve">/components</w:t>
      </w:r>
      <w:r>
        <w:t xml:space="preserve"> - Composants React réutilisables</w:t>
      </w:r>
    </w:p>
    <w:p>
      <w:pPr>
        <w:spacing w:after="100"/>
      </w:pPr>
      <w:r>
        <w:rPr>
          <w:rFonts w:ascii="Consolas" w:cs="Consolas" w:eastAsia="Consolas" w:hAnsi="Consolas"/>
        </w:rPr>
        <w:t xml:space="preserve">/lib</w:t>
      </w:r>
      <w:r>
        <w:t xml:space="preserve"> - Utilitaires et helpers</w:t>
      </w:r>
    </w:p>
    <w:p>
      <w:pPr>
        <w:spacing w:after="100"/>
      </w:pPr>
      <w:r>
        <w:rPr>
          <w:rFonts w:ascii="Consolas" w:cs="Consolas" w:eastAsia="Consolas" w:hAnsi="Consolas"/>
        </w:rPr>
        <w:t xml:space="preserve">/services</w:t>
      </w:r>
      <w:r>
        <w:t xml:space="preserve"> - Logique métier (calcul prix, validations)</w:t>
      </w:r>
    </w:p>
    <w:p>
      <w:pPr>
        <w:spacing w:after="100"/>
      </w:pPr>
      <w:r>
        <w:rPr>
          <w:rFonts w:ascii="Consolas" w:cs="Consolas" w:eastAsia="Consolas" w:hAnsi="Consolas"/>
        </w:rPr>
        <w:t xml:space="preserve">/prisma</w:t>
      </w:r>
      <w:r>
        <w:t xml:space="preserve"> - Schéma et migrations base de données</w:t>
      </w:r>
    </w:p>
    <w:p>
      <w:pPr>
        <w:spacing w:after="200"/>
      </w:pPr>
      <w:r>
        <w:rPr>
          <w:rFonts w:ascii="Consolas" w:cs="Consolas" w:eastAsia="Consolas" w:hAnsi="Consolas"/>
        </w:rPr>
        <w:t xml:space="preserve">/public</w:t>
      </w:r>
      <w:r>
        <w:t xml:space="preserve"> - Assets statiques</w:t>
      </w:r>
    </w:p>
    <w:p>
      <w:pPr>
        <w:pStyle w:val="Heading2"/>
      </w:pPr>
      <w:r>
        <w:t xml:space="preserve">10.2 Environnement de Développement Recommandé</w:t>
      </w:r>
    </w:p>
    <w:p>
      <w:pPr>
        <w:pStyle w:val="ListParagraph"/>
        <w:numPr>
          <w:ilvl w:val="0"/>
          <w:numId w:val="2"/>
        </w:numPr>
        <w:spacing w:after="100"/>
      </w:pPr>
      <w:r>
        <w:rPr>
          <w:b/>
          <w:bCs/>
        </w:rPr>
        <w:t xml:space="preserve">IDE : </w:t>
      </w:r>
      <w:r>
        <w:t xml:space="preserve">VS Code avec extensions ESLint, Prettier, Prisma</w:t>
      </w:r>
    </w:p>
    <w:p>
      <w:pPr>
        <w:pStyle w:val="ListParagraph"/>
        <w:numPr>
          <w:ilvl w:val="0"/>
          <w:numId w:val="2"/>
        </w:numPr>
        <w:spacing w:after="100"/>
      </w:pPr>
      <w:r>
        <w:rPr>
          <w:b/>
          <w:bCs/>
        </w:rPr>
        <w:t xml:space="preserve">Node.js : </w:t>
      </w:r>
      <w:r>
        <w:t xml:space="preserve">v20 LTS ou supérieur</w:t>
      </w:r>
    </w:p>
    <w:p>
      <w:pPr>
        <w:pStyle w:val="ListParagraph"/>
        <w:numPr>
          <w:ilvl w:val="0"/>
          <w:numId w:val="2"/>
        </w:numPr>
        <w:spacing w:after="100"/>
      </w:pPr>
      <w:r>
        <w:rPr>
          <w:b/>
          <w:bCs/>
        </w:rPr>
        <w:t xml:space="preserve">Package Manager : </w:t>
      </w:r>
      <w:r>
        <w:t xml:space="preserve">pnpm (recommandé) ou npm</w:t>
      </w:r>
    </w:p>
    <w:p>
      <w:pPr>
        <w:pStyle w:val="ListParagraph"/>
        <w:numPr>
          <w:ilvl w:val="0"/>
          <w:numId w:val="2"/>
        </w:numPr>
        <w:spacing w:after="100"/>
      </w:pPr>
      <w:r>
        <w:rPr>
          <w:b/>
          <w:bCs/>
        </w:rPr>
        <w:t xml:space="preserve">Base de données locale : </w:t>
      </w:r>
      <w:r>
        <w:t xml:space="preserve">Docker + PostgreSQL</w:t>
      </w:r>
    </w:p>
    <w:p>
      <w:pPr>
        <w:pStyle w:val="ListParagraph"/>
        <w:numPr>
          <w:ilvl w:val="0"/>
          <w:numId w:val="2"/>
        </w:numPr>
        <w:spacing w:after="200"/>
      </w:pPr>
      <w:r>
        <w:rPr>
          <w:b/>
          <w:bCs/>
        </w:rPr>
        <w:t xml:space="preserve">Tests : </w:t>
      </w:r>
      <w:r>
        <w:t xml:space="preserve">Vitest + Playwright pour E2E</w:t>
      </w:r>
    </w:p>
    <w:p>
      <w:pPr>
        <w:pStyle w:val="Heading2"/>
      </w:pPr>
      <w:r>
        <w:t xml:space="preserve">10.3 Considérations de Sécurité</w:t>
      </w:r>
    </w:p>
    <w:p>
      <w:pPr>
        <w:pStyle w:val="ListParagraph"/>
        <w:numPr>
          <w:ilvl w:val="0"/>
          <w:numId w:val="2"/>
        </w:numPr>
        <w:spacing w:after="100"/>
      </w:pPr>
      <w:r>
        <w:t xml:space="preserve">HTTPS obligatoire en production</w:t>
      </w:r>
    </w:p>
    <w:p>
      <w:pPr>
        <w:pStyle w:val="ListParagraph"/>
        <w:numPr>
          <w:ilvl w:val="0"/>
          <w:numId w:val="2"/>
        </w:numPr>
        <w:spacing w:after="100"/>
      </w:pPr>
      <w:r>
        <w:t xml:space="preserve">Validation des entrées côté serveur (Zod)</w:t>
      </w:r>
    </w:p>
    <w:p>
      <w:pPr>
        <w:pStyle w:val="ListParagraph"/>
        <w:numPr>
          <w:ilvl w:val="0"/>
          <w:numId w:val="2"/>
        </w:numPr>
        <w:spacing w:after="100"/>
      </w:pPr>
      <w:r>
        <w:t xml:space="preserve">Protection CSRF automatique (Next.js)</w:t>
      </w:r>
    </w:p>
    <w:p>
      <w:pPr>
        <w:pStyle w:val="ListParagraph"/>
        <w:numPr>
          <w:ilvl w:val="0"/>
          <w:numId w:val="2"/>
        </w:numPr>
        <w:spacing w:after="100"/>
      </w:pPr>
      <w:r>
        <w:t xml:space="preserve">Rate limiting sur les endpoints sensibles</w:t>
      </w:r>
    </w:p>
    <w:p>
      <w:pPr>
        <w:pStyle w:val="ListParagraph"/>
        <w:numPr>
          <w:ilvl w:val="0"/>
          <w:numId w:val="2"/>
        </w:numPr>
        <w:spacing w:after="100"/>
      </w:pPr>
      <w:r>
        <w:t xml:space="preserve">Logs d'audit pour les actions admin</w:t>
      </w:r>
    </w:p>
    <w:p>
      <w:pPr>
        <w:pStyle w:val="ListParagraph"/>
        <w:numPr>
          <w:ilvl w:val="0"/>
          <w:numId w:val="2"/>
        </w:numPr>
        <w:spacing w:after="200"/>
      </w:pPr>
      <w:r>
        <w:t xml:space="preserve">Backup automatique de la base de données</w:t>
      </w:r>
    </w:p>
    <w:p>
      <w:pPr>
        <w:pStyle w:val="Heading2"/>
      </w:pPr>
      <w:r>
        <w:t xml:space="preserve">10.4 Évolutions Futures Possibles</w:t>
      </w:r>
    </w:p>
    <w:p>
      <w:pPr>
        <w:pStyle w:val="ListParagraph"/>
        <w:numPr>
          <w:ilvl w:val="0"/>
          <w:numId w:val="2"/>
        </w:numPr>
        <w:spacing w:after="100"/>
      </w:pPr>
      <w:r>
        <w:t xml:space="preserve">Optimisation de découpe automatique (algorithme de calepinage)</w:t>
      </w:r>
    </w:p>
    <w:p>
      <w:pPr>
        <w:pStyle w:val="ListParagraph"/>
        <w:numPr>
          <w:ilvl w:val="0"/>
          <w:numId w:val="2"/>
        </w:numPr>
        <w:spacing w:after="100"/>
      </w:pPr>
      <w:r>
        <w:t xml:space="preserve">Visualisation 3D des meubles complets</w:t>
      </w:r>
    </w:p>
    <w:p>
      <w:pPr>
        <w:pStyle w:val="ListParagraph"/>
        <w:numPr>
          <w:ilvl w:val="0"/>
          <w:numId w:val="2"/>
        </w:numPr>
        <w:spacing w:after="100"/>
      </w:pPr>
      <w:r>
        <w:t xml:space="preserve">Application mobile native</w:t>
      </w:r>
    </w:p>
    <w:p>
      <w:pPr>
        <w:pStyle w:val="ListParagraph"/>
        <w:numPr>
          <w:ilvl w:val="0"/>
          <w:numId w:val="2"/>
        </w:numPr>
        <w:spacing w:after="100"/>
      </w:pPr>
      <w:r>
        <w:t xml:space="preserve">Intégration ERP/comptabilité</w:t>
      </w:r>
    </w:p>
    <w:p>
      <w:pPr>
        <w:pStyle w:val="ListParagraph"/>
        <w:numPr>
          <w:ilvl w:val="0"/>
          <w:numId w:val="2"/>
        </w:numPr>
        <w:spacing w:after="100"/>
      </w:pPr>
      <w:r>
        <w:t xml:space="preserve">Export direct vers machines CNC</w:t>
      </w:r>
    </w:p>
    <w:p>
      <w:pPr>
        <w:pStyle w:val="ListParagraph"/>
        <w:numPr>
          <w:ilvl w:val="0"/>
          <w:numId w:val="2"/>
        </w:numPr>
        <w:spacing w:after="200"/>
      </w:pPr>
      <w:r>
        <w:t xml:space="preserve">Module de gestion de stock intégré</w:t>
      </w:r>
    </w:p>
    <w:p>
      <w:pPr>
        <w:spacing w:before="600"/>
      </w:pPr>
    </w:p>
    <w:p>
      <w:pPr>
        <w:jc w:val="center"/>
      </w:pPr>
      <w:r>
        <w:rPr>
          <w:i/>
          <w:iCs/>
          <w:color w:val="666666"/>
        </w:rPr>
        <w:t xml:space="preserve">— Fin du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Cahier des Charges - Configurateur Débit Panneaux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E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2025-12-18T08:52:27.153Z</dcterms:created>
  <dcterms:modified xsi:type="dcterms:W3CDTF">2025-12-18T08:52:27.154Z</dcterms:modified>
</cp:coreProperties>
</file>

<file path=docProps/custom.xml><?xml version="1.0" encoding="utf-8"?>
<Properties xmlns="http://schemas.openxmlformats.org/officeDocument/2006/custom-properties" xmlns:vt="http://schemas.openxmlformats.org/officeDocument/2006/docPropsVTypes"/>
</file>