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</w:t>
      </w:r>
      <w:r>
        <w:t>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pacity</w:t>
      </w:r>
      <w:r>
        <w:t xml:space="preserve">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 xml:space="preserve">여러 곳에 유용하게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</w:p>
    <w:p w14:paraId="6C429BF6" w14:textId="77777777" w:rsidR="006107BD" w:rsidRPr="006107BD" w:rsidRDefault="006107BD" w:rsidP="006107BD">
      <w:pPr>
        <w:ind w:left="105"/>
        <w:rPr>
          <w:rFonts w:hint="eastAsia"/>
        </w:rPr>
      </w:pPr>
    </w:p>
    <w:sectPr w:rsidR="006107BD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65171"/>
    <w:rsid w:val="003C70A8"/>
    <w:rsid w:val="00441E50"/>
    <w:rsid w:val="004C3D8B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C5666C"/>
    <w:rsid w:val="00CC0DF3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811EF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A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9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2022-01-23T02:00:00Z</dcterms:created>
  <dcterms:modified xsi:type="dcterms:W3CDTF">2022-02-08T09:23:00Z</dcterms:modified>
</cp:coreProperties>
</file>