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F4E79"/>
          <w:sz w:val="32"/>
          <w:szCs w:val="32"/>
        </w:rPr>
        <w:t xml:space="preserve">INFORME DE AUDITORÍA INFORMÁTICA</w:t>
      </w:r>
    </w:p>
    <w:p>
      <w:pPr>
        <w:spacing w:after="60"/>
        <w:jc w:val="center"/>
      </w:pPr>
      <w:r>
        <w:rPr>
          <w:rFonts w:ascii="Calibri" w:cs="Calibri" w:eastAsia="Calibri" w:hAnsi="Calibri"/>
          <w:i/>
          <w:iCs/>
          <w:sz w:val="24"/>
          <w:szCs w:val="24"/>
        </w:rPr>
        <w:t xml:space="preserve">Auditoría al Sistema de Gestión de Inteligencia Artificial bajo la Norma ISO/IEC 42001:2023</w:t>
      </w:r>
    </w:p>
    <w:p>
      <w:pPr>
        <w:spacing w:after="240"/>
        <w:jc w:val="center"/>
      </w:pPr>
      <w:r>
        <w:rPr>
          <w:rFonts w:ascii="Calibri" w:cs="Calibri" w:eastAsia="Calibri" w:hAnsi="Calibri"/>
          <w:i/>
          <w:iCs/>
          <w:sz w:val="24"/>
          <w:szCs w:val="24"/>
        </w:rPr>
        <w:t xml:space="preserve">Caso de Estudio: CodeForge Solutions 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EAF1F8" w:val="clear"/>
            <w:tcMar>
              <w:top w:type="dxa" w:w="60"/>
              <w:left w:type="dxa" w:w="100"/>
              <w:bottom w:type="dxa" w:w="60"/>
              <w:right w:type="dxa" w:w="100"/>
            </w:tcMar>
            <w:vAlign w:val="center"/>
          </w:tcPr>
          <w:p>
            <w:pPr>
              <w:spacing w:after="0"/>
              <w:jc w:val="left"/>
            </w:pPr>
            <w:r>
              <w:rPr>
                <w:rFonts w:ascii="Calibri" w:cs="Calibri" w:eastAsia="Calibri" w:hAnsi="Calibri"/>
                <w:b/>
                <w:bCs/>
                <w:sz w:val="20"/>
                <w:szCs w:val="20"/>
              </w:rPr>
              <w:t xml:space="preserve">Código del Informe:</w:t>
            </w:r>
          </w:p>
        </w:tc>
        <w:tc>
          <w:tcPr>
            <w:tcW w:type="dxa" w:w="6160"/>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INF-AUD-2026-001</w:t>
            </w:r>
          </w:p>
        </w:tc>
      </w:tr>
      <w:tr>
        <w:tc>
          <w:tcPr>
            <w:tcW w:type="dxa" w:w="3200"/>
            <w:shd w:fill="EAF1F8" w:val="clear"/>
            <w:tcMar>
              <w:top w:type="dxa" w:w="60"/>
              <w:left w:type="dxa" w:w="100"/>
              <w:bottom w:type="dxa" w:w="60"/>
              <w:right w:type="dxa" w:w="100"/>
            </w:tcMar>
            <w:vAlign w:val="center"/>
          </w:tcPr>
          <w:p>
            <w:pPr>
              <w:spacing w:after="0"/>
              <w:jc w:val="left"/>
            </w:pPr>
            <w:r>
              <w:rPr>
                <w:rFonts w:ascii="Calibri" w:cs="Calibri" w:eastAsia="Calibri" w:hAnsi="Calibri"/>
                <w:b/>
                <w:bCs/>
                <w:sz w:val="20"/>
                <w:szCs w:val="20"/>
              </w:rPr>
              <w:t xml:space="preserve">Entidad Auditada:</w:t>
            </w:r>
          </w:p>
        </w:tc>
        <w:tc>
          <w:tcPr>
            <w:tcW w:type="dxa" w:w="6160"/>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CodeForge Solutions S.A.</w:t>
            </w:r>
          </w:p>
        </w:tc>
      </w:tr>
      <w:tr>
        <w:tc>
          <w:tcPr>
            <w:tcW w:type="dxa" w:w="3200"/>
            <w:shd w:fill="EAF1F8" w:val="clear"/>
            <w:tcMar>
              <w:top w:type="dxa" w:w="60"/>
              <w:left w:type="dxa" w:w="100"/>
              <w:bottom w:type="dxa" w:w="60"/>
              <w:right w:type="dxa" w:w="100"/>
            </w:tcMar>
            <w:vAlign w:val="center"/>
          </w:tcPr>
          <w:p>
            <w:pPr>
              <w:spacing w:after="0"/>
              <w:jc w:val="left"/>
            </w:pPr>
            <w:r>
              <w:rPr>
                <w:rFonts w:ascii="Calibri" w:cs="Calibri" w:eastAsia="Calibri" w:hAnsi="Calibri"/>
                <w:b/>
                <w:bCs/>
                <w:sz w:val="20"/>
                <w:szCs w:val="20"/>
              </w:rPr>
              <w:t xml:space="preserve">Criterio de Auditoría:</w:t>
            </w:r>
          </w:p>
        </w:tc>
        <w:tc>
          <w:tcPr>
            <w:tcW w:type="dxa" w:w="6160"/>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ISO/IEC 42001:2023 – Sistema de Gestión de Inteligencia Artificial (SGIA)</w:t>
            </w:r>
          </w:p>
        </w:tc>
      </w:tr>
      <w:tr>
        <w:tc>
          <w:tcPr>
            <w:tcW w:type="dxa" w:w="3200"/>
            <w:shd w:fill="EAF1F8" w:val="clear"/>
            <w:tcMar>
              <w:top w:type="dxa" w:w="60"/>
              <w:left w:type="dxa" w:w="100"/>
              <w:bottom w:type="dxa" w:w="60"/>
              <w:right w:type="dxa" w:w="100"/>
            </w:tcMar>
            <w:vAlign w:val="center"/>
          </w:tcPr>
          <w:p>
            <w:pPr>
              <w:spacing w:after="0"/>
              <w:jc w:val="left"/>
            </w:pPr>
            <w:r>
              <w:rPr>
                <w:rFonts w:ascii="Calibri" w:cs="Calibri" w:eastAsia="Calibri" w:hAnsi="Calibri"/>
                <w:b/>
                <w:bCs/>
                <w:sz w:val="20"/>
                <w:szCs w:val="20"/>
              </w:rPr>
              <w:t xml:space="preserve">Fecha de Emisión:</w:t>
            </w:r>
          </w:p>
        </w:tc>
        <w:tc>
          <w:tcPr>
            <w:tcW w:type="dxa" w:w="6160"/>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29/07/2026</w:t>
            </w:r>
          </w:p>
        </w:tc>
      </w:tr>
      <w:tr>
        <w:tc>
          <w:tcPr>
            <w:tcW w:type="dxa" w:w="3200"/>
            <w:shd w:fill="EAF1F8" w:val="clear"/>
            <w:tcMar>
              <w:top w:type="dxa" w:w="60"/>
              <w:left w:type="dxa" w:w="100"/>
              <w:bottom w:type="dxa" w:w="60"/>
              <w:right w:type="dxa" w:w="100"/>
            </w:tcMar>
            <w:vAlign w:val="center"/>
          </w:tcPr>
          <w:p>
            <w:pPr>
              <w:spacing w:after="0"/>
              <w:jc w:val="left"/>
            </w:pPr>
            <w:r>
              <w:rPr>
                <w:rFonts w:ascii="Calibri" w:cs="Calibri" w:eastAsia="Calibri" w:hAnsi="Calibri"/>
                <w:b/>
                <w:bCs/>
                <w:sz w:val="20"/>
                <w:szCs w:val="20"/>
              </w:rPr>
              <w:t xml:space="preserve">Equipo Auditor (Estudiantes):</w:t>
            </w:r>
          </w:p>
        </w:tc>
        <w:tc>
          <w:tcPr>
            <w:tcW w:type="dxa" w:w="6160"/>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[Nombres y Apellidos de los Estudiantes]</w:t>
            </w:r>
          </w:p>
        </w:tc>
      </w:tr>
    </w:tbl>
    <w:p>
      <w:pPr>
        <w:spacing w:after="200" w:before="0"/>
        <w:jc w:val="both"/>
      </w:pPr>
      <w:r>
        <w:rPr>
          <w:rFonts w:ascii="Calibri" w:cs="Calibri" w:eastAsia="Calibri" w:hAnsi="Calibri"/>
          <w:sz w:val="22"/>
          <w:szCs w:val="22"/>
        </w:rPr>
        <w:t xml:space="preserve"/>
      </w:r>
    </w:p>
    <w:p>
      <w:pPr>
        <w:pStyle w:val="Heading1"/>
        <w:spacing w:after="160" w:before="280"/>
      </w:pPr>
      <w:r>
        <w:rPr>
          <w:rFonts w:ascii="Calibri" w:cs="Calibri" w:eastAsia="Calibri" w:hAnsi="Calibri"/>
          <w:b/>
          <w:bCs/>
          <w:color w:val="1F4E79"/>
          <w:sz w:val="26"/>
          <w:szCs w:val="26"/>
        </w:rPr>
        <w:t xml:space="preserve">1. RESUMEN EJECUTIVO</w:t>
      </w:r>
    </w:p>
    <w:p>
      <w:pPr>
        <w:spacing w:after="120" w:before="0"/>
        <w:jc w:val="both"/>
      </w:pPr>
      <w:r>
        <w:rPr>
          <w:rFonts w:ascii="Calibri" w:cs="Calibri" w:eastAsia="Calibri" w:hAnsi="Calibri"/>
          <w:sz w:val="22"/>
          <w:szCs w:val="22"/>
        </w:rPr>
        <w:t xml:space="preserve">Durante el período de evaluación, el equipo auditor llevó a cabo la revisión del ciclo de vida de desarrollo de software y el uso de modelos de IA generativa en CodeForge Solutions S.A., tomando como marco de referencia la norma ISO/IEC 42001:2023. Se concluye que la organización presenta un nivel de cumplimiento deficiente frente a los requisitos del Sistema de Gestión de Inteligencia Artificial (SGIA), evidenciado por la ausencia de un inventario formal de activos de IA (fenómeno de "Shadow AI") y por la existencia comprobada de un sesgo algorítmico discriminatorio en el módulo de preselección de talento desarrollado para un cliente del sector financiero. Se identificaron dos no conformidades mayores, con niveles de riesgo Alto y Crítico respectivamente, asociadas al incumplimiento de los controles del Anexo A.6.1.2 (Inventario de Activos de IA) y A.8.4 (Tratamiento del Sesgo y Equidad). El dictamen del equipo auditor es que el SGIA de la organización no es conforme con la norma ISO/IEC 42001:2023, por lo que se requiere la implementación inmediata del plan de acción de cuatro fases detallado en la matriz anexa, orientado a la formalización del inventario, la evaluación de impacto, la mitigación de sesgos y la institucionalización de políticas de uso aceptable de IA.</w:t>
      </w:r>
    </w:p>
    <w:p>
      <w:pPr>
        <w:pStyle w:val="Heading1"/>
        <w:spacing w:after="160" w:before="280"/>
      </w:pPr>
      <w:r>
        <w:rPr>
          <w:rFonts w:ascii="Calibri" w:cs="Calibri" w:eastAsia="Calibri" w:hAnsi="Calibri"/>
          <w:b/>
          <w:bCs/>
          <w:color w:val="1F4E79"/>
          <w:sz w:val="26"/>
          <w:szCs w:val="26"/>
        </w:rPr>
        <w:t xml:space="preserve">2. INTRODUCCIÓN Y ANTECEDENTES</w:t>
      </w:r>
    </w:p>
    <w:p>
      <w:pPr>
        <w:pStyle w:val="Heading2"/>
        <w:spacing w:after="120" w:before="200"/>
      </w:pPr>
      <w:r>
        <w:rPr>
          <w:rFonts w:ascii="Calibri" w:cs="Calibri" w:eastAsia="Calibri" w:hAnsi="Calibri"/>
          <w:b/>
          <w:bCs/>
          <w:color w:val="2E5C8A"/>
          <w:sz w:val="23"/>
          <w:szCs w:val="23"/>
        </w:rPr>
        <w:t xml:space="preserve">2.1 Contexto Institucional</w:t>
      </w:r>
    </w:p>
    <w:p>
      <w:pPr>
        <w:spacing w:after="120" w:before="0"/>
        <w:jc w:val="both"/>
      </w:pPr>
      <w:r>
        <w:rPr>
          <w:rFonts w:ascii="Calibri" w:cs="Calibri" w:eastAsia="Calibri" w:hAnsi="Calibri"/>
          <w:sz w:val="22"/>
          <w:szCs w:val="22"/>
        </w:rPr>
        <w:t xml:space="preserve">CodeForge Solutions S.A. es una empresa proveedora de soluciones tecnológicas y software a medida, orientada al segmento B2B. En el último año, la empresa integró aceleradamente herramientas de IA generativa y modelos de lenguaje (LLM) de proveedores como OpenAI (GPT-4o / Codex API), Google (Gemini Pro / Vertex AI), X-xAI (Grok API) y Apple (Apple Intelligence / Core ML) en su ciclo de vida de desarrollo de software (SDLC), con el fin de optimizar código, generar documentación técnica y automatizar la selección de personal en plataformas de sus clientes.</w:t>
      </w:r>
    </w:p>
    <w:p>
      <w:pPr>
        <w:pStyle w:val="Heading2"/>
        <w:spacing w:after="120" w:before="200"/>
      </w:pPr>
      <w:r>
        <w:rPr>
          <w:rFonts w:ascii="Calibri" w:cs="Calibri" w:eastAsia="Calibri" w:hAnsi="Calibri"/>
          <w:b/>
          <w:bCs/>
          <w:color w:val="2E5C8A"/>
          <w:sz w:val="23"/>
          <w:szCs w:val="23"/>
        </w:rPr>
        <w:t xml:space="preserve">2.2 Motivo de la Auditoría</w:t>
      </w:r>
    </w:p>
    <w:p>
      <w:pPr>
        <w:spacing w:after="120" w:before="0"/>
        <w:jc w:val="both"/>
      </w:pPr>
      <w:r>
        <w:rPr>
          <w:rFonts w:ascii="Calibri" w:cs="Calibri" w:eastAsia="Calibri" w:hAnsi="Calibri"/>
          <w:sz w:val="22"/>
          <w:szCs w:val="22"/>
        </w:rPr>
        <w:t xml:space="preserve">La auditoría responde a la solicitud de la Alta Dirección tras detectarse dos incidentes graves: (1) el consumo descentralizado y no registrado de APIs de IA por parte de los desarrolladores ("Shadow AI"), sin control de qué modelos se usan, con qué fines ni qué datos corporativos se envían a terceros; y (2) un sesgo discriminatorio por género y ubicación geográfica en el módulo de preselección de talento desarrollado para un cliente financiero, que descartaba automáticamente perfiles altamente cualificados.</w:t>
      </w:r>
    </w:p>
    <w:p>
      <w:pPr>
        <w:pStyle w:val="Heading1"/>
        <w:spacing w:after="160" w:before="280"/>
      </w:pPr>
      <w:r>
        <w:rPr>
          <w:rFonts w:ascii="Calibri" w:cs="Calibri" w:eastAsia="Calibri" w:hAnsi="Calibri"/>
          <w:b/>
          <w:bCs/>
          <w:color w:val="1F4E79"/>
          <w:sz w:val="26"/>
          <w:szCs w:val="26"/>
        </w:rPr>
        <w:t xml:space="preserve">3. ALCANCE Y OBJETIVOS</w:t>
      </w:r>
    </w:p>
    <w:p>
      <w:pPr>
        <w:pStyle w:val="Heading2"/>
        <w:spacing w:after="120" w:before="200"/>
      </w:pPr>
      <w:r>
        <w:rPr>
          <w:rFonts w:ascii="Calibri" w:cs="Calibri" w:eastAsia="Calibri" w:hAnsi="Calibri"/>
          <w:b/>
          <w:bCs/>
          <w:color w:val="2E5C8A"/>
          <w:sz w:val="23"/>
          <w:szCs w:val="23"/>
        </w:rPr>
        <w:t xml:space="preserve">3.1 Objetivo General</w:t>
      </w:r>
    </w:p>
    <w:p>
      <w:pPr>
        <w:spacing w:after="120" w:before="0"/>
        <w:jc w:val="both"/>
      </w:pPr>
      <w:r>
        <w:rPr>
          <w:rFonts w:ascii="Calibri" w:cs="Calibri" w:eastAsia="Calibri" w:hAnsi="Calibri"/>
          <w:sz w:val="22"/>
          <w:szCs w:val="22"/>
        </w:rPr>
        <w:t xml:space="preserve">Evaluar el grado de cumplimiento de los controles de gobernanza, gestión de riesgos, tratamiento del sesgo y trazabilidad en el uso de Inteligencia Artificial en CodeForge Solutions S.A., fundamentado en la norma ISO/IEC 42001:2023.</w:t>
      </w:r>
    </w:p>
    <w:p>
      <w:pPr>
        <w:pStyle w:val="Heading2"/>
        <w:spacing w:after="120" w:before="200"/>
      </w:pPr>
      <w:r>
        <w:rPr>
          <w:rFonts w:ascii="Calibri" w:cs="Calibri" w:eastAsia="Calibri" w:hAnsi="Calibri"/>
          <w:b/>
          <w:bCs/>
          <w:color w:val="2E5C8A"/>
          <w:sz w:val="23"/>
          <w:szCs w:val="23"/>
        </w:rPr>
        <w:t xml:space="preserve">3.2 Objetivos Específicos</w:t>
      </w:r>
    </w:p>
    <w:p>
      <w:pPr>
        <w:pStyle w:val="ListParagraph"/>
        <w:numPr>
          <w:ilvl w:val="0"/>
          <w:numId w:val="2"/>
        </w:numPr>
        <w:spacing w:after="120" w:before="0"/>
        <w:jc w:val="both"/>
      </w:pPr>
      <w:r>
        <w:rPr>
          <w:rFonts w:ascii="Calibri" w:cs="Calibri" w:eastAsia="Calibri" w:hAnsi="Calibri"/>
          <w:sz w:val="22"/>
          <w:szCs w:val="22"/>
        </w:rPr>
        <w:t xml:space="preserve">Auditar la existencia, integridad y actualización del inventario de activos de IA de la organización, verificando el cumplimiento del control A.6.1.2 del Anexo A de la norma ISO/IEC 42001:2023.</w:t>
      </w:r>
    </w:p>
    <w:p>
      <w:pPr>
        <w:pStyle w:val="ListParagraph"/>
        <w:numPr>
          <w:ilvl w:val="0"/>
          <w:numId w:val="2"/>
        </w:numPr>
        <w:spacing w:after="120" w:before="0"/>
        <w:jc w:val="both"/>
      </w:pPr>
      <w:r>
        <w:rPr>
          <w:rFonts w:ascii="Calibri" w:cs="Calibri" w:eastAsia="Calibri" w:hAnsi="Calibri"/>
          <w:sz w:val="22"/>
          <w:szCs w:val="22"/>
        </w:rPr>
        <w:t xml:space="preserve">Analizar el proceso de gestión de riesgos de IA (Cláusula 6.1.2), incluyendo la identificación, evaluación y tratamiento de riesgos éticos, legales y de privacidad en los proyectos con componentes de IA.</w:t>
      </w:r>
    </w:p>
    <w:p>
      <w:pPr>
        <w:pStyle w:val="ListParagraph"/>
        <w:numPr>
          <w:ilvl w:val="0"/>
          <w:numId w:val="2"/>
        </w:numPr>
        <w:spacing w:after="120" w:before="0"/>
        <w:jc w:val="both"/>
      </w:pPr>
      <w:r>
        <w:rPr>
          <w:rFonts w:ascii="Calibri" w:cs="Calibri" w:eastAsia="Calibri" w:hAnsi="Calibri"/>
          <w:sz w:val="22"/>
          <w:szCs w:val="22"/>
        </w:rPr>
        <w:t xml:space="preserve">Evaluar la presencia de sesgos algorítmicos en el módulo de preselección de talento mediante métricas de paridad demográfica, verificando el cumplimiento del control A.8.4 (Tratamiento del Sesgo y Equidad).</w:t>
      </w:r>
    </w:p>
    <w:p>
      <w:pPr>
        <w:pStyle w:val="Heading2"/>
        <w:spacing w:after="120" w:before="200"/>
      </w:pPr>
      <w:r>
        <w:rPr>
          <w:rFonts w:ascii="Calibri" w:cs="Calibri" w:eastAsia="Calibri" w:hAnsi="Calibri"/>
          <w:b/>
          <w:bCs/>
          <w:color w:val="2E5C8A"/>
          <w:sz w:val="23"/>
          <w:szCs w:val="23"/>
        </w:rPr>
        <w:t xml:space="preserve">3.3 Alcance Tecnológico y Operativo</w:t>
      </w:r>
    </w:p>
    <w:p>
      <w:pPr>
        <w:spacing w:after="120" w:before="0"/>
        <w:jc w:val="both"/>
      </w:pPr>
      <w:r>
        <w:rPr>
          <w:rFonts w:ascii="Calibri" w:cs="Calibri" w:eastAsia="Calibri" w:hAnsi="Calibri"/>
          <w:sz w:val="22"/>
          <w:szCs w:val="22"/>
        </w:rPr>
        <w:t xml:space="preserve">El alcance comprende el Ciclo de Vida de Desarrollo de Software (SDLC), el entorno MLOps y los sistemas desarrollados que utilicen las APIs de OpenAI (GPT-4o), Google (Gemini Pro), X (Grok API) y Apple (Core ML).</w:t>
      </w:r>
    </w:p>
    <w:p>
      <w:pPr>
        <w:pStyle w:val="Heading1"/>
        <w:spacing w:after="160" w:before="280"/>
      </w:pPr>
      <w:r>
        <w:rPr>
          <w:rFonts w:ascii="Calibri" w:cs="Calibri" w:eastAsia="Calibri" w:hAnsi="Calibri"/>
          <w:b/>
          <w:bCs/>
          <w:color w:val="1F4E79"/>
          <w:sz w:val="26"/>
          <w:szCs w:val="26"/>
        </w:rPr>
        <w:t xml:space="preserve">4. METODOLOGÍA DE AUDITORÍA</w:t>
      </w:r>
    </w:p>
    <w:p>
      <w:pPr>
        <w:spacing w:after="120" w:before="0"/>
        <w:jc w:val="both"/>
      </w:pPr>
      <w:r>
        <w:rPr>
          <w:rFonts w:ascii="Calibri" w:cs="Calibri" w:eastAsia="Calibri" w:hAnsi="Calibri"/>
          <w:sz w:val="22"/>
          <w:szCs w:val="22"/>
        </w:rPr>
        <w:t xml:space="preserve">La auditoría se ejecutó conforme a las directrices de la norma ISO 19011 y el ciclo PDCA, estructurando el trabajo en cuatro fases de intervención alineadas a los requisitos y controles de la norma ISO/IEC 42001:2023:</w:t>
      </w:r>
    </w:p>
    <w:p>
      <w:pPr>
        <w:pStyle w:val="Heading2"/>
        <w:spacing w:after="120" w:before="200"/>
      </w:pPr>
      <w:r>
        <w:rPr>
          <w:rFonts w:ascii="Calibri" w:cs="Calibri" w:eastAsia="Calibri" w:hAnsi="Calibri"/>
          <w:b/>
          <w:bCs/>
          <w:color w:val="2E5C8A"/>
          <w:sz w:val="23"/>
          <w:szCs w:val="23"/>
        </w:rPr>
        <w:t xml:space="preserve">Fase 1: Formalización e Inventario (Semanas 1-2)</w:t>
      </w:r>
    </w:p>
    <w:p>
      <w:pPr>
        <w:spacing w:after="120"/>
        <w:jc w:val="both"/>
      </w:pPr>
      <w:r>
        <w:rPr>
          <w:rFonts w:ascii="Calibri" w:cs="Calibri" w:eastAsia="Calibri" w:hAnsi="Calibri"/>
          <w:b/>
          <w:bCs/>
          <w:sz w:val="22"/>
          <w:szCs w:val="22"/>
        </w:rPr>
        <w:t xml:space="preserve">Cumplimiento: </w:t>
      </w:r>
      <w:r>
        <w:rPr>
          <w:rFonts w:ascii="Calibri" w:cs="Calibri" w:eastAsia="Calibri" w:hAnsi="Calibri"/>
          <w:sz w:val="22"/>
          <w:szCs w:val="22"/>
        </w:rPr>
        <w:t xml:space="preserve">Anexo A.6 (Gobernanza de activos de IA).</w:t>
      </w:r>
    </w:p>
    <w:p>
      <w:pPr>
        <w:spacing w:after="120"/>
        <w:jc w:val="both"/>
      </w:pPr>
      <w:r>
        <w:rPr>
          <w:rFonts w:ascii="Calibri" w:cs="Calibri" w:eastAsia="Calibri" w:hAnsi="Calibri"/>
          <w:b/>
          <w:bCs/>
          <w:sz w:val="22"/>
          <w:szCs w:val="22"/>
        </w:rPr>
        <w:t xml:space="preserve">Acción inmediata: </w:t>
      </w:r>
      <w:r>
        <w:rPr>
          <w:rFonts w:ascii="Calibri" w:cs="Calibri" w:eastAsia="Calibri" w:hAnsi="Calibri"/>
          <w:sz w:val="22"/>
          <w:szCs w:val="22"/>
        </w:rPr>
        <w:t xml:space="preserve">Creación del Registro Único de Activos de IA, catalogando de manera obligatoria los siguientes elementos:</w:t>
      </w:r>
    </w:p>
    <w:p>
      <w:pPr>
        <w:pStyle w:val="ListParagraph"/>
        <w:numPr>
          <w:ilvl w:val="0"/>
          <w:numId w:val="2"/>
        </w:numPr>
        <w:spacing w:after="120" w:before="0"/>
        <w:jc w:val="both"/>
      </w:pPr>
      <w:r>
        <w:rPr>
          <w:rFonts w:ascii="Calibri" w:cs="Calibri" w:eastAsia="Calibri" w:hAnsi="Calibri"/>
          <w:sz w:val="22"/>
          <w:szCs w:val="22"/>
        </w:rPr>
        <w:t xml:space="preserve">Identificación de proveedores (OpenAI, Google, X, Apple).</w:t>
      </w:r>
    </w:p>
    <w:p>
      <w:pPr>
        <w:pStyle w:val="ListParagraph"/>
        <w:numPr>
          <w:ilvl w:val="0"/>
          <w:numId w:val="2"/>
        </w:numPr>
        <w:spacing w:after="120" w:before="0"/>
        <w:jc w:val="both"/>
      </w:pPr>
      <w:r>
        <w:rPr>
          <w:rFonts w:ascii="Calibri" w:cs="Calibri" w:eastAsia="Calibri" w:hAnsi="Calibri"/>
          <w:sz w:val="22"/>
          <w:szCs w:val="22"/>
        </w:rPr>
        <w:t xml:space="preserve">Tipos de API consumidas por cada equipo de desarrollo.</w:t>
      </w:r>
    </w:p>
    <w:p>
      <w:pPr>
        <w:pStyle w:val="ListParagraph"/>
        <w:numPr>
          <w:ilvl w:val="0"/>
          <w:numId w:val="2"/>
        </w:numPr>
        <w:spacing w:after="120" w:before="0"/>
        <w:jc w:val="both"/>
      </w:pPr>
      <w:r>
        <w:rPr>
          <w:rFonts w:ascii="Calibri" w:cs="Calibri" w:eastAsia="Calibri" w:hAnsi="Calibri"/>
          <w:sz w:val="22"/>
          <w:szCs w:val="22"/>
        </w:rPr>
        <w:t xml:space="preserve">Nivel de criticidad de cada activo dentro del ciclo de desarrollo.</w:t>
      </w:r>
    </w:p>
    <w:p>
      <w:pPr>
        <w:pStyle w:val="ListParagraph"/>
        <w:numPr>
          <w:ilvl w:val="0"/>
          <w:numId w:val="2"/>
        </w:numPr>
        <w:spacing w:after="120" w:before="0"/>
        <w:jc w:val="both"/>
      </w:pPr>
      <w:r>
        <w:rPr>
          <w:rFonts w:ascii="Calibri" w:cs="Calibri" w:eastAsia="Calibri" w:hAnsi="Calibri"/>
          <w:sz w:val="22"/>
          <w:szCs w:val="22"/>
        </w:rPr>
        <w:t xml:space="preserve">Mapeo exacto de los datos procesados y enviados a la nube externa.</w:t>
      </w:r>
    </w:p>
    <w:p>
      <w:pPr>
        <w:keepNext/>
        <w:keepLines/>
        <w:spacing w:after="120" w:before="80"/>
        <w:jc w:val="both"/>
      </w:pPr>
      <w:r>
        <w:br w:type="page"/>
      </w:r>
      <w:r>
        <w:rPr>
          <w:rFonts w:ascii="Calibri" w:cs="Calibri" w:eastAsia="Calibri" w:hAnsi="Calibri"/>
          <w:sz w:val="22"/>
          <w:szCs w:val="22"/>
        </w:rPr>
        <w:t xml:space="preserve">El levantamiento de pre-auditoría permitió construir el inventario base de sistemas de IA que se presenta a continuación: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2200"/>
        <w:gridCol w:w="2705"/>
        <w:gridCol w:w="2505"/>
      </w:tblGrid>
      <w:tr>
        <w:trPr>
          <w:cantSplit/>
          <w:tblHeader/>
        </w:trPr>
        <w:tc>
          <w:tcPr>
            <w:tcW w:type="dxa" w:w="1950"/>
            <w:shd w:fill="1F4E79" w:val="clear"/>
            <w:tcMar>
              <w:top w:type="dxa" w:w="60"/>
              <w:left w:type="dxa" w:w="100"/>
              <w:bottom w:type="dxa" w:w="60"/>
              <w:right w:type="dxa" w:w="100"/>
            </w:tcMar>
            <w:vAlign w:val="center"/>
          </w:tcPr>
          <w:p>
            <w:pPr>
              <w:spacing w:after="0"/>
              <w:jc w:val="center"/>
            </w:pPr>
            <w:r>
              <w:rPr>
                <w:rFonts w:ascii="Calibri" w:cs="Calibri" w:eastAsia="Calibri" w:hAnsi="Calibri"/>
                <w:b/>
                <w:bCs/>
                <w:color w:val="FFFFFF"/>
                <w:sz w:val="20"/>
                <w:szCs w:val="20"/>
              </w:rPr>
              <w:t xml:space="preserve">Propietario / Proveedor</w:t>
            </w:r>
          </w:p>
        </w:tc>
        <w:tc>
          <w:tcPr>
            <w:tcW w:type="dxa" w:w="2200"/>
            <w:shd w:fill="1F4E79" w:val="clear"/>
            <w:tcMar>
              <w:top w:type="dxa" w:w="60"/>
              <w:left w:type="dxa" w:w="100"/>
              <w:bottom w:type="dxa" w:w="60"/>
              <w:right w:type="dxa" w:w="100"/>
            </w:tcMar>
            <w:vAlign w:val="center"/>
          </w:tcPr>
          <w:p>
            <w:pPr>
              <w:spacing w:after="0"/>
              <w:jc w:val="center"/>
            </w:pPr>
            <w:r>
              <w:rPr>
                <w:rFonts w:ascii="Calibri" w:cs="Calibri" w:eastAsia="Calibri" w:hAnsi="Calibri"/>
                <w:b/>
                <w:bCs/>
                <w:color w:val="FFFFFF"/>
                <w:sz w:val="20"/>
                <w:szCs w:val="20"/>
              </w:rPr>
              <w:t xml:space="preserve">Herramienta / Modelo de IA</w:t>
            </w:r>
          </w:p>
        </w:tc>
        <w:tc>
          <w:tcPr>
            <w:tcW w:type="dxa" w:w="2705"/>
            <w:shd w:fill="1F4E79" w:val="clear"/>
            <w:tcMar>
              <w:top w:type="dxa" w:w="60"/>
              <w:left w:type="dxa" w:w="100"/>
              <w:bottom w:type="dxa" w:w="60"/>
              <w:right w:type="dxa" w:w="100"/>
            </w:tcMar>
            <w:vAlign w:val="center"/>
          </w:tcPr>
          <w:p>
            <w:pPr>
              <w:spacing w:after="0"/>
              <w:jc w:val="center"/>
            </w:pPr>
            <w:r>
              <w:rPr>
                <w:rFonts w:ascii="Calibri" w:cs="Calibri" w:eastAsia="Calibri" w:hAnsi="Calibri"/>
                <w:b/>
                <w:bCs/>
                <w:color w:val="FFFFFF"/>
                <w:sz w:val="20"/>
                <w:szCs w:val="20"/>
              </w:rPr>
              <w:t xml:space="preserve">Uso en CodeForge</w:t>
            </w:r>
          </w:p>
        </w:tc>
        <w:tc>
          <w:tcPr>
            <w:tcW w:type="dxa" w:w="2505"/>
            <w:shd w:fill="1F4E79" w:val="clear"/>
            <w:tcMar>
              <w:top w:type="dxa" w:w="60"/>
              <w:left w:type="dxa" w:w="100"/>
              <w:bottom w:type="dxa" w:w="60"/>
              <w:right w:type="dxa" w:w="100"/>
            </w:tcMar>
            <w:vAlign w:val="center"/>
          </w:tcPr>
          <w:p>
            <w:pPr>
              <w:spacing w:after="0"/>
              <w:jc w:val="center"/>
            </w:pPr>
            <w:r>
              <w:rPr>
                <w:rFonts w:ascii="Calibri" w:cs="Calibri" w:eastAsia="Calibri" w:hAnsi="Calibri"/>
                <w:b/>
                <w:bCs/>
                <w:color w:val="FFFFFF"/>
                <w:sz w:val="20"/>
                <w:szCs w:val="20"/>
              </w:rPr>
              <w:t xml:space="preserve">Estado de Riesgo</w:t>
            </w:r>
          </w:p>
        </w:tc>
      </w:tr>
      <w:tr>
        <w:trPr>
          <w:cantSplit/>
          <w:tblHeader w:val="false"/>
        </w:trPr>
        <w:tc>
          <w:tcPr>
            <w:tcW w:type="dxa" w:w="1950"/>
            <w:tcMar>
              <w:top w:type="dxa" w:w="60"/>
              <w:left w:type="dxa" w:w="100"/>
              <w:bottom w:type="dxa" w:w="60"/>
              <w:right w:type="dxa" w:w="100"/>
            </w:tcMar>
            <w:vAlign w:val="center"/>
          </w:tcPr>
          <w:p>
            <w:pPr>
              <w:spacing w:after="0"/>
              <w:jc w:val="left"/>
            </w:pPr>
            <w:r>
              <w:rPr>
                <w:rFonts w:ascii="Calibri" w:cs="Calibri" w:eastAsia="Calibri" w:hAnsi="Calibri"/>
                <w:b/>
                <w:bCs/>
                <w:sz w:val="20"/>
                <w:szCs w:val="20"/>
              </w:rPr>
              <w:t xml:space="preserve">OpenAI</w:t>
            </w:r>
          </w:p>
        </w:tc>
        <w:tc>
          <w:tcPr>
            <w:tcW w:type="dxa" w:w="22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GPT-4o / Codex API</w:t>
            </w:r>
          </w:p>
        </w:tc>
        <w:tc>
          <w:tcPr>
            <w:tcW w:type="dxa" w:w="2705"/>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Generación y refactorización de código fuente.</w:t>
            </w:r>
          </w:p>
        </w:tc>
        <w:tc>
          <w:tcPr>
            <w:tcW w:type="dxa" w:w="2505"/>
            <w:tcMar>
              <w:top w:type="dxa" w:w="60"/>
              <w:left w:type="dxa" w:w="100"/>
              <w:bottom w:type="dxa" w:w="60"/>
              <w:right w:type="dxa" w:w="100"/>
            </w:tcMar>
            <w:vAlign w:val="center"/>
          </w:tcPr>
          <w:p>
            <w:pPr>
              <w:spacing w:after="0"/>
              <w:jc w:val="left"/>
            </w:pPr>
            <w:r>
              <w:rPr>
                <w:rFonts w:ascii="Calibri" w:cs="Calibri" w:eastAsia="Calibri" w:hAnsi="Calibri"/>
                <w:b w:val="false"/>
                <w:bCs w:val="false"/>
                <w:color w:val="C00000"/>
                <w:sz w:val="20"/>
                <w:szCs w:val="20"/>
              </w:rPr>
              <w:t xml:space="preserve">Sin inventariar ni auditar datos enviados.</w:t>
            </w:r>
          </w:p>
        </w:tc>
      </w:tr>
      <w:tr>
        <w:trPr>
          <w:cantSplit/>
          <w:tblHeader w:val="false"/>
        </w:trPr>
        <w:tc>
          <w:tcPr>
            <w:tcW w:type="dxa" w:w="1950"/>
            <w:shd w:fill="F2F6FA" w:val="clear"/>
            <w:tcMar>
              <w:top w:type="dxa" w:w="60"/>
              <w:left w:type="dxa" w:w="100"/>
              <w:bottom w:type="dxa" w:w="60"/>
              <w:right w:type="dxa" w:w="100"/>
            </w:tcMar>
            <w:vAlign w:val="center"/>
          </w:tcPr>
          <w:p>
            <w:pPr>
              <w:spacing w:after="0"/>
              <w:jc w:val="left"/>
            </w:pPr>
            <w:r>
              <w:rPr>
                <w:rFonts w:ascii="Calibri" w:cs="Calibri" w:eastAsia="Calibri" w:hAnsi="Calibri"/>
                <w:b/>
                <w:bCs/>
                <w:sz w:val="20"/>
                <w:szCs w:val="20"/>
              </w:rPr>
              <w:t xml:space="preserve">Google</w:t>
            </w:r>
          </w:p>
        </w:tc>
        <w:tc>
          <w:tcPr>
            <w:tcW w:type="dxa" w:w="2200"/>
            <w:shd w:fill="F2F6FA" w:val="clear"/>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Gemini Pro / Vertex AI</w:t>
            </w:r>
          </w:p>
        </w:tc>
        <w:tc>
          <w:tcPr>
            <w:tcW w:type="dxa" w:w="2705"/>
            <w:shd w:fill="F2F6FA" w:val="clear"/>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Análisis de datos y generación de documentación técnica.</w:t>
            </w:r>
          </w:p>
        </w:tc>
        <w:tc>
          <w:tcPr>
            <w:tcW w:type="dxa" w:w="2505"/>
            <w:shd w:fill="F2F6FA" w:val="clear"/>
            <w:tcMar>
              <w:top w:type="dxa" w:w="60"/>
              <w:left w:type="dxa" w:w="100"/>
              <w:bottom w:type="dxa" w:w="60"/>
              <w:right w:type="dxa" w:w="100"/>
            </w:tcMar>
            <w:vAlign w:val="center"/>
          </w:tcPr>
          <w:p>
            <w:pPr>
              <w:spacing w:after="0"/>
              <w:jc w:val="left"/>
            </w:pPr>
            <w:r>
              <w:rPr>
                <w:rFonts w:ascii="Calibri" w:cs="Calibri" w:eastAsia="Calibri" w:hAnsi="Calibri"/>
                <w:b w:val="false"/>
                <w:bCs w:val="false"/>
                <w:color w:val="C00000"/>
                <w:sz w:val="20"/>
                <w:szCs w:val="20"/>
              </w:rPr>
              <w:t xml:space="preserve">Uso no regulado por el equipo de QA.</w:t>
            </w:r>
          </w:p>
        </w:tc>
      </w:tr>
      <w:tr>
        <w:trPr>
          <w:cantSplit/>
          <w:tblHeader w:val="false"/>
        </w:trPr>
        <w:tc>
          <w:tcPr>
            <w:tcW w:type="dxa" w:w="1950"/>
            <w:tcMar>
              <w:top w:type="dxa" w:w="60"/>
              <w:left w:type="dxa" w:w="100"/>
              <w:bottom w:type="dxa" w:w="60"/>
              <w:right w:type="dxa" w:w="100"/>
            </w:tcMar>
            <w:vAlign w:val="center"/>
          </w:tcPr>
          <w:p>
            <w:pPr>
              <w:spacing w:after="0"/>
              <w:jc w:val="left"/>
            </w:pPr>
            <w:r>
              <w:rPr>
                <w:rFonts w:ascii="Calibri" w:cs="Calibri" w:eastAsia="Calibri" w:hAnsi="Calibri"/>
                <w:b/>
                <w:bCs/>
                <w:sz w:val="20"/>
                <w:szCs w:val="20"/>
              </w:rPr>
              <w:t xml:space="preserve">X (xAI)</w:t>
            </w:r>
          </w:p>
        </w:tc>
        <w:tc>
          <w:tcPr>
            <w:tcW w:type="dxa" w:w="22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Grok API</w:t>
            </w:r>
          </w:p>
        </w:tc>
        <w:tc>
          <w:tcPr>
            <w:tcW w:type="dxa" w:w="2705"/>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Análisis de tendencias en redes y sentimiento de usuarios.</w:t>
            </w:r>
          </w:p>
        </w:tc>
        <w:tc>
          <w:tcPr>
            <w:tcW w:type="dxa" w:w="2505"/>
            <w:tcMar>
              <w:top w:type="dxa" w:w="60"/>
              <w:left w:type="dxa" w:w="100"/>
              <w:bottom w:type="dxa" w:w="60"/>
              <w:right w:type="dxa" w:w="100"/>
            </w:tcMar>
            <w:vAlign w:val="center"/>
          </w:tcPr>
          <w:p>
            <w:pPr>
              <w:spacing w:after="0"/>
              <w:jc w:val="left"/>
            </w:pPr>
            <w:r>
              <w:rPr>
                <w:rFonts w:ascii="Calibri" w:cs="Calibri" w:eastAsia="Calibri" w:hAnsi="Calibri"/>
                <w:b w:val="false"/>
                <w:bCs w:val="false"/>
                <w:color w:val="C00000"/>
                <w:sz w:val="20"/>
                <w:szCs w:val="20"/>
              </w:rPr>
              <w:t xml:space="preserve">Integración no documentada en producción.</w:t>
            </w:r>
          </w:p>
        </w:tc>
      </w:tr>
      <w:tr>
        <w:trPr>
          <w:cantSplit/>
          <w:tblHeader w:val="false"/>
        </w:trPr>
        <w:tc>
          <w:tcPr>
            <w:tcW w:type="dxa" w:w="1950"/>
            <w:shd w:fill="F2F6FA" w:val="clear"/>
            <w:tcMar>
              <w:top w:type="dxa" w:w="60"/>
              <w:left w:type="dxa" w:w="100"/>
              <w:bottom w:type="dxa" w:w="60"/>
              <w:right w:type="dxa" w:w="100"/>
            </w:tcMar>
            <w:vAlign w:val="center"/>
          </w:tcPr>
          <w:p>
            <w:pPr>
              <w:spacing w:after="0"/>
              <w:jc w:val="left"/>
            </w:pPr>
            <w:r>
              <w:rPr>
                <w:rFonts w:ascii="Calibri" w:cs="Calibri" w:eastAsia="Calibri" w:hAnsi="Calibri"/>
                <w:b/>
                <w:bCs/>
                <w:sz w:val="20"/>
                <w:szCs w:val="20"/>
              </w:rPr>
              <w:t xml:space="preserve">Apple</w:t>
            </w:r>
          </w:p>
        </w:tc>
        <w:tc>
          <w:tcPr>
            <w:tcW w:type="dxa" w:w="2200"/>
            <w:shd w:fill="F2F6FA" w:val="clear"/>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Apple Intelligence / Core ML</w:t>
            </w:r>
          </w:p>
        </w:tc>
        <w:tc>
          <w:tcPr>
            <w:tcW w:type="dxa" w:w="2705"/>
            <w:shd w:fill="F2F6FA" w:val="clear"/>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Optimización de aplicaciones móviles en entorno iOS.</w:t>
            </w:r>
          </w:p>
        </w:tc>
        <w:tc>
          <w:tcPr>
            <w:tcW w:type="dxa" w:w="2505"/>
            <w:shd w:fill="F2F6FA" w:val="clear"/>
            <w:tcMar>
              <w:top w:type="dxa" w:w="60"/>
              <w:left w:type="dxa" w:w="100"/>
              <w:bottom w:type="dxa" w:w="60"/>
              <w:right w:type="dxa" w:w="100"/>
            </w:tcMar>
            <w:vAlign w:val="center"/>
          </w:tcPr>
          <w:p>
            <w:pPr>
              <w:spacing w:after="0"/>
              <w:jc w:val="left"/>
            </w:pPr>
            <w:r>
              <w:rPr>
                <w:rFonts w:ascii="Calibri" w:cs="Calibri" w:eastAsia="Calibri" w:hAnsi="Calibri"/>
                <w:b w:val="false"/>
                <w:bCs w:val="false"/>
                <w:color w:val="C00000"/>
                <w:sz w:val="20"/>
                <w:szCs w:val="20"/>
              </w:rPr>
              <w:t xml:space="preserve">Modelos locales sin control de versión.</w:t>
            </w:r>
          </w:p>
        </w:tc>
      </w:tr>
    </w:tbl>
    <w:p>
      <w:pPr>
        <w:spacing w:after="120" w:before="0"/>
        <w:jc w:val="both"/>
      </w:pPr>
      <w:r>
        <w:rPr>
          <w:rFonts w:ascii="Calibri" w:cs="Calibri" w:eastAsia="Calibri" w:hAnsi="Calibri"/>
          <w:sz w:val="22"/>
          <w:szCs w:val="22"/>
        </w:rPr>
        <w:t xml:space="preserve"/>
      </w:r>
    </w:p>
    <w:p>
      <w:pPr>
        <w:pStyle w:val="Heading2"/>
        <w:spacing w:after="120" w:before="200"/>
      </w:pPr>
      <w:r>
        <w:rPr>
          <w:rFonts w:ascii="Calibri" w:cs="Calibri" w:eastAsia="Calibri" w:hAnsi="Calibri"/>
          <w:b/>
          <w:bCs/>
          <w:color w:val="2E5C8A"/>
          <w:sz w:val="23"/>
          <w:szCs w:val="23"/>
        </w:rPr>
        <w:t xml:space="preserve">Fase 2: Evaluación de Impacto en IA (Semanas 3-4)</w:t>
      </w:r>
    </w:p>
    <w:p>
      <w:pPr>
        <w:spacing w:after="120"/>
        <w:jc w:val="both"/>
      </w:pPr>
      <w:r>
        <w:rPr>
          <w:rFonts w:ascii="Calibri" w:cs="Calibri" w:eastAsia="Calibri" w:hAnsi="Calibri"/>
          <w:b/>
          <w:bCs/>
          <w:sz w:val="22"/>
          <w:szCs w:val="22"/>
        </w:rPr>
        <w:t xml:space="preserve">Cumplimiento: </w:t>
      </w:r>
      <w:r>
        <w:rPr>
          <w:rFonts w:ascii="Calibri" w:cs="Calibri" w:eastAsia="Calibri" w:hAnsi="Calibri"/>
          <w:sz w:val="22"/>
          <w:szCs w:val="22"/>
        </w:rPr>
        <w:t xml:space="preserve">Cláusula 6.1.2 (Planificación y gestión de riesgos de IA).</w:t>
      </w:r>
    </w:p>
    <w:p>
      <w:pPr>
        <w:spacing w:after="120"/>
        <w:jc w:val="both"/>
      </w:pPr>
      <w:r>
        <w:rPr>
          <w:rFonts w:ascii="Calibri" w:cs="Calibri" w:eastAsia="Calibri" w:hAnsi="Calibri"/>
          <w:b/>
          <w:bCs/>
          <w:sz w:val="22"/>
          <w:szCs w:val="22"/>
        </w:rPr>
        <w:t xml:space="preserve">Acción: </w:t>
      </w:r>
      <w:r>
        <w:rPr>
          <w:rFonts w:ascii="Calibri" w:cs="Calibri" w:eastAsia="Calibri" w:hAnsi="Calibri"/>
          <w:sz w:val="22"/>
          <w:szCs w:val="22"/>
        </w:rPr>
        <w:t xml:space="preserve">Ejecución de una Evaluación de Impacto del Sistema de IA (AIIA – AI Impact Assessment) a nivel de proyecto, midiendo de forma proactiva las implicaciones éticas del modelo, las amenazas a la privacidad de los datos corporativos y de clientes, y los riesgos de falta de equidad, previniendo casos como el detectado en el cliente del sector financiero.</w:t>
      </w:r>
    </w:p>
    <w:p>
      <w:pPr>
        <w:pStyle w:val="Heading2"/>
        <w:spacing w:after="120" w:before="200"/>
      </w:pPr>
      <w:r>
        <w:rPr>
          <w:rFonts w:ascii="Calibri" w:cs="Calibri" w:eastAsia="Calibri" w:hAnsi="Calibri"/>
          <w:b/>
          <w:bCs/>
          <w:color w:val="2E5C8A"/>
          <w:sz w:val="23"/>
          <w:szCs w:val="23"/>
        </w:rPr>
        <w:t xml:space="preserve">Fase 3: Mitigación de Sesgos y Depuración (Semanas 5-6)</w:t>
      </w:r>
    </w:p>
    <w:p>
      <w:pPr>
        <w:spacing w:after="120"/>
        <w:jc w:val="both"/>
      </w:pPr>
      <w:r>
        <w:rPr>
          <w:rFonts w:ascii="Calibri" w:cs="Calibri" w:eastAsia="Calibri" w:hAnsi="Calibri"/>
          <w:b/>
          <w:bCs/>
          <w:sz w:val="22"/>
          <w:szCs w:val="22"/>
        </w:rPr>
        <w:t xml:space="preserve">Cumplimiento: </w:t>
      </w:r>
      <w:r>
        <w:rPr>
          <w:rFonts w:ascii="Calibri" w:cs="Calibri" w:eastAsia="Calibri" w:hAnsi="Calibri"/>
          <w:sz w:val="22"/>
          <w:szCs w:val="22"/>
        </w:rPr>
        <w:t xml:space="preserve">Anexo A.8 (Tratamiento del sesgo y equidad).</w:t>
      </w:r>
    </w:p>
    <w:p>
      <w:pPr>
        <w:spacing w:after="120"/>
        <w:jc w:val="both"/>
      </w:pPr>
      <w:r>
        <w:rPr>
          <w:rFonts w:ascii="Calibri" w:cs="Calibri" w:eastAsia="Calibri" w:hAnsi="Calibri"/>
          <w:b/>
          <w:bCs/>
          <w:sz w:val="22"/>
          <w:szCs w:val="22"/>
        </w:rPr>
        <w:t xml:space="preserve">Acción: </w:t>
      </w:r>
      <w:r>
        <w:rPr>
          <w:rFonts w:ascii="Calibri" w:cs="Calibri" w:eastAsia="Calibri" w:hAnsi="Calibri"/>
          <w:sz w:val="22"/>
          <w:szCs w:val="22"/>
        </w:rPr>
        <w:t xml:space="preserve">Intervención técnica profunda para corregir el sesgo de género del 35%, mediante el rediseño del dataset de entrenamiento (eliminación de variables históricas sesgadas), la aplicación de técnicas de depuración (debiasing) en la arquitectura de prompts y el re-entrenamiento (fine-tuning) exhaustivo antes de regresar el sistema a producción.</w:t>
      </w:r>
    </w:p>
    <w:p>
      <w:pPr>
        <w:pStyle w:val="Heading2"/>
        <w:spacing w:after="120" w:before="200"/>
      </w:pPr>
      <w:r>
        <w:rPr>
          <w:rFonts w:ascii="Calibri" w:cs="Calibri" w:eastAsia="Calibri" w:hAnsi="Calibri"/>
          <w:b/>
          <w:bCs/>
          <w:color w:val="2E5C8A"/>
          <w:sz w:val="23"/>
          <w:szCs w:val="23"/>
        </w:rPr>
        <w:t xml:space="preserve">Fase 4: Políticas de Uso Aceptable (Semana 7 en adelante)</w:t>
      </w:r>
    </w:p>
    <w:p>
      <w:pPr>
        <w:spacing w:after="120"/>
        <w:jc w:val="both"/>
      </w:pPr>
      <w:r>
        <w:rPr>
          <w:rFonts w:ascii="Calibri" w:cs="Calibri" w:eastAsia="Calibri" w:hAnsi="Calibri"/>
          <w:b/>
          <w:bCs/>
          <w:sz w:val="22"/>
          <w:szCs w:val="22"/>
        </w:rPr>
        <w:t xml:space="preserve">Cumplimiento: </w:t>
      </w:r>
      <w:r>
        <w:rPr>
          <w:rFonts w:ascii="Calibri" w:cs="Calibri" w:eastAsia="Calibri" w:hAnsi="Calibri"/>
          <w:sz w:val="22"/>
          <w:szCs w:val="22"/>
        </w:rPr>
        <w:t xml:space="preserve">Cláusula 5.2 (Política de IA, liderazgo y mejora continua).</w:t>
      </w:r>
    </w:p>
    <w:p>
      <w:pPr>
        <w:spacing w:after="120"/>
        <w:jc w:val="both"/>
      </w:pPr>
      <w:r>
        <w:rPr>
          <w:rFonts w:ascii="Calibri" w:cs="Calibri" w:eastAsia="Calibri" w:hAnsi="Calibri"/>
          <w:b/>
          <w:bCs/>
          <w:sz w:val="22"/>
          <w:szCs w:val="22"/>
        </w:rPr>
        <w:t xml:space="preserve">Acción: </w:t>
      </w:r>
      <w:r>
        <w:rPr>
          <w:rFonts w:ascii="Calibri" w:cs="Calibri" w:eastAsia="Calibri" w:hAnsi="Calibri"/>
          <w:sz w:val="22"/>
          <w:szCs w:val="22"/>
        </w:rPr>
        <w:t xml:space="preserve">Instaurar una nueva cultura corporativa de IA ética mediante la publicación de la Política Interna de Uso Responsable de IA, que prohíbe el envío de código y datos sensibles a modelos de lenguaje públicos o gratuitos, y obliga al uso exclusivo de entornos bajo acuerdos enterprise con confidencialidad validada por TI y Legal.</w:t>
      </w:r>
    </w:p>
    <w:p>
      <w:pPr>
        <w:pStyle w:val="Heading1"/>
        <w:spacing w:after="160" w:before="280"/>
      </w:pPr>
      <w:r>
        <w:rPr>
          <w:rFonts w:ascii="Calibri" w:cs="Calibri" w:eastAsia="Calibri" w:hAnsi="Calibri"/>
          <w:b/>
          <w:bCs/>
          <w:color w:val="1F4E79"/>
          <w:sz w:val="26"/>
          <w:szCs w:val="26"/>
        </w:rPr>
        <w:t xml:space="preserve">5. EVALUACIÓN Y HALLAZGOS DE AUDITORÍA</w:t>
      </w:r>
    </w:p>
    <w:p>
      <w:pPr>
        <w:shd w:fill="EAF1F8" w:val="clear"/>
        <w:spacing w:after="120" w:before="200"/>
      </w:pPr>
      <w:r>
        <w:rPr>
          <w:rFonts w:ascii="Calibri" w:cs="Calibri" w:eastAsia="Calibri" w:hAnsi="Calibri"/>
          <w:b/>
          <w:bCs/>
          <w:sz w:val="22"/>
          <w:szCs w:val="22"/>
        </w:rPr>
        <w:t xml:space="preserve">Hallazgo N° 01: Inexistencia de Inventario y Catálogo de Sistemas de IA</w:t>
      </w:r>
    </w:p>
    <w:p>
      <w:pPr>
        <w:spacing w:after="120"/>
        <w:jc w:val="both"/>
      </w:pPr>
      <w:r>
        <w:rPr>
          <w:rFonts w:ascii="Calibri" w:cs="Calibri" w:eastAsia="Calibri" w:hAnsi="Calibri"/>
          <w:b/>
          <w:bCs/>
          <w:sz w:val="22"/>
          <w:szCs w:val="22"/>
        </w:rPr>
        <w:t xml:space="preserve">Condición (Lo hallado): </w:t>
      </w:r>
      <w:r>
        <w:rPr>
          <w:rFonts w:ascii="Calibri" w:cs="Calibri" w:eastAsia="Calibri" w:hAnsi="Calibri"/>
          <w:sz w:val="22"/>
          <w:szCs w:val="22"/>
        </w:rPr>
        <w:t xml:space="preserve">Los desarrolladores consumen APIs públicas de OpenAI, Google, X y Apple mediante credenciales individuales, sin un registro centralizado ni supervisión institucional.</w:t>
      </w:r>
    </w:p>
    <w:p>
      <w:pPr>
        <w:spacing w:after="120"/>
        <w:jc w:val="both"/>
      </w:pPr>
      <w:r>
        <w:rPr>
          <w:rFonts w:ascii="Calibri" w:cs="Calibri" w:eastAsia="Calibri" w:hAnsi="Calibri"/>
          <w:b/>
          <w:bCs/>
          <w:sz w:val="22"/>
          <w:szCs w:val="22"/>
        </w:rPr>
        <w:t xml:space="preserve">Criterio (Lo debido): </w:t>
      </w:r>
      <w:r>
        <w:rPr>
          <w:rFonts w:ascii="Calibri" w:cs="Calibri" w:eastAsia="Calibri" w:hAnsi="Calibri"/>
          <w:sz w:val="22"/>
          <w:szCs w:val="22"/>
        </w:rPr>
        <w:t xml:space="preserve">ISO/IEC 42001:2023 – Anexo A.6.1.2 (Inventario de Activos de IA) y Cláusula 7.5 (Información Documentada).</w:t>
      </w:r>
    </w:p>
    <w:p>
      <w:pPr>
        <w:spacing w:after="120"/>
        <w:jc w:val="both"/>
      </w:pPr>
      <w:r>
        <w:rPr>
          <w:rFonts w:ascii="Calibri" w:cs="Calibri" w:eastAsia="Calibri" w:hAnsi="Calibri"/>
          <w:b/>
          <w:bCs/>
          <w:sz w:val="22"/>
          <w:szCs w:val="22"/>
        </w:rPr>
        <w:t xml:space="preserve">Causa (La razón): </w:t>
      </w:r>
      <w:r>
        <w:rPr>
          <w:rFonts w:ascii="Calibri" w:cs="Calibri" w:eastAsia="Calibri" w:hAnsi="Calibri"/>
          <w:sz w:val="22"/>
          <w:szCs w:val="22"/>
        </w:rPr>
        <w:t xml:space="preserve">Ausencia de políticas internas de gobernanza y uso aceptable de tecnologías emergentes (Shadow AI).</w:t>
      </w:r>
    </w:p>
    <w:p>
      <w:pPr>
        <w:spacing w:after="120"/>
        <w:jc w:val="both"/>
      </w:pPr>
      <w:r>
        <w:rPr>
          <w:rFonts w:ascii="Calibri" w:cs="Calibri" w:eastAsia="Calibri" w:hAnsi="Calibri"/>
          <w:b/>
          <w:bCs/>
          <w:sz w:val="22"/>
          <w:szCs w:val="22"/>
        </w:rPr>
        <w:t xml:space="preserve">Efecto (La consecuencia): </w:t>
      </w:r>
      <w:r>
        <w:rPr>
          <w:rFonts w:ascii="Calibri" w:cs="Calibri" w:eastAsia="Calibri" w:hAnsi="Calibri"/>
          <w:sz w:val="22"/>
          <w:szCs w:val="22"/>
        </w:rPr>
        <w:t xml:space="preserve">Riesgo elevado de filtración de datos confidenciales y código fuente propietario hacia modelos públicos de terceros.</w:t>
      </w:r>
    </w:p>
    <w:p>
      <w:pPr>
        <w:spacing w:after="160"/>
        <w:jc w:val="both"/>
      </w:pPr>
      <w:r>
        <w:rPr>
          <w:rFonts w:ascii="Calibri" w:cs="Calibri" w:eastAsia="Calibri" w:hAnsi="Calibri"/>
          <w:b/>
          <w:bCs/>
          <w:sz w:val="22"/>
          <w:szCs w:val="22"/>
        </w:rPr>
        <w:t xml:space="preserve">Nivel de Riesgo: </w:t>
      </w:r>
      <w:r>
        <w:rPr>
          <w:rFonts w:ascii="Calibri" w:cs="Calibri" w:eastAsia="Calibri" w:hAnsi="Calibri"/>
          <w:b/>
          <w:bCs/>
          <w:color w:val="E36C09"/>
          <w:sz w:val="22"/>
          <w:szCs w:val="22"/>
        </w:rPr>
        <w:t xml:space="preserve">ALTO</w:t>
      </w:r>
    </w:p>
    <w:p>
      <w:pPr>
        <w:shd w:fill="EAF1F8" w:val="clear"/>
        <w:spacing w:after="120" w:before="200"/>
      </w:pPr>
      <w:r>
        <w:rPr>
          <w:rFonts w:ascii="Calibri" w:cs="Calibri" w:eastAsia="Calibri" w:hAnsi="Calibri"/>
          <w:b/>
          <w:bCs/>
          <w:sz w:val="22"/>
          <w:szCs w:val="22"/>
        </w:rPr>
        <w:t xml:space="preserve">Hallazgo N° 02: Sesgo Algorítmico no Mitigado en Módulo de Selección</w:t>
      </w:r>
    </w:p>
    <w:p>
      <w:pPr>
        <w:spacing w:after="120"/>
        <w:jc w:val="both"/>
      </w:pPr>
      <w:r>
        <w:rPr>
          <w:rFonts w:ascii="Calibri" w:cs="Calibri" w:eastAsia="Calibri" w:hAnsi="Calibri"/>
          <w:b/>
          <w:bCs/>
          <w:sz w:val="22"/>
          <w:szCs w:val="22"/>
        </w:rPr>
        <w:t xml:space="preserve">Condición (Lo hallado): </w:t>
      </w:r>
      <w:r>
        <w:rPr>
          <w:rFonts w:ascii="Calibri" w:cs="Calibri" w:eastAsia="Calibri" w:hAnsi="Calibri"/>
          <w:sz w:val="22"/>
          <w:szCs w:val="22"/>
        </w:rPr>
        <w:t xml:space="preserve">Las pruebas de auditoría mostraron que la herramienta basada en OpenAI presenta una tasa de selección 35% menor para postulantes femeninas con perfiles equivalentes.</w:t>
      </w:r>
    </w:p>
    <w:p>
      <w:pPr>
        <w:spacing w:after="120"/>
        <w:jc w:val="both"/>
      </w:pPr>
      <w:r>
        <w:rPr>
          <w:rFonts w:ascii="Calibri" w:cs="Calibri" w:eastAsia="Calibri" w:hAnsi="Calibri"/>
          <w:b/>
          <w:bCs/>
          <w:sz w:val="22"/>
          <w:szCs w:val="22"/>
        </w:rPr>
        <w:t xml:space="preserve">Criterio (Lo debido): </w:t>
      </w:r>
      <w:r>
        <w:rPr>
          <w:rFonts w:ascii="Calibri" w:cs="Calibri" w:eastAsia="Calibri" w:hAnsi="Calibri"/>
          <w:sz w:val="22"/>
          <w:szCs w:val="22"/>
        </w:rPr>
        <w:t xml:space="preserve">ISO/IEC 42001:2023 – Anexo A.8.4 (Tratamiento del Sesgo y Equidad) y Anexo A.5.1 (Evaluación de Impacto).</w:t>
      </w:r>
    </w:p>
    <w:p>
      <w:pPr>
        <w:spacing w:after="120"/>
        <w:jc w:val="both"/>
      </w:pPr>
      <w:r>
        <w:rPr>
          <w:rFonts w:ascii="Calibri" w:cs="Calibri" w:eastAsia="Calibri" w:hAnsi="Calibri"/>
          <w:b/>
          <w:bCs/>
          <w:sz w:val="22"/>
          <w:szCs w:val="22"/>
        </w:rPr>
        <w:t xml:space="preserve">Causa (La razón): </w:t>
      </w:r>
      <w:r>
        <w:rPr>
          <w:rFonts w:ascii="Calibri" w:cs="Calibri" w:eastAsia="Calibri" w:hAnsi="Calibri"/>
          <w:sz w:val="22"/>
          <w:szCs w:val="22"/>
        </w:rPr>
        <w:t xml:space="preserve">Uso de datasets históricos desbalanceados y falta de pruebas de equidad (fairness testing) en la fase de calidad.</w:t>
      </w:r>
    </w:p>
    <w:p>
      <w:pPr>
        <w:spacing w:after="120"/>
        <w:jc w:val="both"/>
      </w:pPr>
      <w:r>
        <w:rPr>
          <w:rFonts w:ascii="Calibri" w:cs="Calibri" w:eastAsia="Calibri" w:hAnsi="Calibri"/>
          <w:b/>
          <w:bCs/>
          <w:sz w:val="22"/>
          <w:szCs w:val="22"/>
        </w:rPr>
        <w:t xml:space="preserve">Efecto (La consecuencia): </w:t>
      </w:r>
      <w:r>
        <w:rPr>
          <w:rFonts w:ascii="Calibri" w:cs="Calibri" w:eastAsia="Calibri" w:hAnsi="Calibri"/>
          <w:sz w:val="22"/>
          <w:szCs w:val="22"/>
        </w:rPr>
        <w:t xml:space="preserve">Exposición a demandas legales por discriminación, pérdida de clientes y daño reputacional severo.</w:t>
      </w:r>
    </w:p>
    <w:p>
      <w:pPr>
        <w:spacing w:after="160"/>
        <w:jc w:val="both"/>
      </w:pPr>
      <w:r>
        <w:rPr>
          <w:rFonts w:ascii="Calibri" w:cs="Calibri" w:eastAsia="Calibri" w:hAnsi="Calibri"/>
          <w:b/>
          <w:bCs/>
          <w:sz w:val="22"/>
          <w:szCs w:val="22"/>
        </w:rPr>
        <w:t xml:space="preserve">Nivel de Riesgo: </w:t>
      </w:r>
      <w:r>
        <w:rPr>
          <w:rFonts w:ascii="Calibri" w:cs="Calibri" w:eastAsia="Calibri" w:hAnsi="Calibri"/>
          <w:b/>
          <w:bCs/>
          <w:color w:val="C00000"/>
          <w:sz w:val="22"/>
          <w:szCs w:val="22"/>
        </w:rPr>
        <w:t xml:space="preserve">CRÍTICO</w:t>
      </w:r>
    </w:p>
    <w:p>
      <w:pPr>
        <w:pStyle w:val="Heading1"/>
        <w:spacing w:after="160" w:before="280"/>
      </w:pPr>
      <w:r>
        <w:rPr>
          <w:rFonts w:ascii="Calibri" w:cs="Calibri" w:eastAsia="Calibri" w:hAnsi="Calibri"/>
          <w:b/>
          <w:bCs/>
          <w:color w:val="1F4E79"/>
          <w:sz w:val="26"/>
          <w:szCs w:val="26"/>
        </w:rPr>
        <w:t xml:space="preserve">6. MATRIZ DE EVALUACIÓN DE CUMPLIMIENTO (ISO 42001)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2650"/>
        <w:gridCol w:w="1350"/>
        <w:gridCol w:w="1110"/>
        <w:gridCol w:w="2800"/>
      </w:tblGrid>
      <w:tr>
        <w:tc>
          <w:tcPr>
            <w:tcW w:type="dxa" w:w="1450"/>
            <w:shd w:fill="1F4E79" w:val="clear"/>
            <w:tcMar>
              <w:top w:type="dxa" w:w="60"/>
              <w:left w:type="dxa" w:w="100"/>
              <w:bottom w:type="dxa" w:w="60"/>
              <w:right w:type="dxa" w:w="100"/>
            </w:tcMar>
            <w:vAlign w:val="center"/>
          </w:tcPr>
          <w:p>
            <w:pPr>
              <w:spacing w:after="0"/>
              <w:jc w:val="center"/>
            </w:pPr>
            <w:r>
              <w:rPr>
                <w:rFonts w:ascii="Calibri" w:cs="Calibri" w:eastAsia="Calibri" w:hAnsi="Calibri"/>
                <w:b/>
                <w:bCs/>
                <w:color w:val="FFFFFF"/>
                <w:sz w:val="20"/>
                <w:szCs w:val="20"/>
              </w:rPr>
              <w:t xml:space="preserve">Cláusula / Control</w:t>
            </w:r>
          </w:p>
        </w:tc>
        <w:tc>
          <w:tcPr>
            <w:tcW w:type="dxa" w:w="2650"/>
            <w:shd w:fill="1F4E79" w:val="clear"/>
            <w:tcMar>
              <w:top w:type="dxa" w:w="60"/>
              <w:left w:type="dxa" w:w="100"/>
              <w:bottom w:type="dxa" w:w="60"/>
              <w:right w:type="dxa" w:w="100"/>
            </w:tcMar>
            <w:vAlign w:val="center"/>
          </w:tcPr>
          <w:p>
            <w:pPr>
              <w:spacing w:after="0"/>
              <w:jc w:val="center"/>
            </w:pPr>
            <w:r>
              <w:rPr>
                <w:rFonts w:ascii="Calibri" w:cs="Calibri" w:eastAsia="Calibri" w:hAnsi="Calibri"/>
                <w:b/>
                <w:bCs/>
                <w:color w:val="FFFFFF"/>
                <w:sz w:val="20"/>
                <w:szCs w:val="20"/>
              </w:rPr>
              <w:t xml:space="preserve">Nombre del Requisito / Control</w:t>
            </w:r>
          </w:p>
        </w:tc>
        <w:tc>
          <w:tcPr>
            <w:tcW w:type="dxa" w:w="1350"/>
            <w:shd w:fill="1F4E79" w:val="clear"/>
            <w:tcMar>
              <w:top w:type="dxa" w:w="60"/>
              <w:left w:type="dxa" w:w="100"/>
              <w:bottom w:type="dxa" w:w="60"/>
              <w:right w:type="dxa" w:w="100"/>
            </w:tcMar>
            <w:vAlign w:val="center"/>
          </w:tcPr>
          <w:p>
            <w:pPr>
              <w:spacing w:after="0"/>
              <w:jc w:val="center"/>
            </w:pPr>
            <w:r>
              <w:rPr>
                <w:rFonts w:ascii="Calibri" w:cs="Calibri" w:eastAsia="Calibri" w:hAnsi="Calibri"/>
                <w:b/>
                <w:bCs/>
                <w:color w:val="FFFFFF"/>
                <w:sz w:val="20"/>
                <w:szCs w:val="20"/>
              </w:rPr>
              <w:t xml:space="preserve">Estado</w:t>
            </w:r>
          </w:p>
        </w:tc>
        <w:tc>
          <w:tcPr>
            <w:tcW w:type="dxa" w:w="1110"/>
            <w:shd w:fill="1F4E79" w:val="clear"/>
            <w:tcMar>
              <w:top w:type="dxa" w:w="60"/>
              <w:left w:type="dxa" w:w="100"/>
              <w:bottom w:type="dxa" w:w="60"/>
              <w:right w:type="dxa" w:w="100"/>
            </w:tcMar>
            <w:vAlign w:val="center"/>
          </w:tcPr>
          <w:p>
            <w:pPr>
              <w:spacing w:after="0"/>
              <w:jc w:val="center"/>
            </w:pPr>
            <w:r>
              <w:rPr>
                <w:rFonts w:ascii="Calibri" w:cs="Calibri" w:eastAsia="Calibri" w:hAnsi="Calibri"/>
                <w:b/>
                <w:bCs/>
                <w:color w:val="FFFFFF"/>
                <w:sz w:val="20"/>
                <w:szCs w:val="20"/>
              </w:rPr>
              <w:t xml:space="preserve">Puntaje (1-5)</w:t>
            </w:r>
          </w:p>
        </w:tc>
        <w:tc>
          <w:tcPr>
            <w:tcW w:type="dxa" w:w="2800"/>
            <w:shd w:fill="1F4E79" w:val="clear"/>
            <w:tcMar>
              <w:top w:type="dxa" w:w="60"/>
              <w:left w:type="dxa" w:w="100"/>
              <w:bottom w:type="dxa" w:w="60"/>
              <w:right w:type="dxa" w:w="100"/>
            </w:tcMar>
            <w:vAlign w:val="center"/>
          </w:tcPr>
          <w:p>
            <w:pPr>
              <w:spacing w:after="0"/>
              <w:jc w:val="center"/>
            </w:pPr>
            <w:r>
              <w:rPr>
                <w:rFonts w:ascii="Calibri" w:cs="Calibri" w:eastAsia="Calibri" w:hAnsi="Calibri"/>
                <w:b/>
                <w:bCs/>
                <w:color w:val="FFFFFF"/>
                <w:sz w:val="20"/>
                <w:szCs w:val="20"/>
              </w:rPr>
              <w:t xml:space="preserve">Observación / Evidencia</w:t>
            </w:r>
          </w:p>
        </w:tc>
      </w:tr>
      <w:tr>
        <w:tc>
          <w:tcPr>
            <w:tcW w:type="dxa" w:w="145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Cláusula 5.2</w:t>
            </w:r>
          </w:p>
        </w:tc>
        <w:tc>
          <w:tcPr>
            <w:tcW w:type="dxa" w:w="265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Política de IA</w:t>
            </w:r>
          </w:p>
        </w:tc>
        <w:tc>
          <w:tcPr>
            <w:tcW w:type="dxa" w:w="1350"/>
            <w:tcMar>
              <w:top w:type="dxa" w:w="60"/>
              <w:left w:type="dxa" w:w="100"/>
              <w:bottom w:type="dxa" w:w="60"/>
              <w:right w:type="dxa" w:w="100"/>
            </w:tcMar>
            <w:vAlign w:val="center"/>
          </w:tcPr>
          <w:p>
            <w:pPr>
              <w:spacing w:after="0"/>
              <w:jc w:val="center"/>
            </w:pPr>
            <w:r>
              <w:rPr>
                <w:rFonts w:ascii="Calibri" w:cs="Calibri" w:eastAsia="Calibri" w:hAnsi="Calibri"/>
                <w:b w:val="false"/>
                <w:bCs w:val="false"/>
                <w:sz w:val="20"/>
                <w:szCs w:val="20"/>
              </w:rPr>
              <w:t xml:space="preserve">No Cumple</w:t>
            </w:r>
          </w:p>
        </w:tc>
        <w:tc>
          <w:tcPr>
            <w:tcW w:type="dxa" w:w="1110"/>
            <w:tcMar>
              <w:top w:type="dxa" w:w="60"/>
              <w:left w:type="dxa" w:w="100"/>
              <w:bottom w:type="dxa" w:w="60"/>
              <w:right w:type="dxa" w:w="100"/>
            </w:tcMar>
            <w:vAlign w:val="center"/>
          </w:tcPr>
          <w:p>
            <w:pPr>
              <w:spacing w:after="0"/>
              <w:jc w:val="center"/>
            </w:pPr>
            <w:r>
              <w:rPr>
                <w:rFonts w:ascii="Calibri" w:cs="Calibri" w:eastAsia="Calibri" w:hAnsi="Calibri"/>
                <w:b w:val="false"/>
                <w:bCs w:val="false"/>
                <w:sz w:val="20"/>
                <w:szCs w:val="20"/>
              </w:rPr>
              <w:t xml:space="preserve">1</w:t>
            </w:r>
          </w:p>
        </w:tc>
        <w:tc>
          <w:tcPr>
            <w:tcW w:type="dxa" w:w="28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Inexistencia de documento formal.</w:t>
            </w:r>
          </w:p>
        </w:tc>
      </w:tr>
      <w:tr>
        <w:tc>
          <w:tcPr>
            <w:tcW w:type="dxa" w:w="1450"/>
            <w:shd w:fill="F2F6FA" w:val="clear"/>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Cláusula 6.1.2</w:t>
            </w:r>
          </w:p>
        </w:tc>
        <w:tc>
          <w:tcPr>
            <w:tcW w:type="dxa" w:w="2650"/>
            <w:shd w:fill="F2F6FA" w:val="clear"/>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Evaluación de Riesgos de IA</w:t>
            </w:r>
          </w:p>
        </w:tc>
        <w:tc>
          <w:tcPr>
            <w:tcW w:type="dxa" w:w="1350"/>
            <w:shd w:fill="F2F6FA" w:val="clear"/>
            <w:tcMar>
              <w:top w:type="dxa" w:w="60"/>
              <w:left w:type="dxa" w:w="100"/>
              <w:bottom w:type="dxa" w:w="60"/>
              <w:right w:type="dxa" w:w="100"/>
            </w:tcMar>
            <w:vAlign w:val="center"/>
          </w:tcPr>
          <w:p>
            <w:pPr>
              <w:spacing w:after="0"/>
              <w:jc w:val="center"/>
            </w:pPr>
            <w:r>
              <w:rPr>
                <w:rFonts w:ascii="Calibri" w:cs="Calibri" w:eastAsia="Calibri" w:hAnsi="Calibri"/>
                <w:b w:val="false"/>
                <w:bCs w:val="false"/>
                <w:sz w:val="20"/>
                <w:szCs w:val="20"/>
              </w:rPr>
              <w:t xml:space="preserve">Cumple Parcial</w:t>
            </w:r>
          </w:p>
        </w:tc>
        <w:tc>
          <w:tcPr>
            <w:tcW w:type="dxa" w:w="1110"/>
            <w:shd w:fill="F2F6FA" w:val="clear"/>
            <w:tcMar>
              <w:top w:type="dxa" w:w="60"/>
              <w:left w:type="dxa" w:w="100"/>
              <w:bottom w:type="dxa" w:w="60"/>
              <w:right w:type="dxa" w:w="100"/>
            </w:tcMar>
            <w:vAlign w:val="center"/>
          </w:tcPr>
          <w:p>
            <w:pPr>
              <w:spacing w:after="0"/>
              <w:jc w:val="center"/>
            </w:pPr>
            <w:r>
              <w:rPr>
                <w:rFonts w:ascii="Calibri" w:cs="Calibri" w:eastAsia="Calibri" w:hAnsi="Calibri"/>
                <w:b w:val="false"/>
                <w:bCs w:val="false"/>
                <w:sz w:val="20"/>
                <w:szCs w:val="20"/>
              </w:rPr>
              <w:t xml:space="preserve">2</w:t>
            </w:r>
          </w:p>
        </w:tc>
        <w:tc>
          <w:tcPr>
            <w:tcW w:type="dxa" w:w="2800"/>
            <w:shd w:fill="F2F6FA" w:val="clear"/>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Sin identificación de riesgos de IA.</w:t>
            </w:r>
          </w:p>
        </w:tc>
      </w:tr>
      <w:tr>
        <w:tc>
          <w:tcPr>
            <w:tcW w:type="dxa" w:w="145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Anexo A.6.1.2</w:t>
            </w:r>
          </w:p>
        </w:tc>
        <w:tc>
          <w:tcPr>
            <w:tcW w:type="dxa" w:w="265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Inventario de Activos de IA</w:t>
            </w:r>
          </w:p>
        </w:tc>
        <w:tc>
          <w:tcPr>
            <w:tcW w:type="dxa" w:w="1350"/>
            <w:tcMar>
              <w:top w:type="dxa" w:w="60"/>
              <w:left w:type="dxa" w:w="100"/>
              <w:bottom w:type="dxa" w:w="60"/>
              <w:right w:type="dxa" w:w="100"/>
            </w:tcMar>
            <w:vAlign w:val="center"/>
          </w:tcPr>
          <w:p>
            <w:pPr>
              <w:spacing w:after="0"/>
              <w:jc w:val="center"/>
            </w:pPr>
            <w:r>
              <w:rPr>
                <w:rFonts w:ascii="Calibri" w:cs="Calibri" w:eastAsia="Calibri" w:hAnsi="Calibri"/>
                <w:b w:val="false"/>
                <w:bCs w:val="false"/>
                <w:sz w:val="20"/>
                <w:szCs w:val="20"/>
              </w:rPr>
              <w:t xml:space="preserve">No Cumple</w:t>
            </w:r>
          </w:p>
        </w:tc>
        <w:tc>
          <w:tcPr>
            <w:tcW w:type="dxa" w:w="1110"/>
            <w:tcMar>
              <w:top w:type="dxa" w:w="60"/>
              <w:left w:type="dxa" w:w="100"/>
              <w:bottom w:type="dxa" w:w="60"/>
              <w:right w:type="dxa" w:w="100"/>
            </w:tcMar>
            <w:vAlign w:val="center"/>
          </w:tcPr>
          <w:p>
            <w:pPr>
              <w:spacing w:after="0"/>
              <w:jc w:val="center"/>
            </w:pPr>
            <w:r>
              <w:rPr>
                <w:rFonts w:ascii="Calibri" w:cs="Calibri" w:eastAsia="Calibri" w:hAnsi="Calibri"/>
                <w:b w:val="false"/>
                <w:bCs w:val="false"/>
                <w:sz w:val="20"/>
                <w:szCs w:val="20"/>
              </w:rPr>
              <w:t xml:space="preserve">1</w:t>
            </w:r>
          </w:p>
        </w:tc>
        <w:tc>
          <w:tcPr>
            <w:tcW w:type="dxa" w:w="28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APIs dispersas y sin inventario.</w:t>
            </w:r>
          </w:p>
        </w:tc>
      </w:tr>
      <w:tr>
        <w:tc>
          <w:tcPr>
            <w:tcW w:type="dxa" w:w="1450"/>
            <w:shd w:fill="F2F6FA" w:val="clear"/>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Anexo A.7.2</w:t>
            </w:r>
          </w:p>
        </w:tc>
        <w:tc>
          <w:tcPr>
            <w:tcW w:type="dxa" w:w="2650"/>
            <w:shd w:fill="F2F6FA" w:val="clear"/>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Calidad de Datos para IA</w:t>
            </w:r>
          </w:p>
        </w:tc>
        <w:tc>
          <w:tcPr>
            <w:tcW w:type="dxa" w:w="1350"/>
            <w:shd w:fill="F2F6FA" w:val="clear"/>
            <w:tcMar>
              <w:top w:type="dxa" w:w="60"/>
              <w:left w:type="dxa" w:w="100"/>
              <w:bottom w:type="dxa" w:w="60"/>
              <w:right w:type="dxa" w:w="100"/>
            </w:tcMar>
            <w:vAlign w:val="center"/>
          </w:tcPr>
          <w:p>
            <w:pPr>
              <w:spacing w:after="0"/>
              <w:jc w:val="center"/>
            </w:pPr>
            <w:r>
              <w:rPr>
                <w:rFonts w:ascii="Calibri" w:cs="Calibri" w:eastAsia="Calibri" w:hAnsi="Calibri"/>
                <w:b w:val="false"/>
                <w:bCs w:val="false"/>
                <w:sz w:val="20"/>
                <w:szCs w:val="20"/>
              </w:rPr>
              <w:t xml:space="preserve">No Cumple</w:t>
            </w:r>
          </w:p>
        </w:tc>
        <w:tc>
          <w:tcPr>
            <w:tcW w:type="dxa" w:w="1110"/>
            <w:shd w:fill="F2F6FA" w:val="clear"/>
            <w:tcMar>
              <w:top w:type="dxa" w:w="60"/>
              <w:left w:type="dxa" w:w="100"/>
              <w:bottom w:type="dxa" w:w="60"/>
              <w:right w:type="dxa" w:w="100"/>
            </w:tcMar>
            <w:vAlign w:val="center"/>
          </w:tcPr>
          <w:p>
            <w:pPr>
              <w:spacing w:after="0"/>
              <w:jc w:val="center"/>
            </w:pPr>
            <w:r>
              <w:rPr>
                <w:rFonts w:ascii="Calibri" w:cs="Calibri" w:eastAsia="Calibri" w:hAnsi="Calibri"/>
                <w:b w:val="false"/>
                <w:bCs w:val="false"/>
                <w:sz w:val="20"/>
                <w:szCs w:val="20"/>
              </w:rPr>
              <w:t xml:space="preserve">1</w:t>
            </w:r>
          </w:p>
        </w:tc>
        <w:tc>
          <w:tcPr>
            <w:tcW w:type="dxa" w:w="2800"/>
            <w:shd w:fill="F2F6FA" w:val="clear"/>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Datasets no validados ni anonimizados.</w:t>
            </w:r>
          </w:p>
        </w:tc>
      </w:tr>
      <w:tr>
        <w:tc>
          <w:tcPr>
            <w:tcW w:type="dxa" w:w="145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Anexo A.8.4</w:t>
            </w:r>
          </w:p>
        </w:tc>
        <w:tc>
          <w:tcPr>
            <w:tcW w:type="dxa" w:w="265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Tratamiento del Sesgo</w:t>
            </w:r>
          </w:p>
        </w:tc>
        <w:tc>
          <w:tcPr>
            <w:tcW w:type="dxa" w:w="1350"/>
            <w:tcMar>
              <w:top w:type="dxa" w:w="60"/>
              <w:left w:type="dxa" w:w="100"/>
              <w:bottom w:type="dxa" w:w="60"/>
              <w:right w:type="dxa" w:w="100"/>
            </w:tcMar>
            <w:vAlign w:val="center"/>
          </w:tcPr>
          <w:p>
            <w:pPr>
              <w:spacing w:after="0"/>
              <w:jc w:val="center"/>
            </w:pPr>
            <w:r>
              <w:rPr>
                <w:rFonts w:ascii="Calibri" w:cs="Calibri" w:eastAsia="Calibri" w:hAnsi="Calibri"/>
                <w:b w:val="false"/>
                <w:bCs w:val="false"/>
                <w:sz w:val="20"/>
                <w:szCs w:val="20"/>
              </w:rPr>
              <w:t xml:space="preserve">No Cumple</w:t>
            </w:r>
          </w:p>
        </w:tc>
        <w:tc>
          <w:tcPr>
            <w:tcW w:type="dxa" w:w="1110"/>
            <w:tcMar>
              <w:top w:type="dxa" w:w="60"/>
              <w:left w:type="dxa" w:w="100"/>
              <w:bottom w:type="dxa" w:w="60"/>
              <w:right w:type="dxa" w:w="100"/>
            </w:tcMar>
            <w:vAlign w:val="center"/>
          </w:tcPr>
          <w:p>
            <w:pPr>
              <w:spacing w:after="0"/>
              <w:jc w:val="center"/>
            </w:pPr>
            <w:r>
              <w:rPr>
                <w:rFonts w:ascii="Calibri" w:cs="Calibri" w:eastAsia="Calibri" w:hAnsi="Calibri"/>
                <w:b w:val="false"/>
                <w:bCs w:val="false"/>
                <w:sz w:val="20"/>
                <w:szCs w:val="20"/>
              </w:rPr>
              <w:t xml:space="preserve">1</w:t>
            </w:r>
          </w:p>
        </w:tc>
        <w:tc>
          <w:tcPr>
            <w:tcW w:type="dxa" w:w="28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Presencia comprobada de sesgo.</w:t>
            </w:r>
          </w:p>
        </w:tc>
      </w:tr>
      <w:tr>
        <w:tc>
          <w:tcPr>
            <w:tcW w:type="dxa" w:w="1450"/>
            <w:shd w:fill="F2F6FA" w:val="clear"/>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Cláusula 7.2</w:t>
            </w:r>
          </w:p>
        </w:tc>
        <w:tc>
          <w:tcPr>
            <w:tcW w:type="dxa" w:w="2650"/>
            <w:shd w:fill="F2F6FA" w:val="clear"/>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Competencia y Concientización</w:t>
            </w:r>
          </w:p>
        </w:tc>
        <w:tc>
          <w:tcPr>
            <w:tcW w:type="dxa" w:w="1350"/>
            <w:shd w:fill="F2F6FA" w:val="clear"/>
            <w:tcMar>
              <w:top w:type="dxa" w:w="60"/>
              <w:left w:type="dxa" w:w="100"/>
              <w:bottom w:type="dxa" w:w="60"/>
              <w:right w:type="dxa" w:w="100"/>
            </w:tcMar>
            <w:vAlign w:val="center"/>
          </w:tcPr>
          <w:p>
            <w:pPr>
              <w:spacing w:after="0"/>
              <w:jc w:val="center"/>
            </w:pPr>
            <w:r>
              <w:rPr>
                <w:rFonts w:ascii="Calibri" w:cs="Calibri" w:eastAsia="Calibri" w:hAnsi="Calibri"/>
                <w:b w:val="false"/>
                <w:bCs w:val="false"/>
                <w:sz w:val="20"/>
                <w:szCs w:val="20"/>
              </w:rPr>
              <w:t xml:space="preserve">Cumple Parcial</w:t>
            </w:r>
          </w:p>
        </w:tc>
        <w:tc>
          <w:tcPr>
            <w:tcW w:type="dxa" w:w="1110"/>
            <w:shd w:fill="F2F6FA" w:val="clear"/>
            <w:tcMar>
              <w:top w:type="dxa" w:w="60"/>
              <w:left w:type="dxa" w:w="100"/>
              <w:bottom w:type="dxa" w:w="60"/>
              <w:right w:type="dxa" w:w="100"/>
            </w:tcMar>
            <w:vAlign w:val="center"/>
          </w:tcPr>
          <w:p>
            <w:pPr>
              <w:spacing w:after="0"/>
              <w:jc w:val="center"/>
            </w:pPr>
            <w:r>
              <w:rPr>
                <w:rFonts w:ascii="Calibri" w:cs="Calibri" w:eastAsia="Calibri" w:hAnsi="Calibri"/>
                <w:b w:val="false"/>
                <w:bCs w:val="false"/>
                <w:sz w:val="20"/>
                <w:szCs w:val="20"/>
              </w:rPr>
              <w:t xml:space="preserve">2</w:t>
            </w:r>
          </w:p>
        </w:tc>
        <w:tc>
          <w:tcPr>
            <w:tcW w:type="dxa" w:w="2800"/>
            <w:shd w:fill="F2F6FA" w:val="clear"/>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Falta formación en ética de IA.</w:t>
            </w:r>
          </w:p>
        </w:tc>
      </w:tr>
    </w:tbl>
    <w:p>
      <w:pPr>
        <w:spacing w:after="100" w:before="0"/>
        <w:jc w:val="both"/>
      </w:pPr>
      <w:r>
        <w:rPr>
          <w:rFonts w:ascii="Calibri" w:cs="Calibri" w:eastAsia="Calibri" w:hAnsi="Calibri"/>
          <w:sz w:val="22"/>
          <w:szCs w:val="22"/>
        </w:rPr>
        <w:t xml:space="preserve"/>
      </w:r>
    </w:p>
    <w:p>
      <w:pPr>
        <w:spacing w:after="120"/>
        <w:jc w:val="both"/>
      </w:pPr>
      <w:r>
        <w:rPr>
          <w:rFonts w:ascii="Calibri" w:cs="Calibri" w:eastAsia="Calibri" w:hAnsi="Calibri"/>
          <w:b/>
          <w:bCs/>
          <w:sz w:val="22"/>
          <w:szCs w:val="22"/>
        </w:rPr>
        <w:t xml:space="preserve">Puntaje promedio de cumplimiento: </w:t>
      </w:r>
      <w:r>
        <w:rPr>
          <w:rFonts w:ascii="Calibri" w:cs="Calibri" w:eastAsia="Calibri" w:hAnsi="Calibri"/>
          <w:sz w:val="22"/>
          <w:szCs w:val="22"/>
        </w:rPr>
        <w:t xml:space="preserve">1.33 / 5.00 (nivel de madurez inicial – no conforme).</w:t>
      </w:r>
    </w:p>
    <w:p>
      <w:pPr>
        <w:pStyle w:val="Heading1"/>
        <w:spacing w:after="160" w:before="280"/>
      </w:pPr>
      <w:r>
        <w:rPr>
          <w:rFonts w:ascii="Calibri" w:cs="Calibri" w:eastAsia="Calibri" w:hAnsi="Calibri"/>
          <w:b/>
          <w:bCs/>
          <w:color w:val="1F4E79"/>
          <w:sz w:val="26"/>
          <w:szCs w:val="26"/>
        </w:rPr>
        <w:t xml:space="preserve">7. CONCLUSIONES Y RECOMENDACIONES</w:t>
      </w:r>
    </w:p>
    <w:p>
      <w:pPr>
        <w:pStyle w:val="Heading2"/>
        <w:spacing w:after="120" w:before="200"/>
      </w:pPr>
      <w:r>
        <w:rPr>
          <w:rFonts w:ascii="Calibri" w:cs="Calibri" w:eastAsia="Calibri" w:hAnsi="Calibri"/>
          <w:b/>
          <w:bCs/>
          <w:color w:val="2E5C8A"/>
          <w:sz w:val="23"/>
          <w:szCs w:val="23"/>
        </w:rPr>
        <w:t xml:space="preserve">7.1 Conclusiones</w:t>
      </w:r>
    </w:p>
    <w:p>
      <w:pPr>
        <w:spacing w:after="120" w:before="0"/>
        <w:jc w:val="both"/>
      </w:pPr>
      <w:r>
        <w:rPr>
          <w:rFonts w:ascii="Calibri" w:cs="Calibri" w:eastAsia="Calibri" w:hAnsi="Calibri"/>
          <w:sz w:val="22"/>
          <w:szCs w:val="22"/>
        </w:rPr>
        <w:t xml:space="preserve">CodeForge Solutions S.A. presenta un incumplimiento significativo de los requisitos de la norma ISO/IEC 42001:2023, con un nivel de madurez inicial en la gestión de sus sistemas de Inteligencia Artificial. La ausencia de un inventario formal de activos de IA, la falta de una política corporativa de IA, la carencia de evaluaciones de impacto y la presencia comprobada de sesgo algorítmico en un sistema en producción constituyen no conformidades mayores que exponen a la organización a riesgos legales, reputacionales y de fuga de propiedad intelectual. El SGIA, en su estado actual, no garantiza un uso responsable, ético ni trazable de la Inteligencia Artificial.</w:t>
      </w:r>
    </w:p>
    <w:p>
      <w:pPr>
        <w:pStyle w:val="Heading2"/>
        <w:spacing w:after="120" w:before="200"/>
      </w:pPr>
      <w:r>
        <w:rPr>
          <w:rFonts w:ascii="Calibri" w:cs="Calibri" w:eastAsia="Calibri" w:hAnsi="Calibri"/>
          <w:b/>
          <w:bCs/>
          <w:color w:val="2E5C8A"/>
          <w:sz w:val="23"/>
          <w:szCs w:val="23"/>
        </w:rPr>
        <w:t xml:space="preserve">7.2 Recomendaciones</w:t>
      </w:r>
    </w:p>
    <w:p>
      <w:pPr>
        <w:pStyle w:val="ListParagraph"/>
        <w:numPr>
          <w:ilvl w:val="0"/>
          <w:numId w:val="2"/>
        </w:numPr>
        <w:spacing w:after="120" w:before="0"/>
        <w:jc w:val="both"/>
      </w:pPr>
      <w:r>
        <w:rPr>
          <w:rFonts w:ascii="Calibri" w:cs="Calibri" w:eastAsia="Calibri" w:hAnsi="Calibri"/>
          <w:sz w:val="22"/>
          <w:szCs w:val="22"/>
        </w:rPr>
        <w:t xml:space="preserve">Crear e institucionalizar el Registro Único de Activos de IA, catalogando cada proveedor (OpenAI, Google, X, Apple), tipo de API, nivel de criticidad y tipo de datos procesados (Anexo A.6).</w:t>
      </w:r>
    </w:p>
    <w:p>
      <w:pPr>
        <w:pStyle w:val="ListParagraph"/>
        <w:numPr>
          <w:ilvl w:val="0"/>
          <w:numId w:val="2"/>
        </w:numPr>
        <w:spacing w:after="120" w:before="0"/>
        <w:jc w:val="both"/>
      </w:pPr>
      <w:r>
        <w:rPr>
          <w:rFonts w:ascii="Calibri" w:cs="Calibri" w:eastAsia="Calibri" w:hAnsi="Calibri"/>
          <w:sz w:val="22"/>
          <w:szCs w:val="22"/>
        </w:rPr>
        <w:t xml:space="preserve">Ejecutar una Evaluación de Impacto del Sistema de IA (AIIA) para medir riesgos éticos, de privacidad y de equidad en cada proyecto (Cláusula 6.1.2 y Anexo A.5.1).</w:t>
      </w:r>
    </w:p>
    <w:p>
      <w:pPr>
        <w:pStyle w:val="ListParagraph"/>
        <w:numPr>
          <w:ilvl w:val="0"/>
          <w:numId w:val="2"/>
        </w:numPr>
        <w:spacing w:after="120" w:before="0"/>
        <w:jc w:val="both"/>
      </w:pPr>
      <w:r>
        <w:rPr>
          <w:rFonts w:ascii="Calibri" w:cs="Calibri" w:eastAsia="Calibri" w:hAnsi="Calibri"/>
          <w:sz w:val="22"/>
          <w:szCs w:val="22"/>
        </w:rPr>
        <w:t xml:space="preserve">Rediseñar el dataset de entrenamiento e implementar técnicas de depuración (debiasing) en los prompts y el fine-tuning del módulo de selección antes de devolverlo a producción (Anexo A.8).</w:t>
      </w:r>
    </w:p>
    <w:p>
      <w:pPr>
        <w:pStyle w:val="ListParagraph"/>
        <w:numPr>
          <w:ilvl w:val="0"/>
          <w:numId w:val="2"/>
        </w:numPr>
        <w:spacing w:after="120" w:before="0"/>
        <w:jc w:val="both"/>
      </w:pPr>
      <w:r>
        <w:rPr>
          <w:rFonts w:ascii="Calibri" w:cs="Calibri" w:eastAsia="Calibri" w:hAnsi="Calibri"/>
          <w:sz w:val="22"/>
          <w:szCs w:val="22"/>
        </w:rPr>
        <w:t xml:space="preserve">Publicar y difundir la Política Interna de Uso Responsable de IA, prohibiendo el envío de código fuente propietario a modelos de libre acceso sin contrato de confidencialidad enterprise (Cláusula 5.2).</w:t>
      </w:r>
    </w:p>
    <w:p>
      <w:pPr>
        <w:pStyle w:val="ListParagraph"/>
        <w:numPr>
          <w:ilvl w:val="0"/>
          <w:numId w:val="2"/>
        </w:numPr>
        <w:spacing w:after="120" w:before="0"/>
        <w:jc w:val="both"/>
      </w:pPr>
      <w:r>
        <w:rPr>
          <w:rFonts w:ascii="Calibri" w:cs="Calibri" w:eastAsia="Calibri" w:hAnsi="Calibri"/>
          <w:sz w:val="22"/>
          <w:szCs w:val="22"/>
        </w:rPr>
        <w:t xml:space="preserve">Capacitar al equipo de desarrollo en ética de IA, sesgo algorítmico y seguridad en el consumo de APIs de terceros (Cláusula 7.2).</w:t>
      </w:r>
    </w:p>
    <w:p>
      <w:pPr>
        <w:pStyle w:val="Heading1"/>
        <w:spacing w:after="160" w:before="280"/>
      </w:pPr>
      <w:r>
        <w:rPr>
          <w:rFonts w:ascii="Calibri" w:cs="Calibri" w:eastAsia="Calibri" w:hAnsi="Calibri"/>
          <w:b/>
          <w:bCs/>
          <w:color w:val="1F4E79"/>
          <w:sz w:val="26"/>
          <w:szCs w:val="26"/>
        </w:rPr>
        <w:t xml:space="preserve">8. PLAN DE ACCIÓN Y MATRIZ ANEXA</w:t>
      </w:r>
    </w:p>
    <w:p>
      <w:pPr>
        <w:spacing w:after="120" w:before="0"/>
        <w:jc w:val="both"/>
      </w:pPr>
      <w:r>
        <w:rPr>
          <w:rFonts w:ascii="Calibri" w:cs="Calibri" w:eastAsia="Calibri" w:hAnsi="Calibri"/>
          <w:sz w:val="22"/>
          <w:szCs w:val="22"/>
        </w:rPr>
        <w:t xml:space="preserve">El detalle minucioso de actividades, asignación de responsables, recursos y cronograma de implementación se encuentra estructurado en la matriz Excel complementaria: Matriz_ISO_42001_Plan_de_Accion_CodeForge.xlsx. Dicha matriz contiene 12 acciones (ACC-01 a ACC-12) distribuidas en cuatro fases: Fase 1 – Formalización e Inventario; Fase 2 – Evaluación de Impacto (AIIA); Fase 3 – Mitigación de Sesgos; y Fase 4 – Políticas de Uso Aceptable; cada una alineada a la cláusula o control específico de la norma ISO/IEC 42001:2023, con prioridad, responsable, estado de implementación, porcentaje de avance y evidencia o entregable requerido.</w:t>
      </w:r>
    </w:p>
    <w:p>
      <w:pPr>
        <w:pStyle w:val="Heading1"/>
        <w:spacing w:after="160" w:before="280"/>
      </w:pPr>
      <w:r>
        <w:rPr>
          <w:rFonts w:ascii="Calibri" w:cs="Calibri" w:eastAsia="Calibri" w:hAnsi="Calibri"/>
          <w:b/>
          <w:bCs/>
          <w:color w:val="1F4E79"/>
          <w:sz w:val="26"/>
          <w:szCs w:val="26"/>
        </w:rPr>
        <w:t xml:space="preserve">9. FIRMAS Y CONFORMIDAD</w:t>
      </w:r>
    </w:p>
    <w:tbl>
      <w:tblPr>
        <w:tblW w:type="dxa" w:w="9360"/>
        <w:tblBorders>
          <w:top w:val="none"/>
          <w:left w:val="none"/>
          <w:bottom w:val="none"/>
          <w:right w:val="none"/>
          <w:insideH w:val="none"/>
          <w:insideV w:val="none"/>
        </w:tblBorders>
      </w:tblPr>
      <w:tblGrid>
        <w:gridCol w:w="4680"/>
        <w:gridCol w:w="4680"/>
      </w:tblGrid>
      <w:tr>
        <w:tc>
          <w:tcPr>
            <w:tcW w:type="dxa" w:w="4680"/>
            <w:tcBorders>
              <w:top w:val="none"/>
              <w:left w:val="none"/>
              <w:bottom w:val="none"/>
              <w:right w:val="none"/>
            </w:tcBorders>
            <w:tcMar>
              <w:top w:type="dxa" w:w="100"/>
              <w:left w:type="dxa" w:w="100"/>
              <w:bottom w:type="dxa" w:w="100"/>
              <w:right w:type="dxa" w:w="100"/>
            </w:tcMar>
          </w:tcPr>
          <w:p>
            <w:pPr>
              <w:spacing w:after="60" w:before="600"/>
              <w:jc w:val="center"/>
            </w:pPr>
            <w:r>
              <w:rPr>
                <w:rFonts w:ascii="Calibri" w:cs="Calibri" w:eastAsia="Calibri" w:hAnsi="Calibri"/>
                <w:sz w:val="22"/>
                <w:szCs w:val="22"/>
              </w:rPr>
              <w:t xml:space="preserve">_____________________________________</w:t>
            </w:r>
          </w:p>
          <w:p>
            <w:pPr>
              <w:spacing w:after="40"/>
              <w:jc w:val="center"/>
            </w:pPr>
            <w:r>
              <w:rPr>
                <w:rFonts w:ascii="Calibri" w:cs="Calibri" w:eastAsia="Calibri" w:hAnsi="Calibri"/>
                <w:b/>
                <w:bCs/>
                <w:sz w:val="22"/>
                <w:szCs w:val="22"/>
              </w:rPr>
              <w:t xml:space="preserve">[Nombre del Estudiante / Líder Auditor]</w:t>
            </w:r>
          </w:p>
          <w:p>
            <w:pPr>
              <w:spacing w:after="0"/>
              <w:jc w:val="center"/>
            </w:pPr>
            <w:r>
              <w:rPr>
                <w:rFonts w:ascii="Calibri" w:cs="Calibri" w:eastAsia="Calibri" w:hAnsi="Calibri"/>
                <w:sz w:val="20"/>
                <w:szCs w:val="20"/>
              </w:rPr>
              <w:t xml:space="preserve">Auditor Principal de Sistemas</w:t>
            </w:r>
          </w:p>
        </w:tc>
        <w:tc>
          <w:tcPr>
            <w:tcW w:type="dxa" w:w="4680"/>
            <w:tcBorders>
              <w:top w:val="none"/>
              <w:left w:val="none"/>
              <w:bottom w:val="none"/>
              <w:right w:val="none"/>
            </w:tcBorders>
            <w:tcMar>
              <w:top w:type="dxa" w:w="100"/>
              <w:left w:type="dxa" w:w="100"/>
              <w:bottom w:type="dxa" w:w="100"/>
              <w:right w:type="dxa" w:w="100"/>
            </w:tcMar>
          </w:tcPr>
          <w:p>
            <w:pPr>
              <w:spacing w:after="60" w:before="600"/>
              <w:jc w:val="center"/>
            </w:pPr>
            <w:r>
              <w:rPr>
                <w:rFonts w:ascii="Calibri" w:cs="Calibri" w:eastAsia="Calibri" w:hAnsi="Calibri"/>
                <w:sz w:val="22"/>
                <w:szCs w:val="22"/>
              </w:rPr>
              <w:t xml:space="preserve">_____________________________________</w:t>
            </w:r>
          </w:p>
          <w:p>
            <w:pPr>
              <w:spacing w:after="40"/>
              <w:jc w:val="center"/>
            </w:pPr>
            <w:r>
              <w:rPr>
                <w:rFonts w:ascii="Calibri" w:cs="Calibri" w:eastAsia="Calibri" w:hAnsi="Calibri"/>
                <w:b/>
                <w:bCs/>
                <w:sz w:val="22"/>
                <w:szCs w:val="22"/>
              </w:rPr>
              <w:t xml:space="preserve">[Nombre del Estudiante / Auditor 1]</w:t>
            </w:r>
          </w:p>
          <w:p>
            <w:pPr>
              <w:spacing w:after="0"/>
              <w:jc w:val="center"/>
            </w:pPr>
            <w:r>
              <w:rPr>
                <w:rFonts w:ascii="Calibri" w:cs="Calibri" w:eastAsia="Calibri" w:hAnsi="Calibri"/>
                <w:sz w:val="20"/>
                <w:szCs w:val="20"/>
              </w:rPr>
              <w:t xml:space="preserve">Auditor Junior</w:t>
            </w:r>
          </w:p>
        </w:tc>
      </w:tr>
      <w:tr>
        <w:tc>
          <w:tcPr>
            <w:tcW w:type="dxa" w:w="4680"/>
            <w:tcBorders>
              <w:top w:val="none"/>
              <w:left w:val="none"/>
              <w:bottom w:val="none"/>
              <w:right w:val="none"/>
            </w:tcBorders>
            <w:tcMar>
              <w:top w:type="dxa" w:w="100"/>
              <w:left w:type="dxa" w:w="100"/>
              <w:bottom w:type="dxa" w:w="100"/>
              <w:right w:type="dxa" w:w="100"/>
            </w:tcMar>
          </w:tcPr>
          <w:p>
            <w:pPr>
              <w:spacing w:after="60" w:before="600"/>
              <w:jc w:val="center"/>
            </w:pPr>
            <w:r>
              <w:rPr>
                <w:rFonts w:ascii="Calibri" w:cs="Calibri" w:eastAsia="Calibri" w:hAnsi="Calibri"/>
                <w:sz w:val="22"/>
                <w:szCs w:val="22"/>
              </w:rPr>
              <w:t xml:space="preserve">_____________________________________</w:t>
            </w:r>
          </w:p>
          <w:p>
            <w:pPr>
              <w:spacing w:after="40"/>
              <w:jc w:val="center"/>
            </w:pPr>
            <w:r>
              <w:rPr>
                <w:rFonts w:ascii="Calibri" w:cs="Calibri" w:eastAsia="Calibri" w:hAnsi="Calibri"/>
                <w:b/>
                <w:bCs/>
                <w:sz w:val="22"/>
                <w:szCs w:val="22"/>
              </w:rPr>
              <w:t xml:space="preserve">[Nombre del Estudiante / Auditor 2]</w:t>
            </w:r>
          </w:p>
          <w:p>
            <w:pPr>
              <w:spacing w:after="0"/>
              <w:jc w:val="center"/>
            </w:pPr>
            <w:r>
              <w:rPr>
                <w:rFonts w:ascii="Calibri" w:cs="Calibri" w:eastAsia="Calibri" w:hAnsi="Calibri"/>
                <w:sz w:val="20"/>
                <w:szCs w:val="20"/>
              </w:rPr>
              <w:t xml:space="preserve">Auditor Junior</w:t>
            </w:r>
          </w:p>
        </w:tc>
        <w:tc>
          <w:tcPr>
            <w:tcW w:type="dxa" w:w="4680"/>
            <w:tcBorders>
              <w:top w:val="none"/>
              <w:left w:val="none"/>
              <w:bottom w:val="none"/>
              <w:right w:val="none"/>
            </w:tcBorders>
            <w:tcMar>
              <w:top w:type="dxa" w:w="100"/>
              <w:left w:type="dxa" w:w="100"/>
              <w:bottom w:type="dxa" w:w="100"/>
              <w:right w:type="dxa" w:w="100"/>
            </w:tcMar>
          </w:tcPr>
          <w:p>
            <w:pPr>
              <w:spacing w:after="60" w:before="600"/>
              <w:jc w:val="center"/>
            </w:pPr>
            <w:r>
              <w:rPr>
                <w:rFonts w:ascii="Calibri" w:cs="Calibri" w:eastAsia="Calibri" w:hAnsi="Calibri"/>
                <w:sz w:val="22"/>
                <w:szCs w:val="22"/>
              </w:rPr>
              <w:t xml:space="preserve">_____________________________________</w:t>
            </w:r>
          </w:p>
          <w:p>
            <w:pPr>
              <w:spacing w:after="40"/>
              <w:jc w:val="center"/>
            </w:pPr>
            <w:r>
              <w:rPr>
                <w:rFonts w:ascii="Calibri" w:cs="Calibri" w:eastAsia="Calibri" w:hAnsi="Calibri"/>
                <w:b/>
                <w:bCs/>
                <w:sz w:val="22"/>
                <w:szCs w:val="22"/>
              </w:rPr>
              <w:t xml:space="preserve">[Nombre del Estudiante / Auditor 3]</w:t>
            </w:r>
          </w:p>
          <w:p>
            <w:pPr>
              <w:spacing w:after="0"/>
              <w:jc w:val="center"/>
            </w:pPr>
            <w:r>
              <w:rPr>
                <w:rFonts w:ascii="Calibri" w:cs="Calibri" w:eastAsia="Calibri" w:hAnsi="Calibri"/>
                <w:sz w:val="20"/>
                <w:szCs w:val="20"/>
              </w:rPr>
              <w:t xml:space="preserve">Auditor Junior</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2026-07-23T00:44:13.472Z</dcterms:created>
  <dcterms:modified xsi:type="dcterms:W3CDTF">2026-07-23T00:44:13.472Z</dcterms:modified>
</cp:coreProperties>
</file>

<file path=docProps/custom.xml><?xml version="1.0" encoding="utf-8"?>
<Properties xmlns="http://schemas.openxmlformats.org/officeDocument/2006/custom-properties" xmlns:vt="http://schemas.openxmlformats.org/officeDocument/2006/docPropsVTypes"/>
</file>