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proofErr w:type="gramStart"/>
      <w:r w:rsidRPr="002A2BBB">
        <w:t>e-mail</w:t>
      </w:r>
      <w:proofErr w:type="gramEnd"/>
      <w:r w:rsidRPr="002A2BBB">
        <w:t>: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4650C8E1" wp14:editId="24372978">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Pr="00F20387">
        <w:rPr>
          <w:color w:val="auto"/>
        </w:rPr>
        <w:fldChar w:fldCharType="begin"/>
      </w:r>
      <w:r w:rsidRPr="00F20387">
        <w:rPr>
          <w:color w:val="auto"/>
        </w:rPr>
        <w:instrText xml:space="preserve"> SEQ Table \* ARABIC </w:instrText>
      </w:r>
      <w:r w:rsidRPr="00F20387">
        <w:rPr>
          <w:color w:val="auto"/>
        </w:rPr>
        <w:fldChar w:fldCharType="separate"/>
      </w:r>
      <w:r w:rsidR="00A95021">
        <w:rPr>
          <w:noProof/>
          <w:color w:val="auto"/>
        </w:rPr>
        <w:t>1</w:t>
      </w:r>
      <w:r w:rsidRPr="00F20387">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E477A8" w:rsidRDefault="00E477A8" w:rsidP="00E25C7B">
      <w:pPr>
        <w:pStyle w:val="ListParagraph"/>
        <w:spacing w:line="240" w:lineRule="auto"/>
        <w:ind w:left="426"/>
        <w:rPr>
          <w:rFonts w:ascii="Tahoma" w:hAnsi="Tahoma" w:cs="Tahoma"/>
          <w:b/>
          <w:sz w:val="20"/>
          <w:szCs w:val="20"/>
          <w:lang w:val="en-ID"/>
        </w:rPr>
      </w:pPr>
      <w:r w:rsidRPr="00E477A8">
        <w:rPr>
          <w:rFonts w:ascii="Tahoma" w:hAnsi="Tahoma" w:cs="Tahoma"/>
          <w:b/>
          <w:sz w:val="20"/>
          <w:szCs w:val="20"/>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1B3C60" w:rsidRDefault="0044278C" w:rsidP="006338AB">
      <w:pPr>
        <w:spacing w:line="240" w:lineRule="auto"/>
        <w:ind w:firstLine="426"/>
        <w:rPr>
          <w:rFonts w:ascii="Tahoma" w:hAnsi="Tahoma" w:cs="Tahoma"/>
          <w:b/>
          <w:sz w:val="20"/>
          <w:szCs w:val="20"/>
          <w:lang w:val="en-ID"/>
        </w:rPr>
      </w:pPr>
      <w:r w:rsidRPr="001B3C60">
        <w:rPr>
          <w:rFonts w:ascii="Tahoma" w:hAnsi="Tahoma" w:cs="Tahoma"/>
          <w:b/>
          <w:sz w:val="20"/>
          <w:szCs w:val="20"/>
          <w:lang w:val="en-ID"/>
        </w:rPr>
        <w:t>Proses Sistem</w:t>
      </w:r>
      <w:r w:rsidR="006338AB" w:rsidRPr="001B3C60">
        <w:rPr>
          <w:rFonts w:ascii="Tahoma" w:hAnsi="Tahoma" w:cs="Tahoma"/>
          <w:b/>
          <w:sz w:val="20"/>
          <w:szCs w:val="20"/>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324B5C">
      <w:pPr>
        <w:keepNext/>
        <w:spacing w:line="240" w:lineRule="auto"/>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41D9C" w:rsidRDefault="001B3C60" w:rsidP="00D1533D">
      <w:pPr>
        <w:spacing w:line="240" w:lineRule="auto"/>
        <w:rPr>
          <w:rFonts w:ascii="Tahoma" w:hAnsi="Tahoma" w:cs="Tahoma"/>
          <w:b/>
          <w:sz w:val="20"/>
          <w:szCs w:val="20"/>
          <w:lang w:val="en-ID"/>
        </w:rPr>
      </w:pPr>
      <w:r>
        <w:rPr>
          <w:lang w:val="en-ID"/>
        </w:rPr>
        <w:t xml:space="preserve"> </w:t>
      </w:r>
      <w:r w:rsidR="00441D9C" w:rsidRPr="00441D9C">
        <w:rPr>
          <w:rFonts w:ascii="Tahoma" w:hAnsi="Tahoma" w:cs="Tahoma"/>
          <w:b/>
          <w:sz w:val="20"/>
          <w:szCs w:val="20"/>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drawing>
          <wp:inline distT="0" distB="0" distL="0" distR="0">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EC26C6" w:rsidRDefault="00614386" w:rsidP="00D1533D">
      <w:pPr>
        <w:spacing w:line="240" w:lineRule="auto"/>
        <w:rPr>
          <w:rFonts w:ascii="Tahoma" w:hAnsi="Tahoma" w:cs="Tahoma"/>
          <w:b/>
          <w:sz w:val="20"/>
          <w:szCs w:val="20"/>
          <w:lang w:val="en-ID"/>
        </w:rPr>
      </w:pPr>
      <w:r w:rsidRPr="00EC26C6">
        <w:rPr>
          <w:rFonts w:ascii="Tahoma" w:hAnsi="Tahoma" w:cs="Tahoma"/>
          <w:b/>
          <w:sz w:val="20"/>
          <w:szCs w:val="20"/>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lastRenderedPageBreak/>
        <w:t xml:space="preserve">Table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proofErr w:type="gramStart"/>
      <w:r w:rsidRPr="00424EE4">
        <w:rPr>
          <w:b/>
        </w:rPr>
        <w:t>Table</w:t>
      </w:r>
      <w:r>
        <w:t xml:space="preserve">  </w:t>
      </w:r>
      <w:r w:rsidRPr="00424EE4">
        <w:rPr>
          <w:rFonts w:ascii="Tahoma" w:hAnsi="Tahoma" w:cs="Tahoma"/>
          <w:sz w:val="20"/>
          <w:szCs w:val="20"/>
          <w:lang w:val="en-ID"/>
        </w:rPr>
        <w:t>tmp</w:t>
      </w:r>
      <w:proofErr w:type="gramEnd"/>
      <w:r w:rsidRPr="00424EE4">
        <w:rPr>
          <w:rFonts w:ascii="Tahoma" w:hAnsi="Tahoma" w:cs="Tahoma"/>
          <w:sz w:val="20"/>
          <w:szCs w:val="20"/>
          <w:lang w:val="en-ID"/>
        </w:rPr>
        <w:t>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Pr="00157FDD" w:rsidRDefault="00323D00" w:rsidP="00D1533D">
      <w:pPr>
        <w:spacing w:line="240" w:lineRule="auto"/>
        <w:rPr>
          <w:rFonts w:ascii="Tahoma" w:hAnsi="Tahoma" w:cs="Tahoma"/>
          <w:b/>
          <w:sz w:val="20"/>
          <w:szCs w:val="20"/>
          <w:lang w:val="en-ID"/>
        </w:rPr>
      </w:pPr>
      <w:r w:rsidRPr="00157FDD">
        <w:rPr>
          <w:rFonts w:ascii="Tahoma" w:hAnsi="Tahoma" w:cs="Tahoma"/>
          <w:b/>
          <w:sz w:val="20"/>
          <w:szCs w:val="20"/>
          <w:lang w:val="en-ID"/>
        </w:rPr>
        <w:t>Basis Pengetahuan</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A95021"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A95021"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A95021"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lastRenderedPageBreak/>
        <w:t xml:space="preserve"> </w:t>
      </w:r>
      <w:bookmarkStart w:id="2" w:name="_GoBack"/>
      <w:r w:rsidRPr="00A95021">
        <w:rPr>
          <w:rFonts w:ascii="Tahoma" w:hAnsi="Tahoma" w:cs="Tahoma"/>
          <w:color w:val="auto"/>
          <w:sz w:val="20"/>
          <w:szCs w:val="20"/>
        </w:rPr>
        <w:t xml:space="preserve">Table </w:t>
      </w:r>
      <w:bookmarkEnd w:id="2"/>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[KP03] </w:t>
            </w:r>
            <w:r w:rsidRPr="00323D00">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323D00" w:rsidRPr="00323D00" w:rsidRDefault="00323D00" w:rsidP="00D1533D">
      <w:pPr>
        <w:spacing w:line="240" w:lineRule="auto"/>
        <w:rPr>
          <w:b/>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E5E" w:rsidRDefault="00862E5E" w:rsidP="008F1524">
      <w:pPr>
        <w:spacing w:after="0" w:line="240" w:lineRule="auto"/>
      </w:pPr>
      <w:r>
        <w:separator/>
      </w:r>
    </w:p>
  </w:endnote>
  <w:endnote w:type="continuationSeparator" w:id="0">
    <w:p w:rsidR="00862E5E" w:rsidRDefault="00862E5E"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E5E" w:rsidRDefault="00862E5E" w:rsidP="008F1524">
      <w:pPr>
        <w:spacing w:after="0" w:line="240" w:lineRule="auto"/>
      </w:pPr>
      <w:r>
        <w:separator/>
      </w:r>
    </w:p>
  </w:footnote>
  <w:footnote w:type="continuationSeparator" w:id="0">
    <w:p w:rsidR="00862E5E" w:rsidRDefault="00862E5E"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
  </w:num>
  <w:num w:numId="5">
    <w:abstractNumId w:val="5"/>
  </w:num>
  <w:num w:numId="6">
    <w:abstractNumId w:val="3"/>
  </w:num>
  <w:num w:numId="7">
    <w:abstractNumId w:val="10"/>
  </w:num>
  <w:num w:numId="8">
    <w:abstractNumId w:val="6"/>
  </w:num>
  <w:num w:numId="9">
    <w:abstractNumId w:val="2"/>
  </w:num>
  <w:num w:numId="10">
    <w:abstractNumId w:val="12"/>
  </w:num>
  <w:num w:numId="11">
    <w:abstractNumId w:val="8"/>
  </w:num>
  <w:num w:numId="12">
    <w:abstractNumId w:val="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B3599"/>
    <w:rsid w:val="000C6CBE"/>
    <w:rsid w:val="000E1FA7"/>
    <w:rsid w:val="000E4D5E"/>
    <w:rsid w:val="000E79FC"/>
    <w:rsid w:val="0013253A"/>
    <w:rsid w:val="0015250F"/>
    <w:rsid w:val="00157FDD"/>
    <w:rsid w:val="00173BAC"/>
    <w:rsid w:val="00177C4A"/>
    <w:rsid w:val="001B3C60"/>
    <w:rsid w:val="001F3EFF"/>
    <w:rsid w:val="00222490"/>
    <w:rsid w:val="002304F2"/>
    <w:rsid w:val="00253B72"/>
    <w:rsid w:val="0026405B"/>
    <w:rsid w:val="002663DD"/>
    <w:rsid w:val="002676DA"/>
    <w:rsid w:val="00286B91"/>
    <w:rsid w:val="002C395B"/>
    <w:rsid w:val="002C7F01"/>
    <w:rsid w:val="00323D00"/>
    <w:rsid w:val="00324B5C"/>
    <w:rsid w:val="003358C7"/>
    <w:rsid w:val="00336A67"/>
    <w:rsid w:val="00387980"/>
    <w:rsid w:val="003943E6"/>
    <w:rsid w:val="003C7B9F"/>
    <w:rsid w:val="003F6854"/>
    <w:rsid w:val="0041153E"/>
    <w:rsid w:val="00414232"/>
    <w:rsid w:val="00424EE4"/>
    <w:rsid w:val="00431907"/>
    <w:rsid w:val="00434F99"/>
    <w:rsid w:val="00441D9C"/>
    <w:rsid w:val="0044278C"/>
    <w:rsid w:val="00473692"/>
    <w:rsid w:val="0048237D"/>
    <w:rsid w:val="004C1EC5"/>
    <w:rsid w:val="004E068A"/>
    <w:rsid w:val="004E3AA1"/>
    <w:rsid w:val="004E4EFB"/>
    <w:rsid w:val="00500382"/>
    <w:rsid w:val="005252EA"/>
    <w:rsid w:val="0054152E"/>
    <w:rsid w:val="005561DF"/>
    <w:rsid w:val="005667B1"/>
    <w:rsid w:val="00581620"/>
    <w:rsid w:val="00581768"/>
    <w:rsid w:val="00583B9E"/>
    <w:rsid w:val="0058400E"/>
    <w:rsid w:val="005F0B3A"/>
    <w:rsid w:val="00614386"/>
    <w:rsid w:val="00614EDE"/>
    <w:rsid w:val="00630686"/>
    <w:rsid w:val="006338AB"/>
    <w:rsid w:val="006517EC"/>
    <w:rsid w:val="0065542C"/>
    <w:rsid w:val="00664162"/>
    <w:rsid w:val="00672544"/>
    <w:rsid w:val="00684374"/>
    <w:rsid w:val="006F1646"/>
    <w:rsid w:val="006F2FB2"/>
    <w:rsid w:val="00716333"/>
    <w:rsid w:val="007241B4"/>
    <w:rsid w:val="00727344"/>
    <w:rsid w:val="00746EF5"/>
    <w:rsid w:val="00783DFD"/>
    <w:rsid w:val="00795982"/>
    <w:rsid w:val="007A5CD2"/>
    <w:rsid w:val="007D1E61"/>
    <w:rsid w:val="007E7EAC"/>
    <w:rsid w:val="00812A57"/>
    <w:rsid w:val="00825ADF"/>
    <w:rsid w:val="00846AE2"/>
    <w:rsid w:val="00847FE8"/>
    <w:rsid w:val="00856C1A"/>
    <w:rsid w:val="00862E5E"/>
    <w:rsid w:val="00876F87"/>
    <w:rsid w:val="008835C2"/>
    <w:rsid w:val="00884416"/>
    <w:rsid w:val="00897EB1"/>
    <w:rsid w:val="008B7931"/>
    <w:rsid w:val="008E4B99"/>
    <w:rsid w:val="008F1524"/>
    <w:rsid w:val="009177E8"/>
    <w:rsid w:val="00927B0B"/>
    <w:rsid w:val="00985372"/>
    <w:rsid w:val="009A1A4B"/>
    <w:rsid w:val="009B0134"/>
    <w:rsid w:val="009E34F5"/>
    <w:rsid w:val="009F4930"/>
    <w:rsid w:val="00A274A2"/>
    <w:rsid w:val="00A400EF"/>
    <w:rsid w:val="00A47FBB"/>
    <w:rsid w:val="00A6173C"/>
    <w:rsid w:val="00A95021"/>
    <w:rsid w:val="00A97D55"/>
    <w:rsid w:val="00AA3CEF"/>
    <w:rsid w:val="00AC5AFD"/>
    <w:rsid w:val="00AE5C88"/>
    <w:rsid w:val="00AF09D9"/>
    <w:rsid w:val="00B050A4"/>
    <w:rsid w:val="00B50A57"/>
    <w:rsid w:val="00B71933"/>
    <w:rsid w:val="00BC4AFE"/>
    <w:rsid w:val="00BD0CE1"/>
    <w:rsid w:val="00C035CB"/>
    <w:rsid w:val="00C12273"/>
    <w:rsid w:val="00C33F59"/>
    <w:rsid w:val="00C3575C"/>
    <w:rsid w:val="00C36A5A"/>
    <w:rsid w:val="00C44DA7"/>
    <w:rsid w:val="00C72DB0"/>
    <w:rsid w:val="00C7556E"/>
    <w:rsid w:val="00CE04B5"/>
    <w:rsid w:val="00CE1D72"/>
    <w:rsid w:val="00D1533D"/>
    <w:rsid w:val="00D3481E"/>
    <w:rsid w:val="00D3642E"/>
    <w:rsid w:val="00D44B04"/>
    <w:rsid w:val="00D46DD7"/>
    <w:rsid w:val="00D7073D"/>
    <w:rsid w:val="00D74F5A"/>
    <w:rsid w:val="00D766FD"/>
    <w:rsid w:val="00DD4D2E"/>
    <w:rsid w:val="00DD5C6B"/>
    <w:rsid w:val="00DE6557"/>
    <w:rsid w:val="00E15881"/>
    <w:rsid w:val="00E166DD"/>
    <w:rsid w:val="00E25C7B"/>
    <w:rsid w:val="00E3484E"/>
    <w:rsid w:val="00E477A8"/>
    <w:rsid w:val="00E5046B"/>
    <w:rsid w:val="00E51874"/>
    <w:rsid w:val="00E65D79"/>
    <w:rsid w:val="00EA2B37"/>
    <w:rsid w:val="00EB0A3A"/>
    <w:rsid w:val="00EB13FD"/>
    <w:rsid w:val="00EC1DB1"/>
    <w:rsid w:val="00EC26C6"/>
    <w:rsid w:val="00EC291A"/>
    <w:rsid w:val="00ED4A4D"/>
    <w:rsid w:val="00ED6798"/>
    <w:rsid w:val="00EE2F05"/>
    <w:rsid w:val="00EE7F1F"/>
    <w:rsid w:val="00F04D5F"/>
    <w:rsid w:val="00F20387"/>
    <w:rsid w:val="00F40AEB"/>
    <w:rsid w:val="00F4134D"/>
    <w:rsid w:val="00F57711"/>
    <w:rsid w:val="00F677A4"/>
    <w:rsid w:val="00F74736"/>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EA8F-41F0-4826-B1EB-4E86D6D7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8</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111</cp:revision>
  <dcterms:created xsi:type="dcterms:W3CDTF">2020-06-02T12:41:00Z</dcterms:created>
  <dcterms:modified xsi:type="dcterms:W3CDTF">2020-06-11T15:15:00Z</dcterms:modified>
</cp:coreProperties>
</file>