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2A623" w14:textId="77777777" w:rsidR="00FE5BA1" w:rsidRDefault="00000000">
      <w:pPr>
        <w:pStyle w:val="aa"/>
        <w:rPr>
          <w:lang w:eastAsia="zh-CN"/>
        </w:rPr>
      </w:pPr>
      <w:r>
        <w:rPr>
          <w:rFonts w:ascii="微软雅黑" w:eastAsia="微软雅黑" w:hAnsi="微软雅黑"/>
          <w:lang w:eastAsia="zh-CN"/>
        </w:rPr>
        <w:t>章文教授近十年生物医学人工智能研究综述</w:t>
      </w:r>
    </w:p>
    <w:p w14:paraId="20AC4CA2" w14:textId="77777777" w:rsidR="00FE5BA1" w:rsidRDefault="00000000">
      <w:pPr>
        <w:spacing w:after="280"/>
        <w:ind w:firstLine="0"/>
        <w:jc w:val="center"/>
        <w:rPr>
          <w:lang w:eastAsia="zh-CN"/>
        </w:rPr>
      </w:pPr>
      <w:r>
        <w:rPr>
          <w:color w:val="5A5A5A"/>
          <w:sz w:val="22"/>
          <w:lang w:eastAsia="zh-CN"/>
        </w:rPr>
        <w:t>基于</w:t>
      </w:r>
      <w:r>
        <w:rPr>
          <w:color w:val="5A5A5A"/>
          <w:sz w:val="22"/>
          <w:lang w:eastAsia="zh-CN"/>
        </w:rPr>
        <w:t xml:space="preserve"> 2016 </w:t>
      </w:r>
      <w:r>
        <w:rPr>
          <w:color w:val="5A5A5A"/>
          <w:sz w:val="22"/>
          <w:lang w:eastAsia="zh-CN"/>
        </w:rPr>
        <w:t>至</w:t>
      </w:r>
      <w:r>
        <w:rPr>
          <w:color w:val="5A5A5A"/>
          <w:sz w:val="22"/>
          <w:lang w:eastAsia="zh-CN"/>
        </w:rPr>
        <w:t xml:space="preserve"> 2026 </w:t>
      </w:r>
      <w:r>
        <w:rPr>
          <w:color w:val="5A5A5A"/>
          <w:sz w:val="22"/>
          <w:lang w:eastAsia="zh-CN"/>
        </w:rPr>
        <w:t>年英文成果的主题综合与批判性分析</w:t>
      </w:r>
    </w:p>
    <w:p w14:paraId="0D049402" w14:textId="77777777" w:rsidR="00FE5BA1" w:rsidRDefault="00000000">
      <w:pPr>
        <w:spacing w:after="140"/>
        <w:ind w:firstLine="0"/>
        <w:rPr>
          <w:lang w:eastAsia="zh-CN"/>
        </w:rPr>
      </w:pPr>
      <w:r>
        <w:rPr>
          <w:rFonts w:eastAsia="黑体"/>
          <w:b/>
          <w:lang w:eastAsia="zh-CN"/>
        </w:rPr>
        <w:t>摘要</w:t>
      </w:r>
      <w:r>
        <w:rPr>
          <w:rFonts w:eastAsia="黑体"/>
          <w:b/>
          <w:lang w:eastAsia="zh-CN"/>
        </w:rPr>
        <w:t xml:space="preserve">  </w:t>
      </w:r>
      <w:r>
        <w:rPr>
          <w:lang w:eastAsia="zh-CN"/>
        </w:rPr>
        <w:t>本文对章文教授</w:t>
      </w:r>
      <w:r>
        <w:rPr>
          <w:lang w:eastAsia="zh-CN"/>
        </w:rPr>
        <w:t xml:space="preserve"> 2016 </w:t>
      </w:r>
      <w:r>
        <w:rPr>
          <w:lang w:eastAsia="zh-CN"/>
        </w:rPr>
        <w:t>至</w:t>
      </w:r>
      <w:r>
        <w:rPr>
          <w:lang w:eastAsia="zh-CN"/>
        </w:rPr>
        <w:t xml:space="preserve"> 2026 </w:t>
      </w:r>
      <w:r>
        <w:rPr>
          <w:lang w:eastAsia="zh-CN"/>
        </w:rPr>
        <w:t>年英文研究成果进行主题式综述，重点考察其如何利用多源生物医学数据完成关系预测、药物反应建模和分子设计。在作者身份消</w:t>
      </w:r>
      <w:proofErr w:type="gramStart"/>
      <w:r>
        <w:rPr>
          <w:lang w:eastAsia="zh-CN"/>
        </w:rPr>
        <w:t>歧</w:t>
      </w:r>
      <w:proofErr w:type="gramEnd"/>
      <w:r>
        <w:rPr>
          <w:lang w:eastAsia="zh-CN"/>
        </w:rPr>
        <w:t>后的</w:t>
      </w:r>
      <w:r>
        <w:rPr>
          <w:lang w:eastAsia="zh-CN"/>
        </w:rPr>
        <w:t xml:space="preserve"> 118 </w:t>
      </w:r>
      <w:r>
        <w:rPr>
          <w:lang w:eastAsia="zh-CN"/>
        </w:rPr>
        <w:t>条候选成果基础上，本文选取具有方法代表性或较完整实验信息的论文进行深入分析，并从数据表示、模型结构、评价设计和应用对象四个维度归纳研究演进。结果表明，这一研究体系的稳定主线是将稀疏且异质的生物医学关系转化为可学习的图结构：早期工作依赖相似性矩阵、邻域传播和矩阵分解，中期转向网络嵌入与多模态深度学习，随后以图神经网络、注意力和对比学习处理异质关系与低资源问题，近期则扩展到零样本预测、生成模型和跨模态预训练。其优势在于问题形式连续、数据融合路径清晰，并在药物相互作用和药物疾病关联中形成较强的方法积累。现有证据的主要限制包括随机划分造成的潜在信息泄漏、负样本不确定、跨数据库外部验证不足，以及计算解释与生物机制之间仍存在距离。因此，后续研究的关键不只是继续增加模型复杂度，而是建立更严格的冷启动和时间外推评价，并把计算预测接入可复核的实验验证流程。</w:t>
      </w:r>
    </w:p>
    <w:p w14:paraId="03AECA33" w14:textId="77777777" w:rsidR="00FE5BA1" w:rsidRDefault="00000000">
      <w:pPr>
        <w:spacing w:after="240"/>
        <w:ind w:firstLine="0"/>
        <w:rPr>
          <w:lang w:eastAsia="zh-CN"/>
        </w:rPr>
      </w:pPr>
      <w:r>
        <w:rPr>
          <w:rFonts w:eastAsia="黑体"/>
          <w:b/>
          <w:lang w:eastAsia="zh-CN"/>
        </w:rPr>
        <w:t>关键词</w:t>
      </w:r>
      <w:r>
        <w:rPr>
          <w:rFonts w:eastAsia="黑体"/>
          <w:b/>
          <w:lang w:eastAsia="zh-CN"/>
        </w:rPr>
        <w:t xml:space="preserve">  </w:t>
      </w:r>
      <w:r>
        <w:rPr>
          <w:lang w:eastAsia="zh-CN"/>
        </w:rPr>
        <w:t>生物医学</w:t>
      </w:r>
      <w:proofErr w:type="gramStart"/>
      <w:r>
        <w:rPr>
          <w:lang w:eastAsia="zh-CN"/>
        </w:rPr>
        <w:t>图学习</w:t>
      </w:r>
      <w:proofErr w:type="gramEnd"/>
      <w:r>
        <w:rPr>
          <w:lang w:eastAsia="zh-CN"/>
        </w:rPr>
        <w:t xml:space="preserve">  </w:t>
      </w:r>
      <w:r>
        <w:rPr>
          <w:lang w:eastAsia="zh-CN"/>
        </w:rPr>
        <w:t>药物相互作用</w:t>
      </w:r>
      <w:r>
        <w:rPr>
          <w:lang w:eastAsia="zh-CN"/>
        </w:rPr>
        <w:t xml:space="preserve">  </w:t>
      </w:r>
      <w:r>
        <w:rPr>
          <w:lang w:eastAsia="zh-CN"/>
        </w:rPr>
        <w:t>多模态学习</w:t>
      </w:r>
      <w:r>
        <w:rPr>
          <w:lang w:eastAsia="zh-CN"/>
        </w:rPr>
        <w:t xml:space="preserve">  </w:t>
      </w:r>
      <w:r>
        <w:rPr>
          <w:lang w:eastAsia="zh-CN"/>
        </w:rPr>
        <w:t>图神经网络</w:t>
      </w:r>
      <w:r>
        <w:rPr>
          <w:lang w:eastAsia="zh-CN"/>
        </w:rPr>
        <w:t xml:space="preserve">  </w:t>
      </w:r>
      <w:r>
        <w:rPr>
          <w:lang w:eastAsia="zh-CN"/>
        </w:rPr>
        <w:t>分子设计</w:t>
      </w:r>
    </w:p>
    <w:p w14:paraId="638FC637" w14:textId="77777777" w:rsidR="00FE5BA1" w:rsidRDefault="00000000">
      <w:pPr>
        <w:pStyle w:val="1"/>
        <w:rPr>
          <w:lang w:eastAsia="zh-CN"/>
        </w:rPr>
      </w:pPr>
      <w:r>
        <w:rPr>
          <w:rFonts w:ascii="微软雅黑" w:eastAsia="微软雅黑" w:hAnsi="微软雅黑"/>
          <w:lang w:eastAsia="zh-CN"/>
        </w:rPr>
        <w:t>1 引言</w:t>
      </w:r>
    </w:p>
    <w:p w14:paraId="1DB414F5" w14:textId="77777777" w:rsidR="00FE5BA1" w:rsidRDefault="00000000">
      <w:pPr>
        <w:rPr>
          <w:lang w:eastAsia="zh-CN"/>
        </w:rPr>
      </w:pPr>
      <w:r>
        <w:rPr>
          <w:lang w:eastAsia="zh-CN"/>
        </w:rPr>
        <w:t>生物医学数据天然具有多实体、多关系和多尺度特征。药物、疾病、靶点、蛋白质、</w:t>
      </w:r>
      <w:r>
        <w:rPr>
          <w:lang w:eastAsia="zh-CN"/>
        </w:rPr>
        <w:t xml:space="preserve">RNA </w:t>
      </w:r>
      <w:r>
        <w:rPr>
          <w:lang w:eastAsia="zh-CN"/>
        </w:rPr>
        <w:t>和表型之间既存在已知关系，也存在大量尚未被实验确认的潜在联系。计算方法的核心任务，是在不完整</w:t>
      </w:r>
      <w:proofErr w:type="gramStart"/>
      <w:r>
        <w:rPr>
          <w:lang w:eastAsia="zh-CN"/>
        </w:rPr>
        <w:t>且带噪的</w:t>
      </w:r>
      <w:proofErr w:type="gramEnd"/>
      <w:r>
        <w:rPr>
          <w:lang w:eastAsia="zh-CN"/>
        </w:rPr>
        <w:t>观测中学习可迁移的表示，并给出可验证的候选关系。章文教授近十年的工作持续围绕这一问题展开，因而适合从统一的方法链条加以考察，而不宜仅按年份罗列成果。</w:t>
      </w:r>
    </w:p>
    <w:p w14:paraId="2094C0D7" w14:textId="77777777" w:rsidR="00FE5BA1" w:rsidRDefault="00000000">
      <w:pPr>
        <w:rPr>
          <w:lang w:eastAsia="zh-CN"/>
        </w:rPr>
      </w:pPr>
      <w:r>
        <w:rPr>
          <w:lang w:eastAsia="zh-CN"/>
        </w:rPr>
        <w:t>本文关注三个问题。第一，研究对象如何从药物关系预测扩展到癌症药物反应、基因调控和分子设计；第二，数据表示如何从相似性矩阵演进为异质图、多视图</w:t>
      </w:r>
      <w:proofErr w:type="gramStart"/>
      <w:r>
        <w:rPr>
          <w:lang w:eastAsia="zh-CN"/>
        </w:rPr>
        <w:t>图</w:t>
      </w:r>
      <w:proofErr w:type="gramEnd"/>
      <w:r>
        <w:rPr>
          <w:lang w:eastAsia="zh-CN"/>
        </w:rPr>
        <w:t>和分子几何图；第三，模型性能提升是否伴随更严格的泛化评价和生物学验证。围绕这些问题进行综合，可以区分真正持续的学术贡献与由数据划分或任务设置带来的表面提升。</w:t>
      </w:r>
    </w:p>
    <w:p w14:paraId="05B6B6AD" w14:textId="77777777" w:rsidR="00FE5BA1" w:rsidRDefault="00000000">
      <w:pPr>
        <w:pStyle w:val="1"/>
        <w:rPr>
          <w:lang w:eastAsia="zh-CN"/>
        </w:rPr>
      </w:pPr>
      <w:r>
        <w:rPr>
          <w:rFonts w:ascii="微软雅黑" w:eastAsia="微软雅黑" w:hAnsi="微软雅黑"/>
          <w:lang w:eastAsia="zh-CN"/>
        </w:rPr>
        <w:t>2 文献来源与分析框架</w:t>
      </w:r>
    </w:p>
    <w:p w14:paraId="4D8AB1A9" w14:textId="77777777" w:rsidR="00FE5BA1" w:rsidRDefault="00000000">
      <w:pPr>
        <w:rPr>
          <w:lang w:eastAsia="zh-CN"/>
        </w:rPr>
      </w:pPr>
      <w:r>
        <w:rPr>
          <w:lang w:eastAsia="zh-CN"/>
        </w:rPr>
        <w:t>检索范围限定为</w:t>
      </w:r>
      <w:r>
        <w:rPr>
          <w:lang w:eastAsia="zh-CN"/>
        </w:rPr>
        <w:t xml:space="preserve"> 2016 </w:t>
      </w:r>
      <w:r>
        <w:rPr>
          <w:lang w:eastAsia="zh-CN"/>
        </w:rPr>
        <w:t>至</w:t>
      </w:r>
      <w:r>
        <w:rPr>
          <w:lang w:eastAsia="zh-CN"/>
        </w:rPr>
        <w:t xml:space="preserve"> 2026 </w:t>
      </w:r>
      <w:r>
        <w:rPr>
          <w:lang w:eastAsia="zh-CN"/>
        </w:rPr>
        <w:t>年的英文成果。本文以作者公开主页、</w:t>
      </w:r>
      <w:r>
        <w:rPr>
          <w:lang w:eastAsia="zh-CN"/>
        </w:rPr>
        <w:t>Google Scholar</w:t>
      </w:r>
      <w:r>
        <w:rPr>
          <w:lang w:eastAsia="zh-CN"/>
        </w:rPr>
        <w:t>、</w:t>
      </w:r>
      <w:r>
        <w:rPr>
          <w:lang w:eastAsia="zh-CN"/>
        </w:rPr>
        <w:t xml:space="preserve">ORCID </w:t>
      </w:r>
      <w:r>
        <w:rPr>
          <w:lang w:eastAsia="zh-CN"/>
        </w:rPr>
        <w:t>和</w:t>
      </w:r>
      <w:r>
        <w:rPr>
          <w:lang w:eastAsia="zh-CN"/>
        </w:rPr>
        <w:t xml:space="preserve"> Scopus </w:t>
      </w:r>
      <w:r>
        <w:rPr>
          <w:lang w:eastAsia="zh-CN"/>
        </w:rPr>
        <w:t>作者标识进行交叉消</w:t>
      </w:r>
      <w:proofErr w:type="gramStart"/>
      <w:r>
        <w:rPr>
          <w:lang w:eastAsia="zh-CN"/>
        </w:rPr>
        <w:t>歧</w:t>
      </w:r>
      <w:proofErr w:type="gramEnd"/>
      <w:r>
        <w:rPr>
          <w:lang w:eastAsia="zh-CN"/>
        </w:rPr>
        <w:t>，形成</w:t>
      </w:r>
      <w:r>
        <w:rPr>
          <w:lang w:eastAsia="zh-CN"/>
        </w:rPr>
        <w:t xml:space="preserve"> 118 </w:t>
      </w:r>
      <w:r>
        <w:rPr>
          <w:lang w:eastAsia="zh-CN"/>
        </w:rPr>
        <w:t>条候选成果，其中</w:t>
      </w:r>
      <w:r>
        <w:rPr>
          <w:lang w:eastAsia="zh-CN"/>
        </w:rPr>
        <w:t xml:space="preserve"> 2026 </w:t>
      </w:r>
      <w:proofErr w:type="gramStart"/>
      <w:r>
        <w:rPr>
          <w:lang w:eastAsia="zh-CN"/>
        </w:rPr>
        <w:t>年数据</w:t>
      </w:r>
      <w:proofErr w:type="gramEnd"/>
      <w:r>
        <w:rPr>
          <w:lang w:eastAsia="zh-CN"/>
        </w:rPr>
        <w:t>为阶段性结果。该集合用于重建研究轨迹，不将其直接等同于</w:t>
      </w:r>
      <w:r>
        <w:rPr>
          <w:lang w:eastAsia="zh-CN"/>
        </w:rPr>
        <w:t xml:space="preserve"> Web of Science Core Collection </w:t>
      </w:r>
      <w:r>
        <w:rPr>
          <w:lang w:eastAsia="zh-CN"/>
        </w:rPr>
        <w:t>收录结果。正文</w:t>
      </w:r>
      <w:proofErr w:type="gramStart"/>
      <w:r>
        <w:rPr>
          <w:lang w:eastAsia="zh-CN"/>
        </w:rPr>
        <w:t>不逐</w:t>
      </w:r>
      <w:proofErr w:type="gramEnd"/>
      <w:r>
        <w:rPr>
          <w:lang w:eastAsia="zh-CN"/>
        </w:rPr>
        <w:t>篇复述全部成果，而是</w:t>
      </w:r>
      <w:r>
        <w:rPr>
          <w:lang w:eastAsia="zh-CN"/>
        </w:rPr>
        <w:lastRenderedPageBreak/>
        <w:t>选取能够代表方法转折、具有较完整实验信息或承担评述功能的论文进行重点分析。完整标题索引见附录。</w:t>
      </w:r>
    </w:p>
    <w:p w14:paraId="5CCE7DAE" w14:textId="77777777" w:rsidR="00FE5BA1" w:rsidRDefault="00000000">
      <w:pPr>
        <w:rPr>
          <w:lang w:eastAsia="zh-CN"/>
        </w:rPr>
      </w:pPr>
      <w:r>
        <w:rPr>
          <w:lang w:eastAsia="zh-CN"/>
        </w:rPr>
        <w:t>分析采用主题综合而非简单计数。每篇代表性论文按照研究问题、输入数据、表示方式、学习目标、评价设计和证据边界进行编码，再比较不同阶段之间的连续性。评价时尤其关注冷启动设置、负样本构造、外部数据集、独立测试和实验验证，因为这些因素决定模型能否从基准数据上的高分走向新的药物、靶点或关系类型。</w:t>
      </w:r>
    </w:p>
    <w:p w14:paraId="78B85B84" w14:textId="77777777" w:rsidR="00FE5BA1" w:rsidRDefault="00000000">
      <w:pPr>
        <w:pStyle w:val="1"/>
        <w:rPr>
          <w:lang w:eastAsia="zh-CN"/>
        </w:rPr>
      </w:pPr>
      <w:r>
        <w:rPr>
          <w:rFonts w:ascii="微软雅黑" w:eastAsia="微软雅黑" w:hAnsi="微软雅黑"/>
          <w:lang w:eastAsia="zh-CN"/>
        </w:rPr>
        <w:t>3 核心研究问题与方法演进</w:t>
      </w:r>
    </w:p>
    <w:p w14:paraId="539BD8F4" w14:textId="77777777" w:rsidR="00FE5BA1" w:rsidRDefault="00000000">
      <w:pPr>
        <w:rPr>
          <w:lang w:eastAsia="zh-CN"/>
        </w:rPr>
      </w:pPr>
      <w:r>
        <w:rPr>
          <w:lang w:eastAsia="zh-CN"/>
        </w:rPr>
        <w:t>贯穿全部成果的核心问题可以概括为：如何从稀疏、异质且标注有限的生物医学数据中学习实体表示，并预测未观测的关系、性质或功能。不同阶段并非彼此割裂。早期相似性学习定义了任务形式，网络嵌入和深度学习提高了表示自动化程度，图神经网络进一步利用关系结构，近期的零样本和生成模型则把预测对象扩展到未见类别和新分子。</w:t>
      </w:r>
    </w:p>
    <w:p w14:paraId="1CDEE82D" w14:textId="77777777" w:rsidR="00FE5BA1" w:rsidRDefault="00000000">
      <w:pPr>
        <w:spacing w:before="80"/>
        <w:ind w:firstLine="0"/>
        <w:jc w:val="center"/>
        <w:rPr>
          <w:lang w:eastAsia="zh-CN"/>
        </w:rPr>
      </w:pPr>
      <w:r>
        <w:rPr>
          <w:rFonts w:eastAsia="黑体"/>
          <w:b/>
          <w:sz w:val="19"/>
          <w:lang w:eastAsia="zh-CN"/>
        </w:rPr>
        <w:t>表</w:t>
      </w:r>
      <w:r>
        <w:rPr>
          <w:rFonts w:eastAsia="黑体"/>
          <w:b/>
          <w:sz w:val="19"/>
          <w:lang w:eastAsia="zh-CN"/>
        </w:rPr>
        <w:t xml:space="preserve"> 1 </w:t>
      </w:r>
      <w:r>
        <w:rPr>
          <w:rFonts w:eastAsia="黑体"/>
          <w:b/>
          <w:sz w:val="19"/>
          <w:lang w:eastAsia="zh-CN"/>
        </w:rPr>
        <w:t>章文教授近十年研究的方法演进</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80"/>
        <w:gridCol w:w="1828"/>
        <w:gridCol w:w="2232"/>
        <w:gridCol w:w="1915"/>
        <w:gridCol w:w="2188"/>
      </w:tblGrid>
      <w:tr w:rsidR="00FE5BA1" w14:paraId="4DAE01F1" w14:textId="77777777">
        <w:trPr>
          <w:tblHeader/>
          <w:jc w:val="center"/>
        </w:trPr>
        <w:tc>
          <w:tcPr>
            <w:tcW w:w="1180" w:type="dxa"/>
            <w:shd w:val="clear" w:color="auto" w:fill="1F4E79"/>
            <w:tcMar>
              <w:top w:w="80" w:type="dxa"/>
              <w:left w:w="90" w:type="dxa"/>
              <w:bottom w:w="80" w:type="dxa"/>
              <w:right w:w="90" w:type="dxa"/>
            </w:tcMar>
            <w:vAlign w:val="center"/>
          </w:tcPr>
          <w:p w14:paraId="2E7DD087" w14:textId="77777777" w:rsidR="00FE5BA1" w:rsidRDefault="00000000">
            <w:pPr>
              <w:spacing w:after="0"/>
              <w:ind w:firstLine="0"/>
              <w:jc w:val="center"/>
            </w:pPr>
            <w:r>
              <w:rPr>
                <w:rFonts w:eastAsia="微软雅黑"/>
                <w:b/>
                <w:color w:val="FFFFFF"/>
                <w:sz w:val="16"/>
              </w:rPr>
              <w:t>阶段</w:t>
            </w:r>
          </w:p>
        </w:tc>
        <w:tc>
          <w:tcPr>
            <w:tcW w:w="1828" w:type="dxa"/>
            <w:shd w:val="clear" w:color="auto" w:fill="1F4E79"/>
            <w:tcMar>
              <w:top w:w="80" w:type="dxa"/>
              <w:left w:w="90" w:type="dxa"/>
              <w:bottom w:w="80" w:type="dxa"/>
              <w:right w:w="90" w:type="dxa"/>
            </w:tcMar>
            <w:vAlign w:val="center"/>
          </w:tcPr>
          <w:p w14:paraId="2BB59E24" w14:textId="77777777" w:rsidR="00FE5BA1" w:rsidRDefault="00000000">
            <w:pPr>
              <w:spacing w:after="0"/>
              <w:ind w:firstLine="0"/>
              <w:jc w:val="center"/>
            </w:pPr>
            <w:r>
              <w:rPr>
                <w:rFonts w:eastAsia="微软雅黑"/>
                <w:b/>
                <w:color w:val="FFFFFF"/>
                <w:sz w:val="16"/>
              </w:rPr>
              <w:t>主要表示</w:t>
            </w:r>
          </w:p>
        </w:tc>
        <w:tc>
          <w:tcPr>
            <w:tcW w:w="2232" w:type="dxa"/>
            <w:shd w:val="clear" w:color="auto" w:fill="1F4E79"/>
            <w:tcMar>
              <w:top w:w="80" w:type="dxa"/>
              <w:left w:w="90" w:type="dxa"/>
              <w:bottom w:w="80" w:type="dxa"/>
              <w:right w:w="90" w:type="dxa"/>
            </w:tcMar>
            <w:vAlign w:val="center"/>
          </w:tcPr>
          <w:p w14:paraId="71808F69" w14:textId="77777777" w:rsidR="00FE5BA1" w:rsidRDefault="00000000">
            <w:pPr>
              <w:spacing w:after="0"/>
              <w:ind w:firstLine="0"/>
              <w:jc w:val="center"/>
            </w:pPr>
            <w:r>
              <w:rPr>
                <w:rFonts w:eastAsia="微软雅黑"/>
                <w:b/>
                <w:color w:val="FFFFFF"/>
                <w:sz w:val="16"/>
              </w:rPr>
              <w:t>核心方法</w:t>
            </w:r>
          </w:p>
        </w:tc>
        <w:tc>
          <w:tcPr>
            <w:tcW w:w="1915" w:type="dxa"/>
            <w:shd w:val="clear" w:color="auto" w:fill="1F4E79"/>
            <w:tcMar>
              <w:top w:w="80" w:type="dxa"/>
              <w:left w:w="90" w:type="dxa"/>
              <w:bottom w:w="80" w:type="dxa"/>
              <w:right w:w="90" w:type="dxa"/>
            </w:tcMar>
            <w:vAlign w:val="center"/>
          </w:tcPr>
          <w:p w14:paraId="6C0AA228" w14:textId="77777777" w:rsidR="00FE5BA1" w:rsidRDefault="00000000">
            <w:pPr>
              <w:spacing w:after="0"/>
              <w:ind w:firstLine="0"/>
              <w:jc w:val="center"/>
            </w:pPr>
            <w:r>
              <w:rPr>
                <w:rFonts w:eastAsia="微软雅黑"/>
                <w:b/>
                <w:color w:val="FFFFFF"/>
                <w:sz w:val="16"/>
              </w:rPr>
              <w:t>典型任务</w:t>
            </w:r>
          </w:p>
        </w:tc>
        <w:tc>
          <w:tcPr>
            <w:tcW w:w="2188" w:type="dxa"/>
            <w:shd w:val="clear" w:color="auto" w:fill="1F4E79"/>
            <w:tcMar>
              <w:top w:w="80" w:type="dxa"/>
              <w:left w:w="90" w:type="dxa"/>
              <w:bottom w:w="80" w:type="dxa"/>
              <w:right w:w="90" w:type="dxa"/>
            </w:tcMar>
            <w:vAlign w:val="center"/>
          </w:tcPr>
          <w:p w14:paraId="6EFBD1D6" w14:textId="77777777" w:rsidR="00FE5BA1" w:rsidRDefault="00000000">
            <w:pPr>
              <w:spacing w:after="0"/>
              <w:ind w:firstLine="0"/>
              <w:jc w:val="center"/>
            </w:pPr>
            <w:r>
              <w:rPr>
                <w:rFonts w:eastAsia="微软雅黑"/>
                <w:b/>
                <w:color w:val="FFFFFF"/>
                <w:sz w:val="16"/>
              </w:rPr>
              <w:t>主要局限</w:t>
            </w:r>
          </w:p>
        </w:tc>
      </w:tr>
      <w:tr w:rsidR="00FE5BA1" w14:paraId="5E9A40DA" w14:textId="77777777">
        <w:trPr>
          <w:jc w:val="center"/>
        </w:trPr>
        <w:tc>
          <w:tcPr>
            <w:tcW w:w="1180" w:type="dxa"/>
            <w:tcMar>
              <w:top w:w="80" w:type="dxa"/>
              <w:left w:w="90" w:type="dxa"/>
              <w:bottom w:w="80" w:type="dxa"/>
              <w:right w:w="90" w:type="dxa"/>
            </w:tcMar>
            <w:vAlign w:val="center"/>
          </w:tcPr>
          <w:p w14:paraId="278D567D" w14:textId="77777777" w:rsidR="00FE5BA1" w:rsidRDefault="00000000">
            <w:pPr>
              <w:spacing w:after="0" w:line="269" w:lineRule="auto"/>
              <w:ind w:firstLine="0"/>
              <w:jc w:val="center"/>
            </w:pPr>
            <w:r>
              <w:rPr>
                <w:sz w:val="16"/>
              </w:rPr>
              <w:t xml:space="preserve">2016 </w:t>
            </w:r>
            <w:r>
              <w:rPr>
                <w:sz w:val="16"/>
              </w:rPr>
              <w:t>至</w:t>
            </w:r>
            <w:r>
              <w:rPr>
                <w:sz w:val="16"/>
              </w:rPr>
              <w:t xml:space="preserve"> 2018</w:t>
            </w:r>
          </w:p>
        </w:tc>
        <w:tc>
          <w:tcPr>
            <w:tcW w:w="1828" w:type="dxa"/>
            <w:tcMar>
              <w:top w:w="80" w:type="dxa"/>
              <w:left w:w="90" w:type="dxa"/>
              <w:bottom w:w="80" w:type="dxa"/>
              <w:right w:w="90" w:type="dxa"/>
            </w:tcMar>
            <w:vAlign w:val="center"/>
          </w:tcPr>
          <w:p w14:paraId="743BCE60" w14:textId="77777777" w:rsidR="00FE5BA1" w:rsidRDefault="00000000">
            <w:pPr>
              <w:spacing w:after="0" w:line="269" w:lineRule="auto"/>
              <w:ind w:firstLine="0"/>
              <w:jc w:val="left"/>
              <w:rPr>
                <w:lang w:eastAsia="zh-CN"/>
              </w:rPr>
            </w:pPr>
            <w:r>
              <w:rPr>
                <w:sz w:val="16"/>
                <w:lang w:eastAsia="zh-CN"/>
              </w:rPr>
              <w:t>相似性矩阵和二部网络</w:t>
            </w:r>
          </w:p>
        </w:tc>
        <w:tc>
          <w:tcPr>
            <w:tcW w:w="2232" w:type="dxa"/>
            <w:tcMar>
              <w:top w:w="80" w:type="dxa"/>
              <w:left w:w="90" w:type="dxa"/>
              <w:bottom w:w="80" w:type="dxa"/>
              <w:right w:w="90" w:type="dxa"/>
            </w:tcMar>
            <w:vAlign w:val="center"/>
          </w:tcPr>
          <w:p w14:paraId="35693854" w14:textId="77777777" w:rsidR="00FE5BA1" w:rsidRDefault="00000000">
            <w:pPr>
              <w:spacing w:after="0" w:line="269" w:lineRule="auto"/>
              <w:ind w:firstLine="0"/>
              <w:jc w:val="left"/>
              <w:rPr>
                <w:lang w:eastAsia="zh-CN"/>
              </w:rPr>
            </w:pPr>
            <w:r>
              <w:rPr>
                <w:sz w:val="16"/>
                <w:lang w:eastAsia="zh-CN"/>
              </w:rPr>
              <w:t>推荐系统</w:t>
            </w:r>
            <w:r>
              <w:rPr>
                <w:sz w:val="16"/>
                <w:lang w:eastAsia="zh-CN"/>
              </w:rPr>
              <w:t xml:space="preserve"> </w:t>
            </w:r>
            <w:r>
              <w:rPr>
                <w:sz w:val="16"/>
                <w:lang w:eastAsia="zh-CN"/>
              </w:rPr>
              <w:t>随机游走</w:t>
            </w:r>
            <w:r>
              <w:rPr>
                <w:sz w:val="16"/>
                <w:lang w:eastAsia="zh-CN"/>
              </w:rPr>
              <w:t xml:space="preserve"> </w:t>
            </w:r>
            <w:r>
              <w:rPr>
                <w:sz w:val="16"/>
                <w:lang w:eastAsia="zh-CN"/>
              </w:rPr>
              <w:t>矩阵分解</w:t>
            </w:r>
            <w:r>
              <w:rPr>
                <w:sz w:val="16"/>
                <w:lang w:eastAsia="zh-CN"/>
              </w:rPr>
              <w:t xml:space="preserve"> </w:t>
            </w:r>
            <w:r>
              <w:rPr>
                <w:sz w:val="16"/>
                <w:lang w:eastAsia="zh-CN"/>
              </w:rPr>
              <w:t>标签传播</w:t>
            </w:r>
          </w:p>
        </w:tc>
        <w:tc>
          <w:tcPr>
            <w:tcW w:w="1915" w:type="dxa"/>
            <w:tcMar>
              <w:top w:w="80" w:type="dxa"/>
              <w:left w:w="90" w:type="dxa"/>
              <w:bottom w:w="80" w:type="dxa"/>
              <w:right w:w="90" w:type="dxa"/>
            </w:tcMar>
            <w:vAlign w:val="center"/>
          </w:tcPr>
          <w:p w14:paraId="20A2C74F" w14:textId="77777777" w:rsidR="00FE5BA1" w:rsidRDefault="00000000">
            <w:pPr>
              <w:spacing w:after="0" w:line="269" w:lineRule="auto"/>
              <w:ind w:firstLine="0"/>
              <w:jc w:val="left"/>
            </w:pPr>
            <w:r>
              <w:rPr>
                <w:sz w:val="16"/>
              </w:rPr>
              <w:t>药物副作用</w:t>
            </w:r>
            <w:r>
              <w:rPr>
                <w:sz w:val="16"/>
              </w:rPr>
              <w:t xml:space="preserve"> DDI DDA ncRNA </w:t>
            </w:r>
            <w:r>
              <w:rPr>
                <w:sz w:val="16"/>
              </w:rPr>
              <w:t>关系</w:t>
            </w:r>
          </w:p>
        </w:tc>
        <w:tc>
          <w:tcPr>
            <w:tcW w:w="2188" w:type="dxa"/>
            <w:tcMar>
              <w:top w:w="80" w:type="dxa"/>
              <w:left w:w="90" w:type="dxa"/>
              <w:bottom w:w="80" w:type="dxa"/>
              <w:right w:w="90" w:type="dxa"/>
            </w:tcMar>
            <w:vAlign w:val="center"/>
          </w:tcPr>
          <w:p w14:paraId="1FC4DE8B" w14:textId="77777777" w:rsidR="00FE5BA1" w:rsidRDefault="00000000">
            <w:pPr>
              <w:spacing w:after="0" w:line="269" w:lineRule="auto"/>
              <w:ind w:firstLine="0"/>
              <w:jc w:val="left"/>
              <w:rPr>
                <w:lang w:eastAsia="zh-CN"/>
              </w:rPr>
            </w:pPr>
            <w:r>
              <w:rPr>
                <w:sz w:val="16"/>
                <w:lang w:eastAsia="zh-CN"/>
              </w:rPr>
              <w:t>依赖人工相似性</w:t>
            </w:r>
            <w:r>
              <w:rPr>
                <w:sz w:val="16"/>
                <w:lang w:eastAsia="zh-CN"/>
              </w:rPr>
              <w:t xml:space="preserve"> </w:t>
            </w:r>
            <w:r>
              <w:rPr>
                <w:sz w:val="16"/>
                <w:lang w:eastAsia="zh-CN"/>
              </w:rPr>
              <w:t>多为传导</w:t>
            </w:r>
            <w:proofErr w:type="gramStart"/>
            <w:r>
              <w:rPr>
                <w:sz w:val="16"/>
                <w:lang w:eastAsia="zh-CN"/>
              </w:rPr>
              <w:t>式评价</w:t>
            </w:r>
            <w:proofErr w:type="gramEnd"/>
          </w:p>
        </w:tc>
      </w:tr>
      <w:tr w:rsidR="00FE5BA1" w14:paraId="2508DC6F" w14:textId="77777777">
        <w:trPr>
          <w:jc w:val="center"/>
        </w:trPr>
        <w:tc>
          <w:tcPr>
            <w:tcW w:w="1180" w:type="dxa"/>
            <w:shd w:val="clear" w:color="auto" w:fill="EAF2F8"/>
            <w:tcMar>
              <w:top w:w="80" w:type="dxa"/>
              <w:left w:w="90" w:type="dxa"/>
              <w:bottom w:w="80" w:type="dxa"/>
              <w:right w:w="90" w:type="dxa"/>
            </w:tcMar>
            <w:vAlign w:val="center"/>
          </w:tcPr>
          <w:p w14:paraId="5EB6DA8A" w14:textId="77777777" w:rsidR="00FE5BA1" w:rsidRDefault="00000000">
            <w:pPr>
              <w:spacing w:after="0" w:line="269" w:lineRule="auto"/>
              <w:ind w:firstLine="0"/>
              <w:jc w:val="center"/>
            </w:pPr>
            <w:r>
              <w:rPr>
                <w:sz w:val="16"/>
              </w:rPr>
              <w:t xml:space="preserve">2019 </w:t>
            </w:r>
            <w:r>
              <w:rPr>
                <w:sz w:val="16"/>
              </w:rPr>
              <w:t>至</w:t>
            </w:r>
            <w:r>
              <w:rPr>
                <w:sz w:val="16"/>
              </w:rPr>
              <w:t xml:space="preserve"> 2020</w:t>
            </w:r>
          </w:p>
        </w:tc>
        <w:tc>
          <w:tcPr>
            <w:tcW w:w="1828" w:type="dxa"/>
            <w:shd w:val="clear" w:color="auto" w:fill="EAF2F8"/>
            <w:tcMar>
              <w:top w:w="80" w:type="dxa"/>
              <w:left w:w="90" w:type="dxa"/>
              <w:bottom w:w="80" w:type="dxa"/>
              <w:right w:w="90" w:type="dxa"/>
            </w:tcMar>
            <w:vAlign w:val="center"/>
          </w:tcPr>
          <w:p w14:paraId="27EAB6D4" w14:textId="77777777" w:rsidR="00FE5BA1" w:rsidRDefault="00000000">
            <w:pPr>
              <w:spacing w:after="0" w:line="269" w:lineRule="auto"/>
              <w:ind w:firstLine="0"/>
              <w:jc w:val="left"/>
              <w:rPr>
                <w:lang w:eastAsia="zh-CN"/>
              </w:rPr>
            </w:pPr>
            <w:r>
              <w:rPr>
                <w:sz w:val="16"/>
                <w:lang w:eastAsia="zh-CN"/>
              </w:rPr>
              <w:t>网络嵌入和多模态特征</w:t>
            </w:r>
          </w:p>
        </w:tc>
        <w:tc>
          <w:tcPr>
            <w:tcW w:w="2232" w:type="dxa"/>
            <w:shd w:val="clear" w:color="auto" w:fill="EAF2F8"/>
            <w:tcMar>
              <w:top w:w="80" w:type="dxa"/>
              <w:left w:w="90" w:type="dxa"/>
              <w:bottom w:w="80" w:type="dxa"/>
              <w:right w:w="90" w:type="dxa"/>
            </w:tcMar>
            <w:vAlign w:val="center"/>
          </w:tcPr>
          <w:p w14:paraId="72749C8F" w14:textId="77777777" w:rsidR="00FE5BA1" w:rsidRDefault="00000000">
            <w:pPr>
              <w:spacing w:after="0" w:line="269" w:lineRule="auto"/>
              <w:ind w:firstLine="0"/>
              <w:jc w:val="left"/>
              <w:rPr>
                <w:lang w:eastAsia="zh-CN"/>
              </w:rPr>
            </w:pPr>
            <w:r>
              <w:rPr>
                <w:sz w:val="16"/>
                <w:lang w:eastAsia="zh-CN"/>
              </w:rPr>
              <w:t>自编码器</w:t>
            </w:r>
            <w:r>
              <w:rPr>
                <w:sz w:val="16"/>
                <w:lang w:eastAsia="zh-CN"/>
              </w:rPr>
              <w:t xml:space="preserve"> </w:t>
            </w:r>
            <w:r>
              <w:rPr>
                <w:sz w:val="16"/>
                <w:lang w:eastAsia="zh-CN"/>
              </w:rPr>
              <w:t>深度多模态学习</w:t>
            </w:r>
            <w:r>
              <w:rPr>
                <w:sz w:val="16"/>
                <w:lang w:eastAsia="zh-CN"/>
              </w:rPr>
              <w:t xml:space="preserve"> </w:t>
            </w:r>
            <w:r>
              <w:rPr>
                <w:sz w:val="16"/>
                <w:lang w:eastAsia="zh-CN"/>
              </w:rPr>
              <w:t>图嵌入</w:t>
            </w:r>
          </w:p>
        </w:tc>
        <w:tc>
          <w:tcPr>
            <w:tcW w:w="1915" w:type="dxa"/>
            <w:shd w:val="clear" w:color="auto" w:fill="EAF2F8"/>
            <w:tcMar>
              <w:top w:w="80" w:type="dxa"/>
              <w:left w:w="90" w:type="dxa"/>
              <w:bottom w:w="80" w:type="dxa"/>
              <w:right w:w="90" w:type="dxa"/>
            </w:tcMar>
            <w:vAlign w:val="center"/>
          </w:tcPr>
          <w:p w14:paraId="7EA706F7" w14:textId="77777777" w:rsidR="00FE5BA1" w:rsidRDefault="00000000">
            <w:pPr>
              <w:spacing w:after="0" w:line="269" w:lineRule="auto"/>
              <w:ind w:firstLine="0"/>
              <w:jc w:val="left"/>
              <w:rPr>
                <w:lang w:eastAsia="zh-CN"/>
              </w:rPr>
            </w:pPr>
            <w:r>
              <w:rPr>
                <w:sz w:val="16"/>
                <w:lang w:eastAsia="zh-CN"/>
              </w:rPr>
              <w:t xml:space="preserve">DDI </w:t>
            </w:r>
            <w:r>
              <w:rPr>
                <w:sz w:val="16"/>
                <w:lang w:eastAsia="zh-CN"/>
              </w:rPr>
              <w:t>事件</w:t>
            </w:r>
            <w:r>
              <w:rPr>
                <w:sz w:val="16"/>
                <w:lang w:eastAsia="zh-CN"/>
              </w:rPr>
              <w:t xml:space="preserve"> </w:t>
            </w:r>
            <w:r>
              <w:rPr>
                <w:sz w:val="16"/>
                <w:lang w:eastAsia="zh-CN"/>
              </w:rPr>
              <w:t>多类生物医学网络</w:t>
            </w:r>
          </w:p>
        </w:tc>
        <w:tc>
          <w:tcPr>
            <w:tcW w:w="2188" w:type="dxa"/>
            <w:shd w:val="clear" w:color="auto" w:fill="EAF2F8"/>
            <w:tcMar>
              <w:top w:w="80" w:type="dxa"/>
              <w:left w:w="90" w:type="dxa"/>
              <w:bottom w:w="80" w:type="dxa"/>
              <w:right w:w="90" w:type="dxa"/>
            </w:tcMar>
            <w:vAlign w:val="center"/>
          </w:tcPr>
          <w:p w14:paraId="68C33D05" w14:textId="77777777" w:rsidR="00FE5BA1" w:rsidRDefault="00000000">
            <w:pPr>
              <w:spacing w:after="0" w:line="269" w:lineRule="auto"/>
              <w:ind w:firstLine="0"/>
              <w:jc w:val="left"/>
              <w:rPr>
                <w:lang w:eastAsia="zh-CN"/>
              </w:rPr>
            </w:pPr>
            <w:r>
              <w:rPr>
                <w:sz w:val="16"/>
                <w:lang w:eastAsia="zh-CN"/>
              </w:rPr>
              <w:t>模态融合仍较浅</w:t>
            </w:r>
            <w:r>
              <w:rPr>
                <w:sz w:val="16"/>
                <w:lang w:eastAsia="zh-CN"/>
              </w:rPr>
              <w:t xml:space="preserve"> </w:t>
            </w:r>
            <w:r>
              <w:rPr>
                <w:sz w:val="16"/>
                <w:lang w:eastAsia="zh-CN"/>
              </w:rPr>
              <w:t>外部验证有限</w:t>
            </w:r>
          </w:p>
        </w:tc>
      </w:tr>
      <w:tr w:rsidR="00FE5BA1" w14:paraId="4D00BFC9" w14:textId="77777777">
        <w:trPr>
          <w:jc w:val="center"/>
        </w:trPr>
        <w:tc>
          <w:tcPr>
            <w:tcW w:w="1180" w:type="dxa"/>
            <w:tcMar>
              <w:top w:w="80" w:type="dxa"/>
              <w:left w:w="90" w:type="dxa"/>
              <w:bottom w:w="80" w:type="dxa"/>
              <w:right w:w="90" w:type="dxa"/>
            </w:tcMar>
            <w:vAlign w:val="center"/>
          </w:tcPr>
          <w:p w14:paraId="5FFD4C37" w14:textId="77777777" w:rsidR="00FE5BA1" w:rsidRDefault="00000000">
            <w:pPr>
              <w:spacing w:after="0" w:line="269" w:lineRule="auto"/>
              <w:ind w:firstLine="0"/>
              <w:jc w:val="center"/>
            </w:pPr>
            <w:r>
              <w:rPr>
                <w:sz w:val="16"/>
              </w:rPr>
              <w:t xml:space="preserve">2021 </w:t>
            </w:r>
            <w:r>
              <w:rPr>
                <w:sz w:val="16"/>
              </w:rPr>
              <w:t>至</w:t>
            </w:r>
            <w:r>
              <w:rPr>
                <w:sz w:val="16"/>
              </w:rPr>
              <w:t xml:space="preserve"> 2023</w:t>
            </w:r>
          </w:p>
        </w:tc>
        <w:tc>
          <w:tcPr>
            <w:tcW w:w="1828" w:type="dxa"/>
            <w:tcMar>
              <w:top w:w="80" w:type="dxa"/>
              <w:left w:w="90" w:type="dxa"/>
              <w:bottom w:w="80" w:type="dxa"/>
              <w:right w:w="90" w:type="dxa"/>
            </w:tcMar>
            <w:vAlign w:val="center"/>
          </w:tcPr>
          <w:p w14:paraId="1361B52C" w14:textId="77777777" w:rsidR="00FE5BA1" w:rsidRDefault="00000000">
            <w:pPr>
              <w:spacing w:after="0" w:line="269" w:lineRule="auto"/>
              <w:ind w:firstLine="0"/>
              <w:jc w:val="left"/>
              <w:rPr>
                <w:lang w:eastAsia="zh-CN"/>
              </w:rPr>
            </w:pPr>
            <w:r>
              <w:rPr>
                <w:sz w:val="16"/>
                <w:lang w:eastAsia="zh-CN"/>
              </w:rPr>
              <w:t>异质图</w:t>
            </w:r>
            <w:r>
              <w:rPr>
                <w:sz w:val="16"/>
                <w:lang w:eastAsia="zh-CN"/>
              </w:rPr>
              <w:t xml:space="preserve"> </w:t>
            </w:r>
            <w:r>
              <w:rPr>
                <w:sz w:val="16"/>
                <w:lang w:eastAsia="zh-CN"/>
              </w:rPr>
              <w:t>多视图</w:t>
            </w:r>
            <w:proofErr w:type="gramStart"/>
            <w:r>
              <w:rPr>
                <w:sz w:val="16"/>
                <w:lang w:eastAsia="zh-CN"/>
              </w:rPr>
              <w:t>图</w:t>
            </w:r>
            <w:proofErr w:type="gramEnd"/>
            <w:r>
              <w:rPr>
                <w:sz w:val="16"/>
                <w:lang w:eastAsia="zh-CN"/>
              </w:rPr>
              <w:t>和高阶关系</w:t>
            </w:r>
          </w:p>
        </w:tc>
        <w:tc>
          <w:tcPr>
            <w:tcW w:w="2232" w:type="dxa"/>
            <w:tcMar>
              <w:top w:w="80" w:type="dxa"/>
              <w:left w:w="90" w:type="dxa"/>
              <w:bottom w:w="80" w:type="dxa"/>
              <w:right w:w="90" w:type="dxa"/>
            </w:tcMar>
            <w:vAlign w:val="center"/>
          </w:tcPr>
          <w:p w14:paraId="26700EA3" w14:textId="77777777" w:rsidR="00FE5BA1" w:rsidRDefault="00000000">
            <w:pPr>
              <w:spacing w:after="0" w:line="269" w:lineRule="auto"/>
              <w:ind w:firstLine="0"/>
              <w:jc w:val="left"/>
              <w:rPr>
                <w:lang w:eastAsia="zh-CN"/>
              </w:rPr>
            </w:pPr>
            <w:r>
              <w:rPr>
                <w:sz w:val="16"/>
                <w:lang w:eastAsia="zh-CN"/>
              </w:rPr>
              <w:t xml:space="preserve">GCN </w:t>
            </w:r>
            <w:r>
              <w:rPr>
                <w:sz w:val="16"/>
                <w:lang w:eastAsia="zh-CN"/>
              </w:rPr>
              <w:t>注意力</w:t>
            </w:r>
            <w:r>
              <w:rPr>
                <w:sz w:val="16"/>
                <w:lang w:eastAsia="zh-CN"/>
              </w:rPr>
              <w:t xml:space="preserve"> </w:t>
            </w:r>
            <w:r>
              <w:rPr>
                <w:sz w:val="16"/>
                <w:lang w:eastAsia="zh-CN"/>
              </w:rPr>
              <w:t>对比学习</w:t>
            </w:r>
            <w:r>
              <w:rPr>
                <w:sz w:val="16"/>
                <w:lang w:eastAsia="zh-CN"/>
              </w:rPr>
              <w:t xml:space="preserve"> </w:t>
            </w:r>
            <w:proofErr w:type="gramStart"/>
            <w:r>
              <w:rPr>
                <w:sz w:val="16"/>
                <w:lang w:eastAsia="zh-CN"/>
              </w:rPr>
              <w:t>自监督</w:t>
            </w:r>
            <w:proofErr w:type="gramEnd"/>
            <w:r>
              <w:rPr>
                <w:sz w:val="16"/>
                <w:lang w:eastAsia="zh-CN"/>
              </w:rPr>
              <w:t>和超图</w:t>
            </w:r>
          </w:p>
        </w:tc>
        <w:tc>
          <w:tcPr>
            <w:tcW w:w="1915" w:type="dxa"/>
            <w:tcMar>
              <w:top w:w="80" w:type="dxa"/>
              <w:left w:w="90" w:type="dxa"/>
              <w:bottom w:w="80" w:type="dxa"/>
              <w:right w:w="90" w:type="dxa"/>
            </w:tcMar>
            <w:vAlign w:val="center"/>
          </w:tcPr>
          <w:p w14:paraId="33EE38CA" w14:textId="77777777" w:rsidR="00FE5BA1" w:rsidRDefault="00000000">
            <w:pPr>
              <w:spacing w:after="0" w:line="269" w:lineRule="auto"/>
              <w:ind w:firstLine="0"/>
              <w:jc w:val="left"/>
            </w:pPr>
            <w:r>
              <w:rPr>
                <w:sz w:val="16"/>
              </w:rPr>
              <w:t xml:space="preserve">DDA </w:t>
            </w:r>
            <w:r>
              <w:rPr>
                <w:sz w:val="16"/>
              </w:rPr>
              <w:t>癌症药物反应</w:t>
            </w:r>
            <w:r>
              <w:rPr>
                <w:sz w:val="16"/>
              </w:rPr>
              <w:t xml:space="preserve"> DDI</w:t>
            </w:r>
          </w:p>
        </w:tc>
        <w:tc>
          <w:tcPr>
            <w:tcW w:w="2188" w:type="dxa"/>
            <w:tcMar>
              <w:top w:w="80" w:type="dxa"/>
              <w:left w:w="90" w:type="dxa"/>
              <w:bottom w:w="80" w:type="dxa"/>
              <w:right w:w="90" w:type="dxa"/>
            </w:tcMar>
            <w:vAlign w:val="center"/>
          </w:tcPr>
          <w:p w14:paraId="5505725A" w14:textId="77777777" w:rsidR="00FE5BA1" w:rsidRDefault="00000000">
            <w:pPr>
              <w:spacing w:after="0" w:line="269" w:lineRule="auto"/>
              <w:ind w:firstLine="0"/>
              <w:jc w:val="left"/>
              <w:rPr>
                <w:lang w:eastAsia="zh-CN"/>
              </w:rPr>
            </w:pPr>
            <w:r>
              <w:rPr>
                <w:sz w:val="16"/>
                <w:lang w:eastAsia="zh-CN"/>
              </w:rPr>
              <w:t>随机划分与负采样可能高估泛化</w:t>
            </w:r>
          </w:p>
        </w:tc>
      </w:tr>
      <w:tr w:rsidR="00FE5BA1" w14:paraId="31B2A415" w14:textId="77777777">
        <w:trPr>
          <w:jc w:val="center"/>
        </w:trPr>
        <w:tc>
          <w:tcPr>
            <w:tcW w:w="1180" w:type="dxa"/>
            <w:shd w:val="clear" w:color="auto" w:fill="EAF2F8"/>
            <w:tcMar>
              <w:top w:w="80" w:type="dxa"/>
              <w:left w:w="90" w:type="dxa"/>
              <w:bottom w:w="80" w:type="dxa"/>
              <w:right w:w="90" w:type="dxa"/>
            </w:tcMar>
            <w:vAlign w:val="center"/>
          </w:tcPr>
          <w:p w14:paraId="30CA5ABC" w14:textId="77777777" w:rsidR="00FE5BA1" w:rsidRDefault="00000000">
            <w:pPr>
              <w:spacing w:after="0" w:line="269" w:lineRule="auto"/>
              <w:ind w:firstLine="0"/>
              <w:jc w:val="center"/>
            </w:pPr>
            <w:r>
              <w:rPr>
                <w:sz w:val="16"/>
              </w:rPr>
              <w:t xml:space="preserve">2024 </w:t>
            </w:r>
            <w:r>
              <w:rPr>
                <w:sz w:val="16"/>
              </w:rPr>
              <w:t>至</w:t>
            </w:r>
            <w:r>
              <w:rPr>
                <w:sz w:val="16"/>
              </w:rPr>
              <w:t xml:space="preserve"> 2026</w:t>
            </w:r>
          </w:p>
        </w:tc>
        <w:tc>
          <w:tcPr>
            <w:tcW w:w="1828" w:type="dxa"/>
            <w:shd w:val="clear" w:color="auto" w:fill="EAF2F8"/>
            <w:tcMar>
              <w:top w:w="80" w:type="dxa"/>
              <w:left w:w="90" w:type="dxa"/>
              <w:bottom w:w="80" w:type="dxa"/>
              <w:right w:w="90" w:type="dxa"/>
            </w:tcMar>
            <w:vAlign w:val="center"/>
          </w:tcPr>
          <w:p w14:paraId="5E07BA88" w14:textId="77777777" w:rsidR="00FE5BA1" w:rsidRDefault="00000000">
            <w:pPr>
              <w:spacing w:after="0" w:line="269" w:lineRule="auto"/>
              <w:ind w:firstLine="0"/>
              <w:jc w:val="left"/>
              <w:rPr>
                <w:lang w:eastAsia="zh-CN"/>
              </w:rPr>
            </w:pPr>
            <w:r>
              <w:rPr>
                <w:sz w:val="16"/>
                <w:lang w:eastAsia="zh-CN"/>
              </w:rPr>
              <w:t>语义</w:t>
            </w:r>
            <w:r>
              <w:rPr>
                <w:sz w:val="16"/>
                <w:lang w:eastAsia="zh-CN"/>
              </w:rPr>
              <w:t xml:space="preserve"> </w:t>
            </w:r>
            <w:r>
              <w:rPr>
                <w:sz w:val="16"/>
                <w:lang w:eastAsia="zh-CN"/>
              </w:rPr>
              <w:t>几何和跨模态表示</w:t>
            </w:r>
          </w:p>
        </w:tc>
        <w:tc>
          <w:tcPr>
            <w:tcW w:w="2232" w:type="dxa"/>
            <w:shd w:val="clear" w:color="auto" w:fill="EAF2F8"/>
            <w:tcMar>
              <w:top w:w="80" w:type="dxa"/>
              <w:left w:w="90" w:type="dxa"/>
              <w:bottom w:w="80" w:type="dxa"/>
              <w:right w:w="90" w:type="dxa"/>
            </w:tcMar>
            <w:vAlign w:val="center"/>
          </w:tcPr>
          <w:p w14:paraId="698BE43F" w14:textId="77777777" w:rsidR="00FE5BA1" w:rsidRDefault="00000000">
            <w:pPr>
              <w:spacing w:after="0" w:line="269" w:lineRule="auto"/>
              <w:ind w:firstLine="0"/>
              <w:jc w:val="left"/>
              <w:rPr>
                <w:lang w:eastAsia="zh-CN"/>
              </w:rPr>
            </w:pPr>
            <w:r>
              <w:rPr>
                <w:sz w:val="16"/>
                <w:lang w:eastAsia="zh-CN"/>
              </w:rPr>
              <w:t>零样本</w:t>
            </w:r>
            <w:r>
              <w:rPr>
                <w:sz w:val="16"/>
                <w:lang w:eastAsia="zh-CN"/>
              </w:rPr>
              <w:t xml:space="preserve"> </w:t>
            </w:r>
            <w:r>
              <w:rPr>
                <w:sz w:val="16"/>
                <w:lang w:eastAsia="zh-CN"/>
              </w:rPr>
              <w:t>因果图</w:t>
            </w:r>
            <w:r>
              <w:rPr>
                <w:sz w:val="16"/>
                <w:lang w:eastAsia="zh-CN"/>
              </w:rPr>
              <w:t xml:space="preserve"> </w:t>
            </w:r>
            <w:r>
              <w:rPr>
                <w:sz w:val="16"/>
                <w:lang w:eastAsia="zh-CN"/>
              </w:rPr>
              <w:t>扩散生成</w:t>
            </w:r>
            <w:r>
              <w:rPr>
                <w:sz w:val="16"/>
                <w:lang w:eastAsia="zh-CN"/>
              </w:rPr>
              <w:t xml:space="preserve"> </w:t>
            </w:r>
            <w:r>
              <w:rPr>
                <w:sz w:val="16"/>
                <w:lang w:eastAsia="zh-CN"/>
              </w:rPr>
              <w:t>分子</w:t>
            </w:r>
            <w:proofErr w:type="gramStart"/>
            <w:r>
              <w:rPr>
                <w:sz w:val="16"/>
                <w:lang w:eastAsia="zh-CN"/>
              </w:rPr>
              <w:t>预训练</w:t>
            </w:r>
            <w:proofErr w:type="gramEnd"/>
          </w:p>
        </w:tc>
        <w:tc>
          <w:tcPr>
            <w:tcW w:w="1915" w:type="dxa"/>
            <w:shd w:val="clear" w:color="auto" w:fill="EAF2F8"/>
            <w:tcMar>
              <w:top w:w="80" w:type="dxa"/>
              <w:left w:w="90" w:type="dxa"/>
              <w:bottom w:w="80" w:type="dxa"/>
              <w:right w:w="90" w:type="dxa"/>
            </w:tcMar>
            <w:vAlign w:val="center"/>
          </w:tcPr>
          <w:p w14:paraId="36C033DB" w14:textId="77777777" w:rsidR="00FE5BA1" w:rsidRDefault="00000000">
            <w:pPr>
              <w:spacing w:after="0" w:line="269" w:lineRule="auto"/>
              <w:ind w:firstLine="0"/>
              <w:jc w:val="left"/>
              <w:rPr>
                <w:lang w:eastAsia="zh-CN"/>
              </w:rPr>
            </w:pPr>
            <w:r>
              <w:rPr>
                <w:sz w:val="16"/>
                <w:lang w:eastAsia="zh-CN"/>
              </w:rPr>
              <w:t>未见</w:t>
            </w:r>
            <w:r>
              <w:rPr>
                <w:sz w:val="16"/>
                <w:lang w:eastAsia="zh-CN"/>
              </w:rPr>
              <w:t xml:space="preserve"> DDI </w:t>
            </w:r>
            <w:r>
              <w:rPr>
                <w:sz w:val="16"/>
                <w:lang w:eastAsia="zh-CN"/>
              </w:rPr>
              <w:t>肽生成</w:t>
            </w:r>
            <w:r>
              <w:rPr>
                <w:sz w:val="16"/>
                <w:lang w:eastAsia="zh-CN"/>
              </w:rPr>
              <w:t xml:space="preserve"> </w:t>
            </w:r>
            <w:r>
              <w:rPr>
                <w:sz w:val="16"/>
                <w:lang w:eastAsia="zh-CN"/>
              </w:rPr>
              <w:t>结合预测</w:t>
            </w:r>
          </w:p>
        </w:tc>
        <w:tc>
          <w:tcPr>
            <w:tcW w:w="2188" w:type="dxa"/>
            <w:shd w:val="clear" w:color="auto" w:fill="EAF2F8"/>
            <w:tcMar>
              <w:top w:w="80" w:type="dxa"/>
              <w:left w:w="90" w:type="dxa"/>
              <w:bottom w:w="80" w:type="dxa"/>
              <w:right w:w="90" w:type="dxa"/>
            </w:tcMar>
            <w:vAlign w:val="center"/>
          </w:tcPr>
          <w:p w14:paraId="069232C7" w14:textId="77777777" w:rsidR="00FE5BA1" w:rsidRDefault="00000000">
            <w:pPr>
              <w:spacing w:after="0" w:line="269" w:lineRule="auto"/>
              <w:ind w:firstLine="0"/>
              <w:jc w:val="left"/>
              <w:rPr>
                <w:lang w:eastAsia="zh-CN"/>
              </w:rPr>
            </w:pPr>
            <w:r>
              <w:rPr>
                <w:sz w:val="16"/>
                <w:lang w:eastAsia="zh-CN"/>
              </w:rPr>
              <w:t>生成与因果结论仍需实验和时间外推验证</w:t>
            </w:r>
          </w:p>
        </w:tc>
      </w:tr>
    </w:tbl>
    <w:p w14:paraId="2D4D7E6A" w14:textId="77777777" w:rsidR="00FE5BA1" w:rsidRDefault="00FE5BA1">
      <w:pPr>
        <w:spacing w:after="0"/>
        <w:rPr>
          <w:lang w:eastAsia="zh-CN"/>
        </w:rPr>
      </w:pPr>
    </w:p>
    <w:p w14:paraId="10F7789C" w14:textId="77777777" w:rsidR="00FE5BA1" w:rsidRDefault="00000000">
      <w:pPr>
        <w:pStyle w:val="21"/>
        <w:rPr>
          <w:lang w:eastAsia="zh-CN"/>
        </w:rPr>
      </w:pPr>
      <w:r>
        <w:rPr>
          <w:rFonts w:ascii="微软雅黑" w:eastAsia="微软雅黑" w:hAnsi="微软雅黑"/>
          <w:lang w:eastAsia="zh-CN"/>
        </w:rPr>
        <w:t>3.1 相似性学习奠定统一的问题形式</w:t>
      </w:r>
    </w:p>
    <w:p w14:paraId="00DAB2D2" w14:textId="77777777" w:rsidR="00FE5BA1" w:rsidRDefault="00000000">
      <w:pPr>
        <w:rPr>
          <w:lang w:eastAsia="zh-CN"/>
        </w:rPr>
      </w:pPr>
      <w:r>
        <w:rPr>
          <w:lang w:eastAsia="zh-CN"/>
        </w:rPr>
        <w:t xml:space="preserve">2016 </w:t>
      </w:r>
      <w:r>
        <w:rPr>
          <w:lang w:eastAsia="zh-CN"/>
        </w:rPr>
        <w:t>至</w:t>
      </w:r>
      <w:r>
        <w:rPr>
          <w:lang w:eastAsia="zh-CN"/>
        </w:rPr>
        <w:t xml:space="preserve"> 2018 </w:t>
      </w:r>
      <w:r>
        <w:rPr>
          <w:lang w:eastAsia="zh-CN"/>
        </w:rPr>
        <w:t>年的工作主要建立在同类实体具有相近生物学行为的假设上。药物结构、靶点、酶、通路、适应证、副作用和已知</w:t>
      </w:r>
      <w:proofErr w:type="gramStart"/>
      <w:r>
        <w:rPr>
          <w:lang w:eastAsia="zh-CN"/>
        </w:rPr>
        <w:t>交互被</w:t>
      </w:r>
      <w:proofErr w:type="gramEnd"/>
      <w:r>
        <w:rPr>
          <w:lang w:eastAsia="zh-CN"/>
        </w:rPr>
        <w:t>转换为相似性或邻接信息，再由推荐、随机游走、矩阵分解和邻域传播补全未知关系。</w:t>
      </w:r>
      <w:r>
        <w:rPr>
          <w:lang w:eastAsia="zh-CN"/>
        </w:rPr>
        <w:t xml:space="preserve">2017 </w:t>
      </w:r>
      <w:r>
        <w:rPr>
          <w:lang w:eastAsia="zh-CN"/>
        </w:rPr>
        <w:t>年的多源</w:t>
      </w:r>
      <w:r>
        <w:rPr>
          <w:lang w:eastAsia="zh-CN"/>
        </w:rPr>
        <w:t xml:space="preserve"> DDI </w:t>
      </w:r>
      <w:r>
        <w:rPr>
          <w:lang w:eastAsia="zh-CN"/>
        </w:rPr>
        <w:t>研究比较了邻域推荐、随机游走和矩阵扰动，并通过集成规则整合多种数据。实验指出，已知</w:t>
      </w:r>
      <w:r>
        <w:rPr>
          <w:lang w:eastAsia="zh-CN"/>
        </w:rPr>
        <w:t xml:space="preserve"> DDI </w:t>
      </w:r>
      <w:r>
        <w:rPr>
          <w:lang w:eastAsia="zh-CN"/>
        </w:rPr>
        <w:t>网络本身是最重要的信息源之一，而集成模型优于单一模型</w:t>
      </w:r>
      <w:r w:rsidRPr="00D91203">
        <w:rPr>
          <w:vertAlign w:val="superscript"/>
          <w:lang w:eastAsia="zh-CN"/>
        </w:rPr>
        <w:t>[2]</w:t>
      </w:r>
      <w:r>
        <w:rPr>
          <w:lang w:eastAsia="zh-CN"/>
        </w:rPr>
        <w:t>。这项工作确定了此后反复出现的基本范式，即先在多个数据视图中建立基础预测器，再学习跨视图融合。</w:t>
      </w:r>
    </w:p>
    <w:p w14:paraId="610AD3F7" w14:textId="77777777" w:rsidR="00FE5BA1" w:rsidRDefault="00000000">
      <w:pPr>
        <w:rPr>
          <w:lang w:eastAsia="zh-CN"/>
        </w:rPr>
      </w:pPr>
      <w:r>
        <w:rPr>
          <w:lang w:eastAsia="zh-CN"/>
        </w:rPr>
        <w:t>相似性约束矩阵分解进一步把药物特征和疾病语义相似性加入低</w:t>
      </w:r>
      <w:proofErr w:type="gramStart"/>
      <w:r>
        <w:rPr>
          <w:lang w:eastAsia="zh-CN"/>
        </w:rPr>
        <w:t>秩</w:t>
      </w:r>
      <w:proofErr w:type="gramEnd"/>
      <w:r>
        <w:rPr>
          <w:lang w:eastAsia="zh-CN"/>
        </w:rPr>
        <w:t>空间。</w:t>
      </w:r>
      <w:r>
        <w:rPr>
          <w:lang w:eastAsia="zh-CN"/>
        </w:rPr>
        <w:t xml:space="preserve">SCMFDD </w:t>
      </w:r>
      <w:r>
        <w:rPr>
          <w:lang w:eastAsia="zh-CN"/>
        </w:rPr>
        <w:t>在五折交叉验证和独立测试中优于当时的比较方法，并用</w:t>
      </w:r>
      <w:r>
        <w:rPr>
          <w:lang w:eastAsia="zh-CN"/>
        </w:rPr>
        <w:t xml:space="preserve"> CTD </w:t>
      </w:r>
      <w:r>
        <w:rPr>
          <w:lang w:eastAsia="zh-CN"/>
        </w:rPr>
        <w:t>数据开展病例分析</w:t>
      </w:r>
      <w:r w:rsidRPr="00D91203">
        <w:rPr>
          <w:vertAlign w:val="superscript"/>
          <w:lang w:eastAsia="zh-CN"/>
        </w:rPr>
        <w:t>[3]</w:t>
      </w:r>
      <w:r>
        <w:rPr>
          <w:lang w:eastAsia="zh-CN"/>
        </w:rPr>
        <w:t>。这类证据说明生物学先验可以改善</w:t>
      </w:r>
      <w:r>
        <w:rPr>
          <w:lang w:eastAsia="zh-CN"/>
        </w:rPr>
        <w:lastRenderedPageBreak/>
        <w:t>矩阵补全，但其</w:t>
      </w:r>
      <w:proofErr w:type="gramStart"/>
      <w:r>
        <w:rPr>
          <w:lang w:eastAsia="zh-CN"/>
        </w:rPr>
        <w:t>泛化仍</w:t>
      </w:r>
      <w:proofErr w:type="gramEnd"/>
      <w:r>
        <w:rPr>
          <w:lang w:eastAsia="zh-CN"/>
        </w:rPr>
        <w:t>取决于相似性设计；病例中的数据库命中也只能视为后验支持，不能替代新的实验确认。</w:t>
      </w:r>
    </w:p>
    <w:p w14:paraId="777294FA" w14:textId="77777777" w:rsidR="00FE5BA1" w:rsidRDefault="00000000">
      <w:pPr>
        <w:pStyle w:val="21"/>
        <w:rPr>
          <w:lang w:eastAsia="zh-CN"/>
        </w:rPr>
      </w:pPr>
      <w:r>
        <w:rPr>
          <w:rFonts w:ascii="微软雅黑" w:eastAsia="微软雅黑" w:hAnsi="微软雅黑"/>
          <w:lang w:eastAsia="zh-CN"/>
        </w:rPr>
        <w:t>3.2 多模态学习从关系存在转向事件类型</w:t>
      </w:r>
    </w:p>
    <w:p w14:paraId="01CA35DB" w14:textId="77777777" w:rsidR="00FE5BA1" w:rsidRDefault="00000000">
      <w:pPr>
        <w:rPr>
          <w:lang w:eastAsia="zh-CN"/>
        </w:rPr>
      </w:pPr>
      <w:r>
        <w:rPr>
          <w:lang w:eastAsia="zh-CN"/>
        </w:rPr>
        <w:t xml:space="preserve">2019 </w:t>
      </w:r>
      <w:r>
        <w:rPr>
          <w:lang w:eastAsia="zh-CN"/>
        </w:rPr>
        <w:t>至</w:t>
      </w:r>
      <w:r>
        <w:rPr>
          <w:lang w:eastAsia="zh-CN"/>
        </w:rPr>
        <w:t xml:space="preserve"> 2020 </w:t>
      </w:r>
      <w:r>
        <w:rPr>
          <w:lang w:eastAsia="zh-CN"/>
        </w:rPr>
        <w:t>年的关键变化，是由人工构造相似性转向自动学习表示。</w:t>
      </w:r>
      <w:r>
        <w:rPr>
          <w:lang w:eastAsia="zh-CN"/>
        </w:rPr>
        <w:t xml:space="preserve">DDIMDL </w:t>
      </w:r>
      <w:r>
        <w:rPr>
          <w:lang w:eastAsia="zh-CN"/>
        </w:rPr>
        <w:t>不再只判断两种药物是否存在相互作用，而是从</w:t>
      </w:r>
      <w:r>
        <w:rPr>
          <w:lang w:eastAsia="zh-CN"/>
        </w:rPr>
        <w:t xml:space="preserve"> DrugBank </w:t>
      </w:r>
      <w:r>
        <w:rPr>
          <w:lang w:eastAsia="zh-CN"/>
        </w:rPr>
        <w:t>提取</w:t>
      </w:r>
      <w:r>
        <w:rPr>
          <w:lang w:eastAsia="zh-CN"/>
        </w:rPr>
        <w:t xml:space="preserve"> 65 </w:t>
      </w:r>
      <w:r>
        <w:rPr>
          <w:lang w:eastAsia="zh-CN"/>
        </w:rPr>
        <w:t>类</w:t>
      </w:r>
      <w:r>
        <w:rPr>
          <w:lang w:eastAsia="zh-CN"/>
        </w:rPr>
        <w:t xml:space="preserve"> DDI </w:t>
      </w:r>
      <w:r>
        <w:rPr>
          <w:lang w:eastAsia="zh-CN"/>
        </w:rPr>
        <w:t>事件，同时编码化学子结构、靶点、酶和通路。模型报告准确率</w:t>
      </w:r>
      <w:r>
        <w:rPr>
          <w:lang w:eastAsia="zh-CN"/>
        </w:rPr>
        <w:t xml:space="preserve"> 0.8852</w:t>
      </w:r>
      <w:r>
        <w:rPr>
          <w:lang w:eastAsia="zh-CN"/>
        </w:rPr>
        <w:t>、精确率召回曲线下面积</w:t>
      </w:r>
      <w:r>
        <w:rPr>
          <w:lang w:eastAsia="zh-CN"/>
        </w:rPr>
        <w:t xml:space="preserve"> 0.9208</w:t>
      </w:r>
      <w:r>
        <w:rPr>
          <w:lang w:eastAsia="zh-CN"/>
        </w:rPr>
        <w:t>，消融结果显示化学子结构最具信息量，而子结构、靶点和酶的组合效果较好</w:t>
      </w:r>
      <w:r>
        <w:rPr>
          <w:lang w:eastAsia="zh-CN"/>
        </w:rPr>
        <w:t>[5]</w:t>
      </w:r>
      <w:r>
        <w:rPr>
          <w:lang w:eastAsia="zh-CN"/>
        </w:rPr>
        <w:t>。这使研究问题从二分类扩展到更接近药理语义的</w:t>
      </w:r>
      <w:proofErr w:type="gramStart"/>
      <w:r>
        <w:rPr>
          <w:lang w:eastAsia="zh-CN"/>
        </w:rPr>
        <w:t>多事件</w:t>
      </w:r>
      <w:proofErr w:type="gramEnd"/>
      <w:r>
        <w:rPr>
          <w:lang w:eastAsia="zh-CN"/>
        </w:rPr>
        <w:t>预测。</w:t>
      </w:r>
    </w:p>
    <w:p w14:paraId="4580CFED" w14:textId="77777777" w:rsidR="00FE5BA1" w:rsidRDefault="00000000">
      <w:pPr>
        <w:rPr>
          <w:lang w:eastAsia="zh-CN"/>
        </w:rPr>
      </w:pPr>
      <w:r>
        <w:rPr>
          <w:lang w:eastAsia="zh-CN"/>
        </w:rPr>
        <w:t>同一时期的</w:t>
      </w:r>
      <w:r>
        <w:rPr>
          <w:lang w:eastAsia="zh-CN"/>
        </w:rPr>
        <w:t xml:space="preserve"> BioNEV </w:t>
      </w:r>
      <w:r>
        <w:rPr>
          <w:lang w:eastAsia="zh-CN"/>
        </w:rPr>
        <w:t>研究对</w:t>
      </w:r>
      <w:r>
        <w:rPr>
          <w:lang w:eastAsia="zh-CN"/>
        </w:rPr>
        <w:t xml:space="preserve"> 11 </w:t>
      </w:r>
      <w:proofErr w:type="gramStart"/>
      <w:r>
        <w:rPr>
          <w:lang w:eastAsia="zh-CN"/>
        </w:rPr>
        <w:t>种图嵌入</w:t>
      </w:r>
      <w:proofErr w:type="gramEnd"/>
      <w:r>
        <w:rPr>
          <w:lang w:eastAsia="zh-CN"/>
        </w:rPr>
        <w:t>方法、</w:t>
      </w:r>
      <w:r>
        <w:rPr>
          <w:lang w:eastAsia="zh-CN"/>
        </w:rPr>
        <w:t xml:space="preserve">7 </w:t>
      </w:r>
      <w:r>
        <w:rPr>
          <w:lang w:eastAsia="zh-CN"/>
        </w:rPr>
        <w:t>个数据集、</w:t>
      </w:r>
      <w:r>
        <w:rPr>
          <w:lang w:eastAsia="zh-CN"/>
        </w:rPr>
        <w:t xml:space="preserve">3 </w:t>
      </w:r>
      <w:r>
        <w:rPr>
          <w:lang w:eastAsia="zh-CN"/>
        </w:rPr>
        <w:t>类链接预测任务和</w:t>
      </w:r>
      <w:r>
        <w:rPr>
          <w:lang w:eastAsia="zh-CN"/>
        </w:rPr>
        <w:t xml:space="preserve"> 2 </w:t>
      </w:r>
      <w:r>
        <w:rPr>
          <w:lang w:eastAsia="zh-CN"/>
        </w:rPr>
        <w:t>类节点分类任务进行系统比较。结果显示，通用图嵌入在不使用生物学特征时也能取得有竞争力的结果，并可与领域特征形成互补</w:t>
      </w:r>
      <w:r>
        <w:rPr>
          <w:lang w:eastAsia="zh-CN"/>
        </w:rPr>
        <w:t>[4]</w:t>
      </w:r>
      <w:r>
        <w:rPr>
          <w:lang w:eastAsia="zh-CN"/>
        </w:rPr>
        <w:t>。这篇论文的重要性并非提出单一最优模型，而是把模型选择、超参数和任务差异纳入统一评价，为后续图神经网络研究提供了基准。</w:t>
      </w:r>
    </w:p>
    <w:p w14:paraId="79B587DF" w14:textId="77777777" w:rsidR="00FE5BA1" w:rsidRDefault="00000000">
      <w:pPr>
        <w:pStyle w:val="21"/>
        <w:rPr>
          <w:lang w:eastAsia="zh-CN"/>
        </w:rPr>
      </w:pPr>
      <w:r>
        <w:rPr>
          <w:rFonts w:ascii="微软雅黑" w:eastAsia="微软雅黑" w:hAnsi="微软雅黑"/>
          <w:lang w:eastAsia="zh-CN"/>
        </w:rPr>
        <w:t>3.3 图神经网络增强异质关系与高阶信息建模</w:t>
      </w:r>
    </w:p>
    <w:p w14:paraId="442A5F83" w14:textId="77777777" w:rsidR="00FE5BA1" w:rsidRDefault="00000000">
      <w:pPr>
        <w:rPr>
          <w:lang w:eastAsia="zh-CN"/>
        </w:rPr>
      </w:pPr>
      <w:r>
        <w:rPr>
          <w:lang w:eastAsia="zh-CN"/>
        </w:rPr>
        <w:t xml:space="preserve">2021 </w:t>
      </w:r>
      <w:r>
        <w:rPr>
          <w:lang w:eastAsia="zh-CN"/>
        </w:rPr>
        <w:t>年后的论文把异质网络视为主要建模对象。</w:t>
      </w:r>
      <w:r>
        <w:rPr>
          <w:lang w:eastAsia="zh-CN"/>
        </w:rPr>
        <w:t xml:space="preserve">LAGCN </w:t>
      </w:r>
      <w:r>
        <w:rPr>
          <w:lang w:eastAsia="zh-CN"/>
        </w:rPr>
        <w:t>将已知药物疾病关联、药物相似性和疾病相似性整合为异质图，并用层注意力组合不同传播深度的表示。五折交叉验证报告</w:t>
      </w:r>
      <w:r>
        <w:rPr>
          <w:lang w:eastAsia="zh-CN"/>
        </w:rPr>
        <w:t xml:space="preserve"> AUPR 0.3168 </w:t>
      </w:r>
      <w:r>
        <w:rPr>
          <w:lang w:eastAsia="zh-CN"/>
        </w:rPr>
        <w:t>和</w:t>
      </w:r>
      <w:r>
        <w:rPr>
          <w:lang w:eastAsia="zh-CN"/>
        </w:rPr>
        <w:t xml:space="preserve"> AUROC 0.8750[6]</w:t>
      </w:r>
      <w:r>
        <w:rPr>
          <w:lang w:eastAsia="zh-CN"/>
        </w:rPr>
        <w:t>。这一结果支持多阶邻域信息的价值，但也提醒读者：在正负样本高度不平衡的关系预测中，</w:t>
      </w:r>
      <w:r>
        <w:rPr>
          <w:lang w:eastAsia="zh-CN"/>
        </w:rPr>
        <w:t xml:space="preserve">AUPR </w:t>
      </w:r>
      <w:r>
        <w:rPr>
          <w:lang w:eastAsia="zh-CN"/>
        </w:rPr>
        <w:t>比</w:t>
      </w:r>
      <w:r>
        <w:rPr>
          <w:lang w:eastAsia="zh-CN"/>
        </w:rPr>
        <w:t xml:space="preserve"> AUROC </w:t>
      </w:r>
      <w:r>
        <w:rPr>
          <w:lang w:eastAsia="zh-CN"/>
        </w:rPr>
        <w:t>更能反映实际识别能力，而随机交叉</w:t>
      </w:r>
      <w:proofErr w:type="gramStart"/>
      <w:r>
        <w:rPr>
          <w:lang w:eastAsia="zh-CN"/>
        </w:rPr>
        <w:t>验证仍</w:t>
      </w:r>
      <w:proofErr w:type="gramEnd"/>
      <w:r>
        <w:rPr>
          <w:lang w:eastAsia="zh-CN"/>
        </w:rPr>
        <w:t>不能等价于新药或新疾病冷启动。</w:t>
      </w:r>
    </w:p>
    <w:p w14:paraId="289EF4D7" w14:textId="77777777" w:rsidR="00FE5BA1" w:rsidRDefault="00000000">
      <w:pPr>
        <w:rPr>
          <w:lang w:eastAsia="zh-CN"/>
        </w:rPr>
      </w:pPr>
      <w:r>
        <w:rPr>
          <w:lang w:eastAsia="zh-CN"/>
        </w:rPr>
        <w:t xml:space="preserve">MVGCN </w:t>
      </w:r>
      <w:r>
        <w:rPr>
          <w:lang w:eastAsia="zh-CN"/>
        </w:rPr>
        <w:t>将多视图异质网络、</w:t>
      </w:r>
      <w:proofErr w:type="gramStart"/>
      <w:r>
        <w:rPr>
          <w:lang w:eastAsia="zh-CN"/>
        </w:rPr>
        <w:t>自监督</w:t>
      </w:r>
      <w:proofErr w:type="gramEnd"/>
      <w:r>
        <w:rPr>
          <w:lang w:eastAsia="zh-CN"/>
        </w:rPr>
        <w:t>初始化和跨域邻域聚合结合，在六个基准数据集和三类任务上取得优于或相当于基线的结果</w:t>
      </w:r>
      <w:r>
        <w:rPr>
          <w:lang w:eastAsia="zh-CN"/>
        </w:rPr>
        <w:t>[8]</w:t>
      </w:r>
      <w:r>
        <w:rPr>
          <w:lang w:eastAsia="zh-CN"/>
        </w:rPr>
        <w:t>。这一设计减少了模型对单一二部网络结构的依赖，也强化了</w:t>
      </w:r>
      <w:proofErr w:type="gramStart"/>
      <w:r>
        <w:rPr>
          <w:lang w:eastAsia="zh-CN"/>
        </w:rPr>
        <w:t>跨任务</w:t>
      </w:r>
      <w:proofErr w:type="gramEnd"/>
      <w:r>
        <w:rPr>
          <w:lang w:eastAsia="zh-CN"/>
        </w:rPr>
        <w:t>复用能力。与此同时，注意力网络、多关系对比学习和超图模型被用于</w:t>
      </w:r>
      <w:r>
        <w:rPr>
          <w:lang w:eastAsia="zh-CN"/>
        </w:rPr>
        <w:t xml:space="preserve"> DDI </w:t>
      </w:r>
      <w:r>
        <w:rPr>
          <w:lang w:eastAsia="zh-CN"/>
        </w:rPr>
        <w:t>和药物协同，使关系类型和高阶组合不再被压缩为单一边。</w:t>
      </w:r>
    </w:p>
    <w:p w14:paraId="7523A42F" w14:textId="77777777" w:rsidR="00FE5BA1" w:rsidRDefault="00000000">
      <w:pPr>
        <w:pStyle w:val="21"/>
        <w:rPr>
          <w:lang w:eastAsia="zh-CN"/>
        </w:rPr>
      </w:pPr>
      <w:r>
        <w:rPr>
          <w:rFonts w:ascii="微软雅黑" w:eastAsia="微软雅黑" w:hAnsi="微软雅黑"/>
          <w:lang w:eastAsia="zh-CN"/>
        </w:rPr>
        <w:t>3.4 对比学习改善癌症药物反应表示</w:t>
      </w:r>
    </w:p>
    <w:p w14:paraId="735E953C" w14:textId="77777777" w:rsidR="00FE5BA1" w:rsidRDefault="00000000">
      <w:pPr>
        <w:rPr>
          <w:lang w:eastAsia="zh-CN"/>
        </w:rPr>
      </w:pPr>
      <w:r>
        <w:rPr>
          <w:lang w:eastAsia="zh-CN"/>
        </w:rPr>
        <w:t xml:space="preserve">GraphCDR </w:t>
      </w:r>
      <w:r>
        <w:rPr>
          <w:lang w:eastAsia="zh-CN"/>
        </w:rPr>
        <w:t>是这一阶段证据较完整的代表。该模型使用癌细胞系的突变、表达和甲基化信息，以及药物分子图和已知药物反应</w:t>
      </w:r>
      <w:proofErr w:type="gramStart"/>
      <w:r>
        <w:rPr>
          <w:lang w:eastAsia="zh-CN"/>
        </w:rPr>
        <w:t>构建图</w:t>
      </w:r>
      <w:proofErr w:type="gramEnd"/>
      <w:r>
        <w:rPr>
          <w:lang w:eastAsia="zh-CN"/>
        </w:rPr>
        <w:t>表示。</w:t>
      </w:r>
      <w:r>
        <w:rPr>
          <w:lang w:eastAsia="zh-CN"/>
        </w:rPr>
        <w:t xml:space="preserve">GDSC </w:t>
      </w:r>
      <w:r>
        <w:rPr>
          <w:lang w:eastAsia="zh-CN"/>
        </w:rPr>
        <w:t>数据包含</w:t>
      </w:r>
      <w:r>
        <w:rPr>
          <w:lang w:eastAsia="zh-CN"/>
        </w:rPr>
        <w:t xml:space="preserve"> 561 </w:t>
      </w:r>
      <w:proofErr w:type="gramStart"/>
      <w:r>
        <w:rPr>
          <w:lang w:eastAsia="zh-CN"/>
        </w:rPr>
        <w:t>个</w:t>
      </w:r>
      <w:proofErr w:type="gramEnd"/>
      <w:r>
        <w:rPr>
          <w:lang w:eastAsia="zh-CN"/>
        </w:rPr>
        <w:t>细胞系、</w:t>
      </w:r>
      <w:r>
        <w:rPr>
          <w:lang w:eastAsia="zh-CN"/>
        </w:rPr>
        <w:t xml:space="preserve">222 </w:t>
      </w:r>
      <w:r>
        <w:rPr>
          <w:lang w:eastAsia="zh-CN"/>
        </w:rPr>
        <w:t>种药物、</w:t>
      </w:r>
      <w:r>
        <w:rPr>
          <w:lang w:eastAsia="zh-CN"/>
        </w:rPr>
        <w:t xml:space="preserve">11591 </w:t>
      </w:r>
      <w:r>
        <w:rPr>
          <w:lang w:eastAsia="zh-CN"/>
        </w:rPr>
        <w:t>条敏感反应和</w:t>
      </w:r>
      <w:r>
        <w:rPr>
          <w:lang w:eastAsia="zh-CN"/>
        </w:rPr>
        <w:t xml:space="preserve"> 88981 </w:t>
      </w:r>
      <w:r>
        <w:rPr>
          <w:lang w:eastAsia="zh-CN"/>
        </w:rPr>
        <w:t>条耐药反应；约</w:t>
      </w:r>
      <w:r>
        <w:rPr>
          <w:lang w:eastAsia="zh-CN"/>
        </w:rPr>
        <w:t xml:space="preserve"> 19.2% </w:t>
      </w:r>
      <w:r>
        <w:rPr>
          <w:lang w:eastAsia="zh-CN"/>
        </w:rPr>
        <w:t>的细胞系药物组合缺少响应测量</w:t>
      </w:r>
      <w:r>
        <w:rPr>
          <w:lang w:eastAsia="zh-CN"/>
        </w:rPr>
        <w:t>[7]</w:t>
      </w:r>
      <w:r>
        <w:rPr>
          <w:lang w:eastAsia="zh-CN"/>
        </w:rPr>
        <w:t>。模型把敏感关系图和耐药关系图之间的对比学习作为正则项，使表示同时利用生化特征和已知响应结构。</w:t>
      </w:r>
    </w:p>
    <w:p w14:paraId="0E9009DF" w14:textId="77777777" w:rsidR="00FE5BA1" w:rsidRDefault="00000000">
      <w:pPr>
        <w:rPr>
          <w:lang w:eastAsia="zh-CN"/>
        </w:rPr>
      </w:pPr>
      <w:r>
        <w:rPr>
          <w:lang w:eastAsia="zh-CN"/>
        </w:rPr>
        <w:t>在五折交叉验证中，</w:t>
      </w:r>
      <w:r>
        <w:rPr>
          <w:lang w:eastAsia="zh-CN"/>
        </w:rPr>
        <w:t xml:space="preserve">GraphCDR </w:t>
      </w:r>
      <w:r>
        <w:rPr>
          <w:lang w:eastAsia="zh-CN"/>
        </w:rPr>
        <w:t>的</w:t>
      </w:r>
      <w:r>
        <w:rPr>
          <w:lang w:eastAsia="zh-CN"/>
        </w:rPr>
        <w:t xml:space="preserve"> AUC </w:t>
      </w:r>
      <w:r>
        <w:rPr>
          <w:lang w:eastAsia="zh-CN"/>
        </w:rPr>
        <w:t>分别超过</w:t>
      </w:r>
      <w:r>
        <w:rPr>
          <w:lang w:eastAsia="zh-CN"/>
        </w:rPr>
        <w:t xml:space="preserve"> DeepCDR </w:t>
      </w:r>
      <w:r>
        <w:rPr>
          <w:lang w:eastAsia="zh-CN"/>
        </w:rPr>
        <w:t>和</w:t>
      </w:r>
      <w:r>
        <w:rPr>
          <w:lang w:eastAsia="zh-CN"/>
        </w:rPr>
        <w:t xml:space="preserve"> NRL2DRP 2.02% </w:t>
      </w:r>
      <w:r>
        <w:rPr>
          <w:lang w:eastAsia="zh-CN"/>
        </w:rPr>
        <w:t>和</w:t>
      </w:r>
      <w:r>
        <w:rPr>
          <w:lang w:eastAsia="zh-CN"/>
        </w:rPr>
        <w:t xml:space="preserve"> 3.27%</w:t>
      </w:r>
      <w:r>
        <w:rPr>
          <w:lang w:eastAsia="zh-CN"/>
        </w:rPr>
        <w:t>，</w:t>
      </w:r>
      <w:r>
        <w:rPr>
          <w:lang w:eastAsia="zh-CN"/>
        </w:rPr>
        <w:t xml:space="preserve">AUPR </w:t>
      </w:r>
      <w:r>
        <w:rPr>
          <w:lang w:eastAsia="zh-CN"/>
        </w:rPr>
        <w:t>分别提高</w:t>
      </w:r>
      <w:r>
        <w:rPr>
          <w:lang w:eastAsia="zh-CN"/>
        </w:rPr>
        <w:t xml:space="preserve"> 4.39% </w:t>
      </w:r>
      <w:r>
        <w:rPr>
          <w:lang w:eastAsia="zh-CN"/>
        </w:rPr>
        <w:t>和</w:t>
      </w:r>
      <w:r>
        <w:rPr>
          <w:lang w:eastAsia="zh-CN"/>
        </w:rPr>
        <w:t xml:space="preserve"> 8.25%</w:t>
      </w:r>
      <w:r>
        <w:rPr>
          <w:lang w:eastAsia="zh-CN"/>
        </w:rPr>
        <w:t>；在独立测试中报告</w:t>
      </w:r>
      <w:r>
        <w:rPr>
          <w:lang w:eastAsia="zh-CN"/>
        </w:rPr>
        <w:t xml:space="preserve"> AUC 0.8426</w:t>
      </w:r>
      <w:r>
        <w:rPr>
          <w:lang w:eastAsia="zh-CN"/>
        </w:rPr>
        <w:t>、</w:t>
      </w:r>
      <w:r>
        <w:rPr>
          <w:lang w:eastAsia="zh-CN"/>
        </w:rPr>
        <w:t>AUPR 0.5148[7]</w:t>
      </w:r>
      <w:r>
        <w:rPr>
          <w:lang w:eastAsia="zh-CN"/>
        </w:rPr>
        <w:t>。这些结果比单纯的随机重构更有说服力，但数据仍来自细胞系筛选，尚不能直接外推到患者疗效。病例分析中的文献支持同样属于计算候选的间接验证。</w:t>
      </w:r>
    </w:p>
    <w:p w14:paraId="46D77937" w14:textId="77777777" w:rsidR="00FE5BA1" w:rsidRDefault="00000000">
      <w:pPr>
        <w:pStyle w:val="21"/>
        <w:rPr>
          <w:lang w:eastAsia="zh-CN"/>
        </w:rPr>
      </w:pPr>
      <w:r>
        <w:rPr>
          <w:rFonts w:ascii="微软雅黑" w:eastAsia="微软雅黑" w:hAnsi="微软雅黑"/>
          <w:lang w:eastAsia="zh-CN"/>
        </w:rPr>
        <w:lastRenderedPageBreak/>
        <w:t>3.5 近期工作扩展到未见类别和生成任务</w:t>
      </w:r>
    </w:p>
    <w:p w14:paraId="53521E94" w14:textId="77777777" w:rsidR="00FE5BA1" w:rsidRDefault="00000000">
      <w:pPr>
        <w:rPr>
          <w:lang w:eastAsia="zh-CN"/>
        </w:rPr>
      </w:pPr>
      <w:r>
        <w:rPr>
          <w:lang w:eastAsia="zh-CN"/>
        </w:rPr>
        <w:t xml:space="preserve">2024 </w:t>
      </w:r>
      <w:r>
        <w:rPr>
          <w:lang w:eastAsia="zh-CN"/>
        </w:rPr>
        <w:t>至</w:t>
      </w:r>
      <w:r>
        <w:rPr>
          <w:lang w:eastAsia="zh-CN"/>
        </w:rPr>
        <w:t xml:space="preserve"> 2026 </w:t>
      </w:r>
      <w:r>
        <w:rPr>
          <w:lang w:eastAsia="zh-CN"/>
        </w:rPr>
        <w:t>年的成果标题显示，研究边界正在从封闭</w:t>
      </w:r>
      <w:proofErr w:type="gramStart"/>
      <w:r>
        <w:rPr>
          <w:lang w:eastAsia="zh-CN"/>
        </w:rPr>
        <w:t>集关系</w:t>
      </w:r>
      <w:proofErr w:type="gramEnd"/>
      <w:r>
        <w:rPr>
          <w:lang w:eastAsia="zh-CN"/>
        </w:rPr>
        <w:t>预测扩展到零样本</w:t>
      </w:r>
      <w:r>
        <w:rPr>
          <w:lang w:eastAsia="zh-CN"/>
        </w:rPr>
        <w:t xml:space="preserve"> DDI</w:t>
      </w:r>
      <w:r>
        <w:rPr>
          <w:lang w:eastAsia="zh-CN"/>
        </w:rPr>
        <w:t>、</w:t>
      </w:r>
      <w:proofErr w:type="gramStart"/>
      <w:r>
        <w:rPr>
          <w:lang w:eastAsia="zh-CN"/>
        </w:rPr>
        <w:t>因果元</w:t>
      </w:r>
      <w:proofErr w:type="gramEnd"/>
      <w:r>
        <w:rPr>
          <w:lang w:eastAsia="zh-CN"/>
        </w:rPr>
        <w:t>路径、治疗性肽扩散生成、蛋白配体结合以及多模态到单模态的分子预训练。其共同目标是缓解实际应用中的三类缺口：训练集没有覆盖新关系类型，候选分子缺少部分模态，以及预测模型不能主动提出新分子。由于这些成果较新，本文仅将其视为研究方向变化的证据，不依据题目或在线引用数推断其实际实验效果。</w:t>
      </w:r>
    </w:p>
    <w:p w14:paraId="106BE750" w14:textId="77777777" w:rsidR="00FE5BA1" w:rsidRDefault="00000000">
      <w:pPr>
        <w:pStyle w:val="1"/>
        <w:rPr>
          <w:lang w:eastAsia="zh-CN"/>
        </w:rPr>
      </w:pPr>
      <w:r>
        <w:rPr>
          <w:rFonts w:ascii="微软雅黑" w:eastAsia="微软雅黑" w:hAnsi="微软雅黑"/>
          <w:lang w:eastAsia="zh-CN"/>
        </w:rPr>
        <w:t>4 主要应用主题的综合</w:t>
      </w:r>
    </w:p>
    <w:p w14:paraId="1695AFD9" w14:textId="77777777" w:rsidR="00FE5BA1" w:rsidRDefault="00000000">
      <w:pPr>
        <w:pStyle w:val="21"/>
        <w:rPr>
          <w:lang w:eastAsia="zh-CN"/>
        </w:rPr>
      </w:pPr>
      <w:r>
        <w:rPr>
          <w:rFonts w:ascii="微软雅黑" w:eastAsia="微软雅黑" w:hAnsi="微软雅黑"/>
          <w:lang w:eastAsia="zh-CN"/>
        </w:rPr>
        <w:t>4.1 药物相互作用与药物疾病关联</w:t>
      </w:r>
    </w:p>
    <w:p w14:paraId="0787CBC3" w14:textId="77777777" w:rsidR="00FE5BA1" w:rsidRDefault="00000000">
      <w:pPr>
        <w:rPr>
          <w:lang w:eastAsia="zh-CN"/>
        </w:rPr>
      </w:pPr>
      <w:r>
        <w:rPr>
          <w:lang w:eastAsia="zh-CN"/>
        </w:rPr>
        <w:t>药物相互作用和药物疾病关联是数量最多且方法链条最完整的主题。从多</w:t>
      </w:r>
      <w:proofErr w:type="gramStart"/>
      <w:r>
        <w:rPr>
          <w:lang w:eastAsia="zh-CN"/>
        </w:rPr>
        <w:t>源特征</w:t>
      </w:r>
      <w:proofErr w:type="gramEnd"/>
      <w:r>
        <w:rPr>
          <w:lang w:eastAsia="zh-CN"/>
        </w:rPr>
        <w:t>集成、矩阵分解到</w:t>
      </w:r>
      <w:proofErr w:type="gramStart"/>
      <w:r>
        <w:rPr>
          <w:lang w:eastAsia="zh-CN"/>
        </w:rPr>
        <w:t>事件级多</w:t>
      </w:r>
      <w:proofErr w:type="gramEnd"/>
      <w:r>
        <w:rPr>
          <w:lang w:eastAsia="zh-CN"/>
        </w:rPr>
        <w:t>分类，再到图神经网络和零样本预测，任务难度逐步提高。稳定贡献在于把化学结构、靶点、通路、表型和网络邻域放入同一表示框架。真正尚未解决的问题是评价分布：当测试药物与训练药物高度相似时，模型可能主要利用近邻而</w:t>
      </w:r>
      <w:proofErr w:type="gramStart"/>
      <w:r>
        <w:rPr>
          <w:lang w:eastAsia="zh-CN"/>
        </w:rPr>
        <w:t>非获得</w:t>
      </w:r>
      <w:proofErr w:type="gramEnd"/>
      <w:r>
        <w:rPr>
          <w:lang w:eastAsia="zh-CN"/>
        </w:rPr>
        <w:t>可迁移的药理规律。</w:t>
      </w:r>
    </w:p>
    <w:p w14:paraId="7FA0A697" w14:textId="77777777" w:rsidR="00FE5BA1" w:rsidRDefault="00000000">
      <w:pPr>
        <w:pStyle w:val="21"/>
        <w:rPr>
          <w:lang w:eastAsia="zh-CN"/>
        </w:rPr>
      </w:pPr>
      <w:r>
        <w:rPr>
          <w:rFonts w:ascii="微软雅黑" w:eastAsia="微软雅黑" w:hAnsi="微软雅黑"/>
          <w:lang w:eastAsia="zh-CN"/>
        </w:rPr>
        <w:t>4.2 癌症药物反应与药物协同</w:t>
      </w:r>
    </w:p>
    <w:p w14:paraId="5123FC3F" w14:textId="77777777" w:rsidR="00FE5BA1" w:rsidRDefault="00000000">
      <w:pPr>
        <w:rPr>
          <w:lang w:eastAsia="zh-CN"/>
        </w:rPr>
      </w:pPr>
      <w:r>
        <w:rPr>
          <w:lang w:eastAsia="zh-CN"/>
        </w:rPr>
        <w:t>癌症药物反应研究把预测单位从药物对转向药物与特定细胞系的组合。多组</w:t>
      </w:r>
      <w:proofErr w:type="gramStart"/>
      <w:r>
        <w:rPr>
          <w:lang w:eastAsia="zh-CN"/>
        </w:rPr>
        <w:t>学信息</w:t>
      </w:r>
      <w:proofErr w:type="gramEnd"/>
      <w:r>
        <w:rPr>
          <w:lang w:eastAsia="zh-CN"/>
        </w:rPr>
        <w:t>帮助模型表示细胞状态，分子图用于表示药物结构，对比学习和多任务学习则用于缓解标注稀缺。该方向已出现独立数据测试和消融分析，但临床意义仍受细胞系与患者肿瘤之间的分布差异限制。因而更合适的结论是模型改进了体外筛选数据上的候选排序，而不是已经实现个体化用药决策。</w:t>
      </w:r>
    </w:p>
    <w:p w14:paraId="6C90CD6F" w14:textId="77777777" w:rsidR="00FE5BA1" w:rsidRDefault="00000000">
      <w:pPr>
        <w:pStyle w:val="21"/>
        <w:rPr>
          <w:lang w:eastAsia="zh-CN"/>
        </w:rPr>
      </w:pPr>
      <w:r>
        <w:rPr>
          <w:rFonts w:ascii="微软雅黑" w:eastAsia="微软雅黑" w:hAnsi="微软雅黑"/>
          <w:lang w:eastAsia="zh-CN"/>
        </w:rPr>
        <w:t>4.3 非编码 RNA 与基因调控</w:t>
      </w:r>
    </w:p>
    <w:p w14:paraId="0A25FF48" w14:textId="77777777" w:rsidR="00FE5BA1" w:rsidRDefault="00000000">
      <w:pPr>
        <w:rPr>
          <w:lang w:eastAsia="zh-CN"/>
        </w:rPr>
      </w:pPr>
      <w:r>
        <w:rPr>
          <w:lang w:eastAsia="zh-CN"/>
        </w:rPr>
        <w:t>早期成果在</w:t>
      </w:r>
      <w:r>
        <w:rPr>
          <w:lang w:eastAsia="zh-CN"/>
        </w:rPr>
        <w:t xml:space="preserve"> lncRNA </w:t>
      </w:r>
      <w:r>
        <w:rPr>
          <w:lang w:eastAsia="zh-CN"/>
        </w:rPr>
        <w:t>蛋白质、</w:t>
      </w:r>
      <w:r>
        <w:rPr>
          <w:lang w:eastAsia="zh-CN"/>
        </w:rPr>
        <w:t>lncRNA miRNA</w:t>
      </w:r>
      <w:r>
        <w:rPr>
          <w:lang w:eastAsia="zh-CN"/>
        </w:rPr>
        <w:t>、</w:t>
      </w:r>
      <w:r>
        <w:rPr>
          <w:lang w:eastAsia="zh-CN"/>
        </w:rPr>
        <w:t xml:space="preserve">miRNA </w:t>
      </w:r>
      <w:r>
        <w:rPr>
          <w:lang w:eastAsia="zh-CN"/>
        </w:rPr>
        <w:t>疾病、</w:t>
      </w:r>
      <w:r>
        <w:rPr>
          <w:lang w:eastAsia="zh-CN"/>
        </w:rPr>
        <w:t xml:space="preserve">piRNA </w:t>
      </w:r>
      <w:r>
        <w:rPr>
          <w:lang w:eastAsia="zh-CN"/>
        </w:rPr>
        <w:t>和编码潜力预测上占有较大比重。虽然对象不同，方法仍围绕稀疏关系、类别不平衡和多源相似性展开。近年的</w:t>
      </w:r>
      <w:r>
        <w:rPr>
          <w:lang w:eastAsia="zh-CN"/>
        </w:rPr>
        <w:t xml:space="preserve"> cfDNA </w:t>
      </w:r>
      <w:r>
        <w:rPr>
          <w:lang w:eastAsia="zh-CN"/>
        </w:rPr>
        <w:t>片段组学、染色质可及性和癌症基因识别，使输入从网络拓扑进一步扩展到序列和表观遗传特征。这条主线说明研究团队的图学习方法并非只服务于药物网络，而是可以迁移到基因组调控问题。</w:t>
      </w:r>
    </w:p>
    <w:p w14:paraId="6EBF2C9E" w14:textId="77777777" w:rsidR="00FE5BA1" w:rsidRDefault="00000000">
      <w:pPr>
        <w:pStyle w:val="21"/>
        <w:rPr>
          <w:lang w:eastAsia="zh-CN"/>
        </w:rPr>
      </w:pPr>
      <w:r>
        <w:rPr>
          <w:rFonts w:ascii="微软雅黑" w:eastAsia="微软雅黑" w:hAnsi="微软雅黑"/>
          <w:lang w:eastAsia="zh-CN"/>
        </w:rPr>
        <w:t xml:space="preserve">4.4 蛋白质 </w:t>
      </w:r>
      <w:proofErr w:type="gramStart"/>
      <w:r>
        <w:rPr>
          <w:rFonts w:ascii="微软雅黑" w:eastAsia="微软雅黑" w:hAnsi="微软雅黑"/>
          <w:lang w:eastAsia="zh-CN"/>
        </w:rPr>
        <w:t>肽与抗体</w:t>
      </w:r>
      <w:proofErr w:type="gramEnd"/>
      <w:r>
        <w:rPr>
          <w:rFonts w:ascii="微软雅黑" w:eastAsia="微软雅黑" w:hAnsi="微软雅黑"/>
          <w:lang w:eastAsia="zh-CN"/>
        </w:rPr>
        <w:t>设计</w:t>
      </w:r>
    </w:p>
    <w:p w14:paraId="371FA3D5" w14:textId="77777777" w:rsidR="00FE5BA1" w:rsidRDefault="00000000">
      <w:pPr>
        <w:rPr>
          <w:lang w:eastAsia="zh-CN"/>
        </w:rPr>
      </w:pPr>
      <w:r>
        <w:rPr>
          <w:lang w:eastAsia="zh-CN"/>
        </w:rPr>
        <w:t>蛋白质功能位点、翻译后修饰、抗原抗体界面、天然产物靶点和治疗性肽构成近年的增长方向。与早期关系预测相比，这些任务更依赖局部三维几何、序列语义和</w:t>
      </w:r>
      <w:proofErr w:type="gramStart"/>
      <w:r>
        <w:rPr>
          <w:lang w:eastAsia="zh-CN"/>
        </w:rPr>
        <w:t>可</w:t>
      </w:r>
      <w:proofErr w:type="gramEnd"/>
      <w:r>
        <w:rPr>
          <w:lang w:eastAsia="zh-CN"/>
        </w:rPr>
        <w:t>生成性约束。生成模型可以扩大候选空间，但计算指标只能说明模型学会了训练分布中的统计规律。候选分子的可合成性、稳定性、毒性、选择性和活性仍需体外和体内实验确认。</w:t>
      </w:r>
    </w:p>
    <w:p w14:paraId="53DCF4B9" w14:textId="77777777" w:rsidR="00FE5BA1" w:rsidRDefault="00000000">
      <w:pPr>
        <w:pStyle w:val="1"/>
        <w:rPr>
          <w:lang w:eastAsia="zh-CN"/>
        </w:rPr>
      </w:pPr>
      <w:r>
        <w:rPr>
          <w:rFonts w:ascii="微软雅黑" w:eastAsia="微软雅黑" w:hAnsi="微软雅黑"/>
          <w:lang w:eastAsia="zh-CN"/>
        </w:rPr>
        <w:lastRenderedPageBreak/>
        <w:t>5 代表性论文的证据链比较</w:t>
      </w:r>
    </w:p>
    <w:p w14:paraId="5EA54EF2" w14:textId="77777777" w:rsidR="00FE5BA1" w:rsidRDefault="00000000">
      <w:pPr>
        <w:rPr>
          <w:lang w:eastAsia="zh-CN"/>
        </w:rPr>
      </w:pPr>
      <w:r>
        <w:rPr>
          <w:lang w:eastAsia="zh-CN"/>
        </w:rPr>
        <w:t>表</w:t>
      </w:r>
      <w:r>
        <w:rPr>
          <w:lang w:eastAsia="zh-CN"/>
        </w:rPr>
        <w:t xml:space="preserve"> 2 </w:t>
      </w:r>
      <w:r>
        <w:rPr>
          <w:lang w:eastAsia="zh-CN"/>
        </w:rPr>
        <w:t>将代表性论文放在同一证据框架中比较。重点不是列出最高分，而是判断研究问题、数据和评价是否共同支持论文结论。</w:t>
      </w:r>
    </w:p>
    <w:p w14:paraId="06D28FC8" w14:textId="77777777" w:rsidR="00FE5BA1" w:rsidRDefault="00000000">
      <w:pPr>
        <w:spacing w:before="80"/>
        <w:ind w:firstLine="0"/>
        <w:jc w:val="center"/>
        <w:rPr>
          <w:lang w:eastAsia="zh-CN"/>
        </w:rPr>
      </w:pPr>
      <w:r>
        <w:rPr>
          <w:rFonts w:eastAsia="黑体"/>
          <w:b/>
          <w:sz w:val="19"/>
          <w:lang w:eastAsia="zh-CN"/>
        </w:rPr>
        <w:t>表</w:t>
      </w:r>
      <w:r>
        <w:rPr>
          <w:rFonts w:eastAsia="黑体"/>
          <w:b/>
          <w:sz w:val="19"/>
          <w:lang w:eastAsia="zh-CN"/>
        </w:rPr>
        <w:t xml:space="preserve"> 2 </w:t>
      </w:r>
      <w:r>
        <w:rPr>
          <w:rFonts w:eastAsia="黑体"/>
          <w:b/>
          <w:sz w:val="19"/>
          <w:lang w:eastAsia="zh-CN"/>
        </w:rPr>
        <w:t>代表性论文的数据</w:t>
      </w:r>
      <w:r>
        <w:rPr>
          <w:rFonts w:eastAsia="黑体"/>
          <w:b/>
          <w:sz w:val="19"/>
          <w:lang w:eastAsia="zh-CN"/>
        </w:rPr>
        <w:t xml:space="preserve"> </w:t>
      </w:r>
      <w:r>
        <w:rPr>
          <w:rFonts w:eastAsia="黑体"/>
          <w:b/>
          <w:sz w:val="19"/>
          <w:lang w:eastAsia="zh-CN"/>
        </w:rPr>
        <w:t>方法</w:t>
      </w:r>
      <w:r>
        <w:rPr>
          <w:rFonts w:eastAsia="黑体"/>
          <w:b/>
          <w:sz w:val="19"/>
          <w:lang w:eastAsia="zh-CN"/>
        </w:rPr>
        <w:t xml:space="preserve"> </w:t>
      </w:r>
      <w:r>
        <w:rPr>
          <w:rFonts w:eastAsia="黑体"/>
          <w:b/>
          <w:sz w:val="19"/>
          <w:lang w:eastAsia="zh-CN"/>
        </w:rPr>
        <w:t>结果与证据边界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8"/>
        <w:gridCol w:w="2059"/>
        <w:gridCol w:w="1987"/>
        <w:gridCol w:w="1987"/>
        <w:gridCol w:w="2059"/>
      </w:tblGrid>
      <w:tr w:rsidR="00FE5BA1" w14:paraId="1402DFDD" w14:textId="77777777">
        <w:trPr>
          <w:tblHeader/>
          <w:jc w:val="center"/>
        </w:trPr>
        <w:tc>
          <w:tcPr>
            <w:tcW w:w="1238" w:type="dxa"/>
            <w:shd w:val="clear" w:color="auto" w:fill="1F4E79"/>
            <w:tcMar>
              <w:top w:w="80" w:type="dxa"/>
              <w:left w:w="90" w:type="dxa"/>
              <w:bottom w:w="80" w:type="dxa"/>
              <w:right w:w="90" w:type="dxa"/>
            </w:tcMar>
            <w:vAlign w:val="center"/>
          </w:tcPr>
          <w:p w14:paraId="56E2946B" w14:textId="77777777" w:rsidR="00FE5BA1" w:rsidRDefault="00000000">
            <w:pPr>
              <w:spacing w:after="0"/>
              <w:ind w:firstLine="0"/>
              <w:jc w:val="center"/>
            </w:pPr>
            <w:r>
              <w:rPr>
                <w:rFonts w:eastAsia="微软雅黑"/>
                <w:b/>
                <w:color w:val="FFFFFF"/>
                <w:sz w:val="16"/>
              </w:rPr>
              <w:t>研究</w:t>
            </w:r>
          </w:p>
        </w:tc>
        <w:tc>
          <w:tcPr>
            <w:tcW w:w="2059" w:type="dxa"/>
            <w:shd w:val="clear" w:color="auto" w:fill="1F4E79"/>
            <w:tcMar>
              <w:top w:w="80" w:type="dxa"/>
              <w:left w:w="90" w:type="dxa"/>
              <w:bottom w:w="80" w:type="dxa"/>
              <w:right w:w="90" w:type="dxa"/>
            </w:tcMar>
            <w:vAlign w:val="center"/>
          </w:tcPr>
          <w:p w14:paraId="4D649F84" w14:textId="77777777" w:rsidR="00FE5BA1" w:rsidRDefault="00000000">
            <w:pPr>
              <w:spacing w:after="0"/>
              <w:ind w:firstLine="0"/>
              <w:jc w:val="center"/>
            </w:pPr>
            <w:r>
              <w:rPr>
                <w:rFonts w:eastAsia="微软雅黑"/>
                <w:b/>
                <w:color w:val="FFFFFF"/>
                <w:sz w:val="16"/>
              </w:rPr>
              <w:t>数据与任务</w:t>
            </w:r>
          </w:p>
        </w:tc>
        <w:tc>
          <w:tcPr>
            <w:tcW w:w="1987" w:type="dxa"/>
            <w:shd w:val="clear" w:color="auto" w:fill="1F4E79"/>
            <w:tcMar>
              <w:top w:w="80" w:type="dxa"/>
              <w:left w:w="90" w:type="dxa"/>
              <w:bottom w:w="80" w:type="dxa"/>
              <w:right w:w="90" w:type="dxa"/>
            </w:tcMar>
            <w:vAlign w:val="center"/>
          </w:tcPr>
          <w:p w14:paraId="28487235" w14:textId="77777777" w:rsidR="00FE5BA1" w:rsidRDefault="00000000">
            <w:pPr>
              <w:spacing w:after="0"/>
              <w:ind w:firstLine="0"/>
              <w:jc w:val="center"/>
            </w:pPr>
            <w:r>
              <w:rPr>
                <w:rFonts w:eastAsia="微软雅黑"/>
                <w:b/>
                <w:color w:val="FFFFFF"/>
                <w:sz w:val="16"/>
              </w:rPr>
              <w:t>方法</w:t>
            </w:r>
          </w:p>
        </w:tc>
        <w:tc>
          <w:tcPr>
            <w:tcW w:w="1987" w:type="dxa"/>
            <w:shd w:val="clear" w:color="auto" w:fill="1F4E79"/>
            <w:tcMar>
              <w:top w:w="80" w:type="dxa"/>
              <w:left w:w="90" w:type="dxa"/>
              <w:bottom w:w="80" w:type="dxa"/>
              <w:right w:w="90" w:type="dxa"/>
            </w:tcMar>
            <w:vAlign w:val="center"/>
          </w:tcPr>
          <w:p w14:paraId="7E521A44" w14:textId="77777777" w:rsidR="00FE5BA1" w:rsidRDefault="00000000">
            <w:pPr>
              <w:spacing w:after="0"/>
              <w:ind w:firstLine="0"/>
              <w:jc w:val="center"/>
            </w:pPr>
            <w:r>
              <w:rPr>
                <w:rFonts w:eastAsia="微软雅黑"/>
                <w:b/>
                <w:color w:val="FFFFFF"/>
                <w:sz w:val="16"/>
              </w:rPr>
              <w:t>主要结果</w:t>
            </w:r>
          </w:p>
        </w:tc>
        <w:tc>
          <w:tcPr>
            <w:tcW w:w="2059" w:type="dxa"/>
            <w:shd w:val="clear" w:color="auto" w:fill="1F4E79"/>
            <w:tcMar>
              <w:top w:w="80" w:type="dxa"/>
              <w:left w:w="90" w:type="dxa"/>
              <w:bottom w:w="80" w:type="dxa"/>
              <w:right w:w="90" w:type="dxa"/>
            </w:tcMar>
            <w:vAlign w:val="center"/>
          </w:tcPr>
          <w:p w14:paraId="2EC699B1" w14:textId="77777777" w:rsidR="00FE5BA1" w:rsidRDefault="00000000">
            <w:pPr>
              <w:spacing w:after="0"/>
              <w:ind w:firstLine="0"/>
              <w:jc w:val="center"/>
            </w:pPr>
            <w:r>
              <w:rPr>
                <w:rFonts w:eastAsia="微软雅黑"/>
                <w:b/>
                <w:color w:val="FFFFFF"/>
                <w:sz w:val="16"/>
              </w:rPr>
              <w:t>证据边界</w:t>
            </w:r>
          </w:p>
        </w:tc>
      </w:tr>
      <w:tr w:rsidR="00FE5BA1" w14:paraId="07F90CE6" w14:textId="77777777">
        <w:trPr>
          <w:jc w:val="center"/>
        </w:trPr>
        <w:tc>
          <w:tcPr>
            <w:tcW w:w="1238" w:type="dxa"/>
            <w:tcMar>
              <w:top w:w="80" w:type="dxa"/>
              <w:left w:w="90" w:type="dxa"/>
              <w:bottom w:w="80" w:type="dxa"/>
              <w:right w:w="90" w:type="dxa"/>
            </w:tcMar>
            <w:vAlign w:val="center"/>
          </w:tcPr>
          <w:p w14:paraId="4D52DC7A" w14:textId="77777777" w:rsidR="00FE5BA1" w:rsidRDefault="00000000">
            <w:pPr>
              <w:spacing w:after="0" w:line="269" w:lineRule="auto"/>
              <w:ind w:firstLine="0"/>
              <w:jc w:val="center"/>
            </w:pPr>
            <w:r>
              <w:rPr>
                <w:sz w:val="16"/>
              </w:rPr>
              <w:t xml:space="preserve">2017 </w:t>
            </w:r>
            <w:r>
              <w:rPr>
                <w:sz w:val="16"/>
              </w:rPr>
              <w:t>多源</w:t>
            </w:r>
            <w:r>
              <w:rPr>
                <w:sz w:val="16"/>
              </w:rPr>
              <w:t xml:space="preserve"> DDI[2]</w:t>
            </w:r>
          </w:p>
        </w:tc>
        <w:tc>
          <w:tcPr>
            <w:tcW w:w="2059" w:type="dxa"/>
            <w:tcMar>
              <w:top w:w="80" w:type="dxa"/>
              <w:left w:w="90" w:type="dxa"/>
              <w:bottom w:w="80" w:type="dxa"/>
              <w:right w:w="90" w:type="dxa"/>
            </w:tcMar>
            <w:vAlign w:val="center"/>
          </w:tcPr>
          <w:p w14:paraId="7EE12130" w14:textId="77777777" w:rsidR="00FE5BA1" w:rsidRDefault="00000000">
            <w:pPr>
              <w:spacing w:after="0" w:line="269" w:lineRule="auto"/>
              <w:ind w:firstLine="0"/>
              <w:jc w:val="left"/>
              <w:rPr>
                <w:lang w:eastAsia="zh-CN"/>
              </w:rPr>
            </w:pPr>
            <w:r>
              <w:rPr>
                <w:sz w:val="16"/>
                <w:lang w:eastAsia="zh-CN"/>
              </w:rPr>
              <w:t>多类药物特征和已知</w:t>
            </w:r>
            <w:r>
              <w:rPr>
                <w:sz w:val="16"/>
                <w:lang w:eastAsia="zh-CN"/>
              </w:rPr>
              <w:t xml:space="preserve"> DDI</w:t>
            </w:r>
          </w:p>
        </w:tc>
        <w:tc>
          <w:tcPr>
            <w:tcW w:w="1987" w:type="dxa"/>
            <w:tcMar>
              <w:top w:w="80" w:type="dxa"/>
              <w:left w:w="90" w:type="dxa"/>
              <w:bottom w:w="80" w:type="dxa"/>
              <w:right w:w="90" w:type="dxa"/>
            </w:tcMar>
            <w:vAlign w:val="center"/>
          </w:tcPr>
          <w:p w14:paraId="1DC32BB8" w14:textId="77777777" w:rsidR="00FE5BA1" w:rsidRDefault="00000000">
            <w:pPr>
              <w:spacing w:after="0" w:line="269" w:lineRule="auto"/>
              <w:ind w:firstLine="0"/>
              <w:jc w:val="left"/>
              <w:rPr>
                <w:lang w:eastAsia="zh-CN"/>
              </w:rPr>
            </w:pPr>
            <w:r>
              <w:rPr>
                <w:sz w:val="16"/>
                <w:lang w:eastAsia="zh-CN"/>
              </w:rPr>
              <w:t>邻域</w:t>
            </w:r>
            <w:r>
              <w:rPr>
                <w:sz w:val="16"/>
                <w:lang w:eastAsia="zh-CN"/>
              </w:rPr>
              <w:t xml:space="preserve"> </w:t>
            </w:r>
            <w:r>
              <w:rPr>
                <w:sz w:val="16"/>
                <w:lang w:eastAsia="zh-CN"/>
              </w:rPr>
              <w:t>随机游走</w:t>
            </w:r>
            <w:r>
              <w:rPr>
                <w:sz w:val="16"/>
                <w:lang w:eastAsia="zh-CN"/>
              </w:rPr>
              <w:t xml:space="preserve"> </w:t>
            </w:r>
            <w:r>
              <w:rPr>
                <w:sz w:val="16"/>
                <w:lang w:eastAsia="zh-CN"/>
              </w:rPr>
              <w:t>矩阵扰动与集成</w:t>
            </w:r>
          </w:p>
        </w:tc>
        <w:tc>
          <w:tcPr>
            <w:tcW w:w="1987" w:type="dxa"/>
            <w:tcMar>
              <w:top w:w="80" w:type="dxa"/>
              <w:left w:w="90" w:type="dxa"/>
              <w:bottom w:w="80" w:type="dxa"/>
              <w:right w:w="90" w:type="dxa"/>
            </w:tcMar>
            <w:vAlign w:val="center"/>
          </w:tcPr>
          <w:p w14:paraId="6371004B" w14:textId="77777777" w:rsidR="00FE5BA1" w:rsidRDefault="00000000">
            <w:pPr>
              <w:spacing w:after="0" w:line="269" w:lineRule="auto"/>
              <w:ind w:firstLine="0"/>
              <w:jc w:val="left"/>
              <w:rPr>
                <w:lang w:eastAsia="zh-CN"/>
              </w:rPr>
            </w:pPr>
            <w:r>
              <w:rPr>
                <w:sz w:val="16"/>
                <w:lang w:eastAsia="zh-CN"/>
              </w:rPr>
              <w:t>集成优于单模型</w:t>
            </w:r>
            <w:r>
              <w:rPr>
                <w:sz w:val="16"/>
                <w:lang w:eastAsia="zh-CN"/>
              </w:rPr>
              <w:t xml:space="preserve"> </w:t>
            </w:r>
            <w:r>
              <w:rPr>
                <w:sz w:val="16"/>
                <w:lang w:eastAsia="zh-CN"/>
              </w:rPr>
              <w:t>已知</w:t>
            </w:r>
            <w:r>
              <w:rPr>
                <w:sz w:val="16"/>
                <w:lang w:eastAsia="zh-CN"/>
              </w:rPr>
              <w:t xml:space="preserve"> DDI </w:t>
            </w:r>
            <w:r>
              <w:rPr>
                <w:sz w:val="16"/>
                <w:lang w:eastAsia="zh-CN"/>
              </w:rPr>
              <w:t>网络信息量高</w:t>
            </w:r>
          </w:p>
        </w:tc>
        <w:tc>
          <w:tcPr>
            <w:tcW w:w="2059" w:type="dxa"/>
            <w:tcMar>
              <w:top w:w="80" w:type="dxa"/>
              <w:left w:w="90" w:type="dxa"/>
              <w:bottom w:w="80" w:type="dxa"/>
              <w:right w:w="90" w:type="dxa"/>
            </w:tcMar>
            <w:vAlign w:val="center"/>
          </w:tcPr>
          <w:p w14:paraId="01251DE8" w14:textId="77777777" w:rsidR="00FE5BA1" w:rsidRDefault="00000000">
            <w:pPr>
              <w:spacing w:after="0" w:line="269" w:lineRule="auto"/>
              <w:ind w:firstLine="0"/>
              <w:jc w:val="left"/>
              <w:rPr>
                <w:lang w:eastAsia="zh-CN"/>
              </w:rPr>
            </w:pPr>
            <w:r>
              <w:rPr>
                <w:sz w:val="16"/>
                <w:lang w:eastAsia="zh-CN"/>
              </w:rPr>
              <w:t>未直接检验新药冷启动</w:t>
            </w:r>
          </w:p>
        </w:tc>
      </w:tr>
      <w:tr w:rsidR="00FE5BA1" w14:paraId="6210EFA8" w14:textId="77777777">
        <w:trPr>
          <w:jc w:val="center"/>
        </w:trPr>
        <w:tc>
          <w:tcPr>
            <w:tcW w:w="1238" w:type="dxa"/>
            <w:shd w:val="clear" w:color="auto" w:fill="EAF2F8"/>
            <w:tcMar>
              <w:top w:w="80" w:type="dxa"/>
              <w:left w:w="90" w:type="dxa"/>
              <w:bottom w:w="80" w:type="dxa"/>
              <w:right w:w="90" w:type="dxa"/>
            </w:tcMar>
            <w:vAlign w:val="center"/>
          </w:tcPr>
          <w:p w14:paraId="78708F32" w14:textId="77777777" w:rsidR="00FE5BA1" w:rsidRDefault="00000000">
            <w:pPr>
              <w:spacing w:after="0" w:line="269" w:lineRule="auto"/>
              <w:ind w:firstLine="0"/>
              <w:jc w:val="center"/>
            </w:pPr>
            <w:r>
              <w:rPr>
                <w:sz w:val="16"/>
              </w:rPr>
              <w:t xml:space="preserve">2018 </w:t>
            </w:r>
            <w:proofErr w:type="gramStart"/>
            <w:r>
              <w:rPr>
                <w:sz w:val="16"/>
              </w:rPr>
              <w:t>SCMFDD[</w:t>
            </w:r>
            <w:proofErr w:type="gramEnd"/>
            <w:r>
              <w:rPr>
                <w:sz w:val="16"/>
              </w:rPr>
              <w:t>3]</w:t>
            </w:r>
          </w:p>
        </w:tc>
        <w:tc>
          <w:tcPr>
            <w:tcW w:w="2059" w:type="dxa"/>
            <w:shd w:val="clear" w:color="auto" w:fill="EAF2F8"/>
            <w:tcMar>
              <w:top w:w="80" w:type="dxa"/>
              <w:left w:w="90" w:type="dxa"/>
              <w:bottom w:w="80" w:type="dxa"/>
              <w:right w:w="90" w:type="dxa"/>
            </w:tcMar>
            <w:vAlign w:val="center"/>
          </w:tcPr>
          <w:p w14:paraId="11326CFC" w14:textId="77777777" w:rsidR="00FE5BA1" w:rsidRDefault="00000000">
            <w:pPr>
              <w:spacing w:after="0" w:line="269" w:lineRule="auto"/>
              <w:ind w:firstLine="0"/>
              <w:jc w:val="left"/>
              <w:rPr>
                <w:lang w:eastAsia="zh-CN"/>
              </w:rPr>
            </w:pPr>
            <w:r>
              <w:rPr>
                <w:sz w:val="16"/>
                <w:lang w:eastAsia="zh-CN"/>
              </w:rPr>
              <w:t xml:space="preserve">CTD </w:t>
            </w:r>
            <w:r>
              <w:rPr>
                <w:sz w:val="16"/>
                <w:lang w:eastAsia="zh-CN"/>
              </w:rPr>
              <w:t>关联和药物疾病相似性</w:t>
            </w:r>
          </w:p>
        </w:tc>
        <w:tc>
          <w:tcPr>
            <w:tcW w:w="1987" w:type="dxa"/>
            <w:shd w:val="clear" w:color="auto" w:fill="EAF2F8"/>
            <w:tcMar>
              <w:top w:w="80" w:type="dxa"/>
              <w:left w:w="90" w:type="dxa"/>
              <w:bottom w:w="80" w:type="dxa"/>
              <w:right w:w="90" w:type="dxa"/>
            </w:tcMar>
            <w:vAlign w:val="center"/>
          </w:tcPr>
          <w:p w14:paraId="568BCC7F" w14:textId="77777777" w:rsidR="00FE5BA1" w:rsidRDefault="00000000">
            <w:pPr>
              <w:spacing w:after="0" w:line="269" w:lineRule="auto"/>
              <w:ind w:firstLine="0"/>
              <w:jc w:val="left"/>
            </w:pPr>
            <w:r>
              <w:rPr>
                <w:sz w:val="16"/>
              </w:rPr>
              <w:t>相似性约束矩阵分解</w:t>
            </w:r>
          </w:p>
        </w:tc>
        <w:tc>
          <w:tcPr>
            <w:tcW w:w="1987" w:type="dxa"/>
            <w:shd w:val="clear" w:color="auto" w:fill="EAF2F8"/>
            <w:tcMar>
              <w:top w:w="80" w:type="dxa"/>
              <w:left w:w="90" w:type="dxa"/>
              <w:bottom w:w="80" w:type="dxa"/>
              <w:right w:w="90" w:type="dxa"/>
            </w:tcMar>
            <w:vAlign w:val="center"/>
          </w:tcPr>
          <w:p w14:paraId="4C3112E1" w14:textId="77777777" w:rsidR="00FE5BA1" w:rsidRDefault="00000000">
            <w:pPr>
              <w:spacing w:after="0" w:line="269" w:lineRule="auto"/>
              <w:ind w:firstLine="0"/>
              <w:jc w:val="left"/>
              <w:rPr>
                <w:lang w:eastAsia="zh-CN"/>
              </w:rPr>
            </w:pPr>
            <w:r>
              <w:rPr>
                <w:sz w:val="16"/>
                <w:lang w:eastAsia="zh-CN"/>
              </w:rPr>
              <w:t>五折和独立测试优于基线</w:t>
            </w:r>
          </w:p>
        </w:tc>
        <w:tc>
          <w:tcPr>
            <w:tcW w:w="2059" w:type="dxa"/>
            <w:shd w:val="clear" w:color="auto" w:fill="EAF2F8"/>
            <w:tcMar>
              <w:top w:w="80" w:type="dxa"/>
              <w:left w:w="90" w:type="dxa"/>
              <w:bottom w:w="80" w:type="dxa"/>
              <w:right w:w="90" w:type="dxa"/>
            </w:tcMar>
            <w:vAlign w:val="center"/>
          </w:tcPr>
          <w:p w14:paraId="11AE2D6A" w14:textId="77777777" w:rsidR="00FE5BA1" w:rsidRDefault="00000000">
            <w:pPr>
              <w:spacing w:after="0" w:line="269" w:lineRule="auto"/>
              <w:ind w:firstLine="0"/>
              <w:jc w:val="left"/>
              <w:rPr>
                <w:lang w:eastAsia="zh-CN"/>
              </w:rPr>
            </w:pPr>
            <w:r>
              <w:rPr>
                <w:sz w:val="16"/>
                <w:lang w:eastAsia="zh-CN"/>
              </w:rPr>
              <w:t>病例命中不是新实验验证</w:t>
            </w:r>
          </w:p>
        </w:tc>
      </w:tr>
      <w:tr w:rsidR="00FE5BA1" w14:paraId="3C944A23" w14:textId="77777777">
        <w:trPr>
          <w:jc w:val="center"/>
        </w:trPr>
        <w:tc>
          <w:tcPr>
            <w:tcW w:w="1238" w:type="dxa"/>
            <w:tcMar>
              <w:top w:w="80" w:type="dxa"/>
              <w:left w:w="90" w:type="dxa"/>
              <w:bottom w:w="80" w:type="dxa"/>
              <w:right w:w="90" w:type="dxa"/>
            </w:tcMar>
            <w:vAlign w:val="center"/>
          </w:tcPr>
          <w:p w14:paraId="3EC6EA0E" w14:textId="77777777" w:rsidR="00FE5BA1" w:rsidRDefault="00000000">
            <w:pPr>
              <w:spacing w:after="0" w:line="269" w:lineRule="auto"/>
              <w:ind w:firstLine="0"/>
              <w:jc w:val="center"/>
            </w:pPr>
            <w:r>
              <w:rPr>
                <w:sz w:val="16"/>
              </w:rPr>
              <w:t xml:space="preserve">2020 </w:t>
            </w:r>
            <w:proofErr w:type="gramStart"/>
            <w:r>
              <w:rPr>
                <w:sz w:val="16"/>
              </w:rPr>
              <w:t>DDIMDL[</w:t>
            </w:r>
            <w:proofErr w:type="gramEnd"/>
            <w:r>
              <w:rPr>
                <w:sz w:val="16"/>
              </w:rPr>
              <w:t>5]</w:t>
            </w:r>
          </w:p>
        </w:tc>
        <w:tc>
          <w:tcPr>
            <w:tcW w:w="2059" w:type="dxa"/>
            <w:tcMar>
              <w:top w:w="80" w:type="dxa"/>
              <w:left w:w="90" w:type="dxa"/>
              <w:bottom w:w="80" w:type="dxa"/>
              <w:right w:w="90" w:type="dxa"/>
            </w:tcMar>
            <w:vAlign w:val="center"/>
          </w:tcPr>
          <w:p w14:paraId="700DF5BF" w14:textId="77777777" w:rsidR="00FE5BA1" w:rsidRDefault="00000000">
            <w:pPr>
              <w:spacing w:after="0" w:line="269" w:lineRule="auto"/>
              <w:ind w:firstLine="0"/>
              <w:jc w:val="left"/>
            </w:pPr>
            <w:r>
              <w:rPr>
                <w:sz w:val="16"/>
              </w:rPr>
              <w:t xml:space="preserve">DrugBank 65 </w:t>
            </w:r>
            <w:r>
              <w:rPr>
                <w:sz w:val="16"/>
              </w:rPr>
              <w:t>类</w:t>
            </w:r>
            <w:r>
              <w:rPr>
                <w:sz w:val="16"/>
              </w:rPr>
              <w:t xml:space="preserve"> DDI </w:t>
            </w:r>
            <w:r>
              <w:rPr>
                <w:sz w:val="16"/>
              </w:rPr>
              <w:t>事件</w:t>
            </w:r>
          </w:p>
        </w:tc>
        <w:tc>
          <w:tcPr>
            <w:tcW w:w="1987" w:type="dxa"/>
            <w:tcMar>
              <w:top w:w="80" w:type="dxa"/>
              <w:left w:w="90" w:type="dxa"/>
              <w:bottom w:w="80" w:type="dxa"/>
              <w:right w:w="90" w:type="dxa"/>
            </w:tcMar>
            <w:vAlign w:val="center"/>
          </w:tcPr>
          <w:p w14:paraId="62999858" w14:textId="77777777" w:rsidR="00FE5BA1" w:rsidRDefault="00000000">
            <w:pPr>
              <w:spacing w:after="0" w:line="269" w:lineRule="auto"/>
              <w:ind w:firstLine="0"/>
              <w:jc w:val="left"/>
            </w:pPr>
            <w:r>
              <w:rPr>
                <w:sz w:val="16"/>
              </w:rPr>
              <w:t>四模态深度融合</w:t>
            </w:r>
          </w:p>
        </w:tc>
        <w:tc>
          <w:tcPr>
            <w:tcW w:w="1987" w:type="dxa"/>
            <w:tcMar>
              <w:top w:w="80" w:type="dxa"/>
              <w:left w:w="90" w:type="dxa"/>
              <w:bottom w:w="80" w:type="dxa"/>
              <w:right w:w="90" w:type="dxa"/>
            </w:tcMar>
            <w:vAlign w:val="center"/>
          </w:tcPr>
          <w:p w14:paraId="397660D4" w14:textId="77777777" w:rsidR="00FE5BA1" w:rsidRDefault="00000000">
            <w:pPr>
              <w:spacing w:after="0" w:line="269" w:lineRule="auto"/>
              <w:ind w:firstLine="0"/>
              <w:jc w:val="left"/>
            </w:pPr>
            <w:r>
              <w:rPr>
                <w:sz w:val="16"/>
              </w:rPr>
              <w:t>准确率</w:t>
            </w:r>
            <w:r>
              <w:rPr>
                <w:sz w:val="16"/>
              </w:rPr>
              <w:t xml:space="preserve"> 0.8852 AUPR 0.9208</w:t>
            </w:r>
          </w:p>
        </w:tc>
        <w:tc>
          <w:tcPr>
            <w:tcW w:w="2059" w:type="dxa"/>
            <w:tcMar>
              <w:top w:w="80" w:type="dxa"/>
              <w:left w:w="90" w:type="dxa"/>
              <w:bottom w:w="80" w:type="dxa"/>
              <w:right w:w="90" w:type="dxa"/>
            </w:tcMar>
            <w:vAlign w:val="center"/>
          </w:tcPr>
          <w:p w14:paraId="0D6D7E55" w14:textId="77777777" w:rsidR="00FE5BA1" w:rsidRDefault="00000000">
            <w:pPr>
              <w:spacing w:after="0" w:line="269" w:lineRule="auto"/>
              <w:ind w:firstLine="0"/>
              <w:jc w:val="left"/>
              <w:rPr>
                <w:lang w:eastAsia="zh-CN"/>
              </w:rPr>
            </w:pPr>
            <w:r>
              <w:rPr>
                <w:sz w:val="16"/>
                <w:lang w:eastAsia="zh-CN"/>
              </w:rPr>
              <w:t>类别和数据版本影响可比性</w:t>
            </w:r>
          </w:p>
        </w:tc>
      </w:tr>
      <w:tr w:rsidR="00FE5BA1" w14:paraId="31236FE9" w14:textId="77777777">
        <w:trPr>
          <w:jc w:val="center"/>
        </w:trPr>
        <w:tc>
          <w:tcPr>
            <w:tcW w:w="1238" w:type="dxa"/>
            <w:shd w:val="clear" w:color="auto" w:fill="EAF2F8"/>
            <w:tcMar>
              <w:top w:w="80" w:type="dxa"/>
              <w:left w:w="90" w:type="dxa"/>
              <w:bottom w:w="80" w:type="dxa"/>
              <w:right w:w="90" w:type="dxa"/>
            </w:tcMar>
            <w:vAlign w:val="center"/>
          </w:tcPr>
          <w:p w14:paraId="1FECF097" w14:textId="77777777" w:rsidR="00FE5BA1" w:rsidRDefault="00000000">
            <w:pPr>
              <w:spacing w:after="0" w:line="269" w:lineRule="auto"/>
              <w:ind w:firstLine="0"/>
              <w:jc w:val="center"/>
            </w:pPr>
            <w:r>
              <w:rPr>
                <w:sz w:val="16"/>
              </w:rPr>
              <w:t xml:space="preserve">2020 </w:t>
            </w:r>
            <w:proofErr w:type="gramStart"/>
            <w:r>
              <w:rPr>
                <w:sz w:val="16"/>
              </w:rPr>
              <w:t>BioNEV[</w:t>
            </w:r>
            <w:proofErr w:type="gramEnd"/>
            <w:r>
              <w:rPr>
                <w:sz w:val="16"/>
              </w:rPr>
              <w:t>4]</w:t>
            </w:r>
          </w:p>
        </w:tc>
        <w:tc>
          <w:tcPr>
            <w:tcW w:w="2059" w:type="dxa"/>
            <w:shd w:val="clear" w:color="auto" w:fill="EAF2F8"/>
            <w:tcMar>
              <w:top w:w="80" w:type="dxa"/>
              <w:left w:w="90" w:type="dxa"/>
              <w:bottom w:w="80" w:type="dxa"/>
              <w:right w:w="90" w:type="dxa"/>
            </w:tcMar>
            <w:vAlign w:val="center"/>
          </w:tcPr>
          <w:p w14:paraId="5FD69C75" w14:textId="77777777" w:rsidR="00FE5BA1" w:rsidRDefault="00000000">
            <w:pPr>
              <w:spacing w:after="0" w:line="269" w:lineRule="auto"/>
              <w:ind w:firstLine="0"/>
              <w:jc w:val="left"/>
            </w:pPr>
            <w:r>
              <w:rPr>
                <w:sz w:val="16"/>
              </w:rPr>
              <w:t xml:space="preserve">7 </w:t>
            </w:r>
            <w:r>
              <w:rPr>
                <w:sz w:val="16"/>
              </w:rPr>
              <w:t>个数据集</w:t>
            </w:r>
            <w:r>
              <w:rPr>
                <w:sz w:val="16"/>
              </w:rPr>
              <w:t xml:space="preserve"> 5 </w:t>
            </w:r>
            <w:r>
              <w:rPr>
                <w:sz w:val="16"/>
              </w:rPr>
              <w:t>类任务</w:t>
            </w:r>
          </w:p>
        </w:tc>
        <w:tc>
          <w:tcPr>
            <w:tcW w:w="1987" w:type="dxa"/>
            <w:shd w:val="clear" w:color="auto" w:fill="EAF2F8"/>
            <w:tcMar>
              <w:top w:w="80" w:type="dxa"/>
              <w:left w:w="90" w:type="dxa"/>
              <w:bottom w:w="80" w:type="dxa"/>
              <w:right w:w="90" w:type="dxa"/>
            </w:tcMar>
            <w:vAlign w:val="center"/>
          </w:tcPr>
          <w:p w14:paraId="473D18E8" w14:textId="77777777" w:rsidR="00FE5BA1" w:rsidRDefault="00000000">
            <w:pPr>
              <w:spacing w:after="0" w:line="269" w:lineRule="auto"/>
              <w:ind w:firstLine="0"/>
              <w:jc w:val="left"/>
            </w:pPr>
            <w:r>
              <w:rPr>
                <w:sz w:val="16"/>
              </w:rPr>
              <w:t xml:space="preserve">11 </w:t>
            </w:r>
            <w:r>
              <w:rPr>
                <w:sz w:val="16"/>
              </w:rPr>
              <w:t>种图嵌入统一比较</w:t>
            </w:r>
          </w:p>
        </w:tc>
        <w:tc>
          <w:tcPr>
            <w:tcW w:w="1987" w:type="dxa"/>
            <w:shd w:val="clear" w:color="auto" w:fill="EAF2F8"/>
            <w:tcMar>
              <w:top w:w="80" w:type="dxa"/>
              <w:left w:w="90" w:type="dxa"/>
              <w:bottom w:w="80" w:type="dxa"/>
              <w:right w:w="90" w:type="dxa"/>
            </w:tcMar>
            <w:vAlign w:val="center"/>
          </w:tcPr>
          <w:p w14:paraId="0DF16569" w14:textId="77777777" w:rsidR="00FE5BA1" w:rsidRDefault="00000000">
            <w:pPr>
              <w:spacing w:after="0" w:line="269" w:lineRule="auto"/>
              <w:ind w:firstLine="0"/>
              <w:jc w:val="left"/>
              <w:rPr>
                <w:lang w:eastAsia="zh-CN"/>
              </w:rPr>
            </w:pPr>
            <w:r>
              <w:rPr>
                <w:sz w:val="16"/>
                <w:lang w:eastAsia="zh-CN"/>
              </w:rPr>
              <w:t>无生物特征也具竞争力</w:t>
            </w:r>
          </w:p>
        </w:tc>
        <w:tc>
          <w:tcPr>
            <w:tcW w:w="2059" w:type="dxa"/>
            <w:shd w:val="clear" w:color="auto" w:fill="EAF2F8"/>
            <w:tcMar>
              <w:top w:w="80" w:type="dxa"/>
              <w:left w:w="90" w:type="dxa"/>
              <w:bottom w:w="80" w:type="dxa"/>
              <w:right w:w="90" w:type="dxa"/>
            </w:tcMar>
            <w:vAlign w:val="center"/>
          </w:tcPr>
          <w:p w14:paraId="00CC1A8E" w14:textId="77777777" w:rsidR="00FE5BA1" w:rsidRDefault="00000000">
            <w:pPr>
              <w:spacing w:after="0" w:line="269" w:lineRule="auto"/>
              <w:ind w:firstLine="0"/>
              <w:jc w:val="left"/>
              <w:rPr>
                <w:lang w:eastAsia="zh-CN"/>
              </w:rPr>
            </w:pPr>
            <w:r>
              <w:rPr>
                <w:sz w:val="16"/>
                <w:lang w:eastAsia="zh-CN"/>
              </w:rPr>
              <w:t>结论针对选定基准与参数范围</w:t>
            </w:r>
          </w:p>
        </w:tc>
      </w:tr>
      <w:tr w:rsidR="00FE5BA1" w14:paraId="2A617FEC" w14:textId="77777777">
        <w:trPr>
          <w:jc w:val="center"/>
        </w:trPr>
        <w:tc>
          <w:tcPr>
            <w:tcW w:w="1238" w:type="dxa"/>
            <w:tcMar>
              <w:top w:w="80" w:type="dxa"/>
              <w:left w:w="90" w:type="dxa"/>
              <w:bottom w:w="80" w:type="dxa"/>
              <w:right w:w="90" w:type="dxa"/>
            </w:tcMar>
            <w:vAlign w:val="center"/>
          </w:tcPr>
          <w:p w14:paraId="37890B92" w14:textId="77777777" w:rsidR="00FE5BA1" w:rsidRDefault="00000000">
            <w:pPr>
              <w:spacing w:after="0" w:line="269" w:lineRule="auto"/>
              <w:ind w:firstLine="0"/>
              <w:jc w:val="center"/>
            </w:pPr>
            <w:r>
              <w:rPr>
                <w:sz w:val="16"/>
              </w:rPr>
              <w:t xml:space="preserve">2021 </w:t>
            </w:r>
            <w:proofErr w:type="gramStart"/>
            <w:r>
              <w:rPr>
                <w:sz w:val="16"/>
              </w:rPr>
              <w:t>LAGCN[</w:t>
            </w:r>
            <w:proofErr w:type="gramEnd"/>
            <w:r>
              <w:rPr>
                <w:sz w:val="16"/>
              </w:rPr>
              <w:t>6]</w:t>
            </w:r>
          </w:p>
        </w:tc>
        <w:tc>
          <w:tcPr>
            <w:tcW w:w="2059" w:type="dxa"/>
            <w:tcMar>
              <w:top w:w="80" w:type="dxa"/>
              <w:left w:w="90" w:type="dxa"/>
              <w:bottom w:w="80" w:type="dxa"/>
              <w:right w:w="90" w:type="dxa"/>
            </w:tcMar>
            <w:vAlign w:val="center"/>
          </w:tcPr>
          <w:p w14:paraId="1F8DC1C9" w14:textId="77777777" w:rsidR="00FE5BA1" w:rsidRDefault="00000000">
            <w:pPr>
              <w:spacing w:after="0" w:line="269" w:lineRule="auto"/>
              <w:ind w:firstLine="0"/>
              <w:jc w:val="left"/>
            </w:pPr>
            <w:r>
              <w:rPr>
                <w:sz w:val="16"/>
              </w:rPr>
              <w:t>药物疾病异质网络</w:t>
            </w:r>
          </w:p>
        </w:tc>
        <w:tc>
          <w:tcPr>
            <w:tcW w:w="1987" w:type="dxa"/>
            <w:tcMar>
              <w:top w:w="80" w:type="dxa"/>
              <w:left w:w="90" w:type="dxa"/>
              <w:bottom w:w="80" w:type="dxa"/>
              <w:right w:w="90" w:type="dxa"/>
            </w:tcMar>
            <w:vAlign w:val="center"/>
          </w:tcPr>
          <w:p w14:paraId="1C5000CE" w14:textId="77777777" w:rsidR="00FE5BA1" w:rsidRDefault="00000000">
            <w:pPr>
              <w:spacing w:after="0" w:line="269" w:lineRule="auto"/>
              <w:ind w:firstLine="0"/>
              <w:jc w:val="left"/>
              <w:rPr>
                <w:lang w:eastAsia="zh-CN"/>
              </w:rPr>
            </w:pPr>
            <w:r>
              <w:rPr>
                <w:sz w:val="16"/>
                <w:lang w:eastAsia="zh-CN"/>
              </w:rPr>
              <w:t>多层</w:t>
            </w:r>
            <w:r>
              <w:rPr>
                <w:sz w:val="16"/>
                <w:lang w:eastAsia="zh-CN"/>
              </w:rPr>
              <w:t xml:space="preserve"> GCN </w:t>
            </w:r>
            <w:r>
              <w:rPr>
                <w:sz w:val="16"/>
                <w:lang w:eastAsia="zh-CN"/>
              </w:rPr>
              <w:t>与层注意力</w:t>
            </w:r>
          </w:p>
        </w:tc>
        <w:tc>
          <w:tcPr>
            <w:tcW w:w="1987" w:type="dxa"/>
            <w:tcMar>
              <w:top w:w="80" w:type="dxa"/>
              <w:left w:w="90" w:type="dxa"/>
              <w:bottom w:w="80" w:type="dxa"/>
              <w:right w:w="90" w:type="dxa"/>
            </w:tcMar>
            <w:vAlign w:val="center"/>
          </w:tcPr>
          <w:p w14:paraId="443BAEEF" w14:textId="77777777" w:rsidR="00FE5BA1" w:rsidRDefault="00000000">
            <w:pPr>
              <w:spacing w:after="0" w:line="269" w:lineRule="auto"/>
              <w:ind w:firstLine="0"/>
              <w:jc w:val="left"/>
            </w:pPr>
            <w:r>
              <w:rPr>
                <w:sz w:val="16"/>
              </w:rPr>
              <w:t>AUPR 0.3168 AUROC 0.8750</w:t>
            </w:r>
          </w:p>
        </w:tc>
        <w:tc>
          <w:tcPr>
            <w:tcW w:w="2059" w:type="dxa"/>
            <w:tcMar>
              <w:top w:w="80" w:type="dxa"/>
              <w:left w:w="90" w:type="dxa"/>
              <w:bottom w:w="80" w:type="dxa"/>
              <w:right w:w="90" w:type="dxa"/>
            </w:tcMar>
            <w:vAlign w:val="center"/>
          </w:tcPr>
          <w:p w14:paraId="40B2E755" w14:textId="77777777" w:rsidR="00FE5BA1" w:rsidRDefault="00000000">
            <w:pPr>
              <w:spacing w:after="0" w:line="269" w:lineRule="auto"/>
              <w:ind w:firstLine="0"/>
              <w:jc w:val="left"/>
              <w:rPr>
                <w:lang w:eastAsia="zh-CN"/>
              </w:rPr>
            </w:pPr>
            <w:r>
              <w:rPr>
                <w:sz w:val="16"/>
                <w:lang w:eastAsia="zh-CN"/>
              </w:rPr>
              <w:t>随机五折不能代表新实体泛化</w:t>
            </w:r>
          </w:p>
        </w:tc>
      </w:tr>
      <w:tr w:rsidR="00FE5BA1" w14:paraId="06B07FB7" w14:textId="77777777">
        <w:trPr>
          <w:jc w:val="center"/>
        </w:trPr>
        <w:tc>
          <w:tcPr>
            <w:tcW w:w="1238" w:type="dxa"/>
            <w:shd w:val="clear" w:color="auto" w:fill="EAF2F8"/>
            <w:tcMar>
              <w:top w:w="80" w:type="dxa"/>
              <w:left w:w="90" w:type="dxa"/>
              <w:bottom w:w="80" w:type="dxa"/>
              <w:right w:w="90" w:type="dxa"/>
            </w:tcMar>
            <w:vAlign w:val="center"/>
          </w:tcPr>
          <w:p w14:paraId="7975449E" w14:textId="77777777" w:rsidR="00FE5BA1" w:rsidRDefault="00000000">
            <w:pPr>
              <w:spacing w:after="0" w:line="269" w:lineRule="auto"/>
              <w:ind w:firstLine="0"/>
              <w:jc w:val="center"/>
            </w:pPr>
            <w:r>
              <w:rPr>
                <w:sz w:val="16"/>
              </w:rPr>
              <w:t xml:space="preserve">2022 </w:t>
            </w:r>
            <w:proofErr w:type="gramStart"/>
            <w:r>
              <w:rPr>
                <w:sz w:val="16"/>
              </w:rPr>
              <w:t>GraphCDR[</w:t>
            </w:r>
            <w:proofErr w:type="gramEnd"/>
            <w:r>
              <w:rPr>
                <w:sz w:val="16"/>
              </w:rPr>
              <w:t>7]</w:t>
            </w:r>
          </w:p>
        </w:tc>
        <w:tc>
          <w:tcPr>
            <w:tcW w:w="2059" w:type="dxa"/>
            <w:shd w:val="clear" w:color="auto" w:fill="EAF2F8"/>
            <w:tcMar>
              <w:top w:w="80" w:type="dxa"/>
              <w:left w:w="90" w:type="dxa"/>
              <w:bottom w:w="80" w:type="dxa"/>
              <w:right w:w="90" w:type="dxa"/>
            </w:tcMar>
            <w:vAlign w:val="center"/>
          </w:tcPr>
          <w:p w14:paraId="22D650F8" w14:textId="77777777" w:rsidR="00FE5BA1" w:rsidRDefault="00000000">
            <w:pPr>
              <w:spacing w:after="0" w:line="269" w:lineRule="auto"/>
              <w:ind w:firstLine="0"/>
              <w:jc w:val="left"/>
              <w:rPr>
                <w:lang w:eastAsia="zh-CN"/>
              </w:rPr>
            </w:pPr>
            <w:r>
              <w:rPr>
                <w:sz w:val="16"/>
                <w:lang w:eastAsia="zh-CN"/>
              </w:rPr>
              <w:t xml:space="preserve">GDSC </w:t>
            </w:r>
            <w:r>
              <w:rPr>
                <w:sz w:val="16"/>
                <w:lang w:eastAsia="zh-CN"/>
              </w:rPr>
              <w:t>和</w:t>
            </w:r>
            <w:r>
              <w:rPr>
                <w:sz w:val="16"/>
                <w:lang w:eastAsia="zh-CN"/>
              </w:rPr>
              <w:t xml:space="preserve"> CCLE </w:t>
            </w:r>
            <w:r>
              <w:rPr>
                <w:sz w:val="16"/>
                <w:lang w:eastAsia="zh-CN"/>
              </w:rPr>
              <w:t>多组学与药物图</w:t>
            </w:r>
          </w:p>
        </w:tc>
        <w:tc>
          <w:tcPr>
            <w:tcW w:w="1987" w:type="dxa"/>
            <w:shd w:val="clear" w:color="auto" w:fill="EAF2F8"/>
            <w:tcMar>
              <w:top w:w="80" w:type="dxa"/>
              <w:left w:w="90" w:type="dxa"/>
              <w:bottom w:w="80" w:type="dxa"/>
              <w:right w:w="90" w:type="dxa"/>
            </w:tcMar>
            <w:vAlign w:val="center"/>
          </w:tcPr>
          <w:p w14:paraId="12ECFF68" w14:textId="77777777" w:rsidR="00FE5BA1" w:rsidRDefault="00000000">
            <w:pPr>
              <w:spacing w:after="0" w:line="269" w:lineRule="auto"/>
              <w:ind w:firstLine="0"/>
              <w:jc w:val="left"/>
            </w:pPr>
            <w:r>
              <w:rPr>
                <w:sz w:val="16"/>
              </w:rPr>
              <w:t xml:space="preserve">GNN </w:t>
            </w:r>
            <w:r>
              <w:rPr>
                <w:sz w:val="16"/>
              </w:rPr>
              <w:t>与对比学习</w:t>
            </w:r>
          </w:p>
        </w:tc>
        <w:tc>
          <w:tcPr>
            <w:tcW w:w="1987" w:type="dxa"/>
            <w:shd w:val="clear" w:color="auto" w:fill="EAF2F8"/>
            <w:tcMar>
              <w:top w:w="80" w:type="dxa"/>
              <w:left w:w="90" w:type="dxa"/>
              <w:bottom w:w="80" w:type="dxa"/>
              <w:right w:w="90" w:type="dxa"/>
            </w:tcMar>
            <w:vAlign w:val="center"/>
          </w:tcPr>
          <w:p w14:paraId="290EECEF" w14:textId="77777777" w:rsidR="00FE5BA1" w:rsidRDefault="00000000">
            <w:pPr>
              <w:spacing w:after="0" w:line="269" w:lineRule="auto"/>
              <w:ind w:firstLine="0"/>
              <w:jc w:val="left"/>
              <w:rPr>
                <w:lang w:eastAsia="zh-CN"/>
              </w:rPr>
            </w:pPr>
            <w:r>
              <w:rPr>
                <w:sz w:val="16"/>
                <w:lang w:eastAsia="zh-CN"/>
              </w:rPr>
              <w:t>独立测试</w:t>
            </w:r>
            <w:r>
              <w:rPr>
                <w:sz w:val="16"/>
                <w:lang w:eastAsia="zh-CN"/>
              </w:rPr>
              <w:t xml:space="preserve"> AUC 0.8426 AUPR 0.5148</w:t>
            </w:r>
          </w:p>
        </w:tc>
        <w:tc>
          <w:tcPr>
            <w:tcW w:w="2059" w:type="dxa"/>
            <w:shd w:val="clear" w:color="auto" w:fill="EAF2F8"/>
            <w:tcMar>
              <w:top w:w="80" w:type="dxa"/>
              <w:left w:w="90" w:type="dxa"/>
              <w:bottom w:w="80" w:type="dxa"/>
              <w:right w:w="90" w:type="dxa"/>
            </w:tcMar>
            <w:vAlign w:val="center"/>
          </w:tcPr>
          <w:p w14:paraId="3CA4507C" w14:textId="77777777" w:rsidR="00FE5BA1" w:rsidRDefault="00000000">
            <w:pPr>
              <w:spacing w:after="0" w:line="269" w:lineRule="auto"/>
              <w:ind w:firstLine="0"/>
              <w:jc w:val="left"/>
              <w:rPr>
                <w:lang w:eastAsia="zh-CN"/>
              </w:rPr>
            </w:pPr>
            <w:r>
              <w:rPr>
                <w:sz w:val="16"/>
                <w:lang w:eastAsia="zh-CN"/>
              </w:rPr>
              <w:t>细胞系结果不能直接外推患者</w:t>
            </w:r>
          </w:p>
        </w:tc>
      </w:tr>
      <w:tr w:rsidR="00FE5BA1" w14:paraId="53FB1E30" w14:textId="77777777">
        <w:trPr>
          <w:jc w:val="center"/>
        </w:trPr>
        <w:tc>
          <w:tcPr>
            <w:tcW w:w="1238" w:type="dxa"/>
            <w:tcMar>
              <w:top w:w="80" w:type="dxa"/>
              <w:left w:w="90" w:type="dxa"/>
              <w:bottom w:w="80" w:type="dxa"/>
              <w:right w:w="90" w:type="dxa"/>
            </w:tcMar>
            <w:vAlign w:val="center"/>
          </w:tcPr>
          <w:p w14:paraId="3C203AB7" w14:textId="77777777" w:rsidR="00FE5BA1" w:rsidRDefault="00000000">
            <w:pPr>
              <w:spacing w:after="0" w:line="269" w:lineRule="auto"/>
              <w:ind w:firstLine="0"/>
              <w:jc w:val="center"/>
            </w:pPr>
            <w:r>
              <w:rPr>
                <w:sz w:val="16"/>
              </w:rPr>
              <w:t xml:space="preserve">2022 </w:t>
            </w:r>
            <w:proofErr w:type="gramStart"/>
            <w:r>
              <w:rPr>
                <w:sz w:val="16"/>
              </w:rPr>
              <w:t>MVGCN[</w:t>
            </w:r>
            <w:proofErr w:type="gramEnd"/>
            <w:r>
              <w:rPr>
                <w:sz w:val="16"/>
              </w:rPr>
              <w:t>8]</w:t>
            </w:r>
          </w:p>
        </w:tc>
        <w:tc>
          <w:tcPr>
            <w:tcW w:w="2059" w:type="dxa"/>
            <w:tcMar>
              <w:top w:w="80" w:type="dxa"/>
              <w:left w:w="90" w:type="dxa"/>
              <w:bottom w:w="80" w:type="dxa"/>
              <w:right w:w="90" w:type="dxa"/>
            </w:tcMar>
            <w:vAlign w:val="center"/>
          </w:tcPr>
          <w:p w14:paraId="3B7950E7" w14:textId="77777777" w:rsidR="00FE5BA1" w:rsidRDefault="00000000">
            <w:pPr>
              <w:spacing w:after="0" w:line="269" w:lineRule="auto"/>
              <w:ind w:firstLine="0"/>
              <w:jc w:val="left"/>
            </w:pPr>
            <w:r>
              <w:rPr>
                <w:sz w:val="16"/>
              </w:rPr>
              <w:t xml:space="preserve">6 </w:t>
            </w:r>
            <w:r>
              <w:rPr>
                <w:sz w:val="16"/>
              </w:rPr>
              <w:t>个基准和</w:t>
            </w:r>
            <w:r>
              <w:rPr>
                <w:sz w:val="16"/>
              </w:rPr>
              <w:t xml:space="preserve"> 3 </w:t>
            </w:r>
            <w:r>
              <w:rPr>
                <w:sz w:val="16"/>
              </w:rPr>
              <w:t>类任务</w:t>
            </w:r>
          </w:p>
        </w:tc>
        <w:tc>
          <w:tcPr>
            <w:tcW w:w="1987" w:type="dxa"/>
            <w:tcMar>
              <w:top w:w="80" w:type="dxa"/>
              <w:left w:w="90" w:type="dxa"/>
              <w:bottom w:w="80" w:type="dxa"/>
              <w:right w:w="90" w:type="dxa"/>
            </w:tcMar>
            <w:vAlign w:val="center"/>
          </w:tcPr>
          <w:p w14:paraId="38218044" w14:textId="77777777" w:rsidR="00FE5BA1" w:rsidRDefault="00000000">
            <w:pPr>
              <w:spacing w:after="0" w:line="269" w:lineRule="auto"/>
              <w:ind w:firstLine="0"/>
              <w:jc w:val="left"/>
              <w:rPr>
                <w:lang w:eastAsia="zh-CN"/>
              </w:rPr>
            </w:pPr>
            <w:r>
              <w:rPr>
                <w:sz w:val="16"/>
                <w:lang w:eastAsia="zh-CN"/>
              </w:rPr>
              <w:t>多视图</w:t>
            </w:r>
            <w:r>
              <w:rPr>
                <w:sz w:val="16"/>
                <w:lang w:eastAsia="zh-CN"/>
              </w:rPr>
              <w:t xml:space="preserve"> GCN </w:t>
            </w:r>
            <w:r>
              <w:rPr>
                <w:sz w:val="16"/>
                <w:lang w:eastAsia="zh-CN"/>
              </w:rPr>
              <w:t>与</w:t>
            </w:r>
            <w:proofErr w:type="gramStart"/>
            <w:r>
              <w:rPr>
                <w:sz w:val="16"/>
                <w:lang w:eastAsia="zh-CN"/>
              </w:rPr>
              <w:t>自监督</w:t>
            </w:r>
            <w:proofErr w:type="gramEnd"/>
          </w:p>
        </w:tc>
        <w:tc>
          <w:tcPr>
            <w:tcW w:w="1987" w:type="dxa"/>
            <w:tcMar>
              <w:top w:w="80" w:type="dxa"/>
              <w:left w:w="90" w:type="dxa"/>
              <w:bottom w:w="80" w:type="dxa"/>
              <w:right w:w="90" w:type="dxa"/>
            </w:tcMar>
            <w:vAlign w:val="center"/>
          </w:tcPr>
          <w:p w14:paraId="78427C14" w14:textId="77777777" w:rsidR="00FE5BA1" w:rsidRDefault="00000000">
            <w:pPr>
              <w:spacing w:after="0" w:line="269" w:lineRule="auto"/>
              <w:ind w:firstLine="0"/>
              <w:jc w:val="left"/>
              <w:rPr>
                <w:lang w:eastAsia="zh-CN"/>
              </w:rPr>
            </w:pPr>
            <w:r>
              <w:rPr>
                <w:sz w:val="16"/>
                <w:lang w:eastAsia="zh-CN"/>
              </w:rPr>
              <w:t>总体优于或相当于基线</w:t>
            </w:r>
          </w:p>
        </w:tc>
        <w:tc>
          <w:tcPr>
            <w:tcW w:w="2059" w:type="dxa"/>
            <w:tcMar>
              <w:top w:w="80" w:type="dxa"/>
              <w:left w:w="90" w:type="dxa"/>
              <w:bottom w:w="80" w:type="dxa"/>
              <w:right w:w="90" w:type="dxa"/>
            </w:tcMar>
            <w:vAlign w:val="center"/>
          </w:tcPr>
          <w:p w14:paraId="299F0121" w14:textId="77777777" w:rsidR="00FE5BA1" w:rsidRDefault="00000000">
            <w:pPr>
              <w:spacing w:after="0" w:line="269" w:lineRule="auto"/>
              <w:ind w:firstLine="0"/>
              <w:jc w:val="left"/>
              <w:rPr>
                <w:lang w:eastAsia="zh-CN"/>
              </w:rPr>
            </w:pPr>
            <w:r>
              <w:rPr>
                <w:sz w:val="16"/>
                <w:lang w:eastAsia="zh-CN"/>
              </w:rPr>
              <w:t>跨基准不等于真实部署验证</w:t>
            </w:r>
          </w:p>
        </w:tc>
      </w:tr>
      <w:tr w:rsidR="00FE5BA1" w14:paraId="512A8EF6" w14:textId="77777777">
        <w:trPr>
          <w:jc w:val="center"/>
        </w:trPr>
        <w:tc>
          <w:tcPr>
            <w:tcW w:w="1238" w:type="dxa"/>
            <w:shd w:val="clear" w:color="auto" w:fill="EAF2F8"/>
            <w:tcMar>
              <w:top w:w="80" w:type="dxa"/>
              <w:left w:w="90" w:type="dxa"/>
              <w:bottom w:w="80" w:type="dxa"/>
              <w:right w:w="90" w:type="dxa"/>
            </w:tcMar>
            <w:vAlign w:val="center"/>
          </w:tcPr>
          <w:p w14:paraId="63C1F10D" w14:textId="77777777" w:rsidR="00FE5BA1" w:rsidRDefault="00000000">
            <w:pPr>
              <w:spacing w:after="0" w:line="269" w:lineRule="auto"/>
              <w:ind w:firstLine="0"/>
              <w:jc w:val="center"/>
            </w:pPr>
            <w:r>
              <w:rPr>
                <w:sz w:val="16"/>
              </w:rPr>
              <w:t xml:space="preserve">2023 DDI </w:t>
            </w:r>
            <w:proofErr w:type="gramStart"/>
            <w:r>
              <w:rPr>
                <w:sz w:val="16"/>
              </w:rPr>
              <w:t>评述</w:t>
            </w:r>
            <w:r>
              <w:rPr>
                <w:sz w:val="16"/>
              </w:rPr>
              <w:t>[</w:t>
            </w:r>
            <w:proofErr w:type="gramEnd"/>
            <w:r>
              <w:rPr>
                <w:sz w:val="16"/>
              </w:rPr>
              <w:t>10]</w:t>
            </w:r>
          </w:p>
        </w:tc>
        <w:tc>
          <w:tcPr>
            <w:tcW w:w="2059" w:type="dxa"/>
            <w:shd w:val="clear" w:color="auto" w:fill="EAF2F8"/>
            <w:tcMar>
              <w:top w:w="80" w:type="dxa"/>
              <w:left w:w="90" w:type="dxa"/>
              <w:bottom w:w="80" w:type="dxa"/>
              <w:right w:w="90" w:type="dxa"/>
            </w:tcMar>
            <w:vAlign w:val="center"/>
          </w:tcPr>
          <w:p w14:paraId="224962DB" w14:textId="77777777" w:rsidR="00FE5BA1" w:rsidRDefault="00000000">
            <w:pPr>
              <w:spacing w:after="0" w:line="269" w:lineRule="auto"/>
              <w:ind w:firstLine="0"/>
              <w:jc w:val="left"/>
              <w:rPr>
                <w:lang w:eastAsia="zh-CN"/>
              </w:rPr>
            </w:pPr>
            <w:r>
              <w:rPr>
                <w:sz w:val="16"/>
                <w:lang w:eastAsia="zh-CN"/>
              </w:rPr>
              <w:t>结构</w:t>
            </w:r>
            <w:r>
              <w:rPr>
                <w:sz w:val="16"/>
                <w:lang w:eastAsia="zh-CN"/>
              </w:rPr>
              <w:t xml:space="preserve"> </w:t>
            </w:r>
            <w:r>
              <w:rPr>
                <w:sz w:val="16"/>
                <w:lang w:eastAsia="zh-CN"/>
              </w:rPr>
              <w:t>网络</w:t>
            </w:r>
            <w:r>
              <w:rPr>
                <w:sz w:val="16"/>
                <w:lang w:eastAsia="zh-CN"/>
              </w:rPr>
              <w:t xml:space="preserve"> </w:t>
            </w:r>
            <w:r>
              <w:rPr>
                <w:sz w:val="16"/>
                <w:lang w:eastAsia="zh-CN"/>
              </w:rPr>
              <w:t>文本和混合方法</w:t>
            </w:r>
          </w:p>
        </w:tc>
        <w:tc>
          <w:tcPr>
            <w:tcW w:w="1987" w:type="dxa"/>
            <w:shd w:val="clear" w:color="auto" w:fill="EAF2F8"/>
            <w:tcMar>
              <w:top w:w="80" w:type="dxa"/>
              <w:left w:w="90" w:type="dxa"/>
              <w:bottom w:w="80" w:type="dxa"/>
              <w:right w:w="90" w:type="dxa"/>
            </w:tcMar>
            <w:vAlign w:val="center"/>
          </w:tcPr>
          <w:p w14:paraId="74622AF2" w14:textId="77777777" w:rsidR="00FE5BA1" w:rsidRDefault="00000000">
            <w:pPr>
              <w:spacing w:after="0" w:line="269" w:lineRule="auto"/>
              <w:ind w:firstLine="0"/>
              <w:jc w:val="left"/>
            </w:pPr>
            <w:r>
              <w:rPr>
                <w:sz w:val="16"/>
              </w:rPr>
              <w:t>综述与比较实验</w:t>
            </w:r>
          </w:p>
        </w:tc>
        <w:tc>
          <w:tcPr>
            <w:tcW w:w="1987" w:type="dxa"/>
            <w:shd w:val="clear" w:color="auto" w:fill="EAF2F8"/>
            <w:tcMar>
              <w:top w:w="80" w:type="dxa"/>
              <w:left w:w="90" w:type="dxa"/>
              <w:bottom w:w="80" w:type="dxa"/>
              <w:right w:w="90" w:type="dxa"/>
            </w:tcMar>
            <w:vAlign w:val="center"/>
          </w:tcPr>
          <w:p w14:paraId="75167960" w14:textId="77777777" w:rsidR="00FE5BA1" w:rsidRDefault="00000000">
            <w:pPr>
              <w:spacing w:after="0" w:line="269" w:lineRule="auto"/>
              <w:ind w:firstLine="0"/>
              <w:jc w:val="left"/>
              <w:rPr>
                <w:lang w:eastAsia="zh-CN"/>
              </w:rPr>
            </w:pPr>
            <w:r>
              <w:rPr>
                <w:sz w:val="16"/>
                <w:lang w:eastAsia="zh-CN"/>
              </w:rPr>
              <w:t>总结数据表示和图模型优缺点</w:t>
            </w:r>
          </w:p>
        </w:tc>
        <w:tc>
          <w:tcPr>
            <w:tcW w:w="2059" w:type="dxa"/>
            <w:shd w:val="clear" w:color="auto" w:fill="EAF2F8"/>
            <w:tcMar>
              <w:top w:w="80" w:type="dxa"/>
              <w:left w:w="90" w:type="dxa"/>
              <w:bottom w:w="80" w:type="dxa"/>
              <w:right w:w="90" w:type="dxa"/>
            </w:tcMar>
            <w:vAlign w:val="center"/>
          </w:tcPr>
          <w:p w14:paraId="7A3B54A1" w14:textId="77777777" w:rsidR="00FE5BA1" w:rsidRDefault="00000000">
            <w:pPr>
              <w:spacing w:after="0" w:line="269" w:lineRule="auto"/>
              <w:ind w:firstLine="0"/>
              <w:jc w:val="left"/>
              <w:rPr>
                <w:lang w:eastAsia="zh-CN"/>
              </w:rPr>
            </w:pPr>
            <w:r>
              <w:rPr>
                <w:sz w:val="16"/>
                <w:lang w:eastAsia="zh-CN"/>
              </w:rPr>
              <w:t>属于方法评测</w:t>
            </w:r>
            <w:r>
              <w:rPr>
                <w:sz w:val="16"/>
                <w:lang w:eastAsia="zh-CN"/>
              </w:rPr>
              <w:t xml:space="preserve"> </w:t>
            </w:r>
            <w:r>
              <w:rPr>
                <w:sz w:val="16"/>
                <w:lang w:eastAsia="zh-CN"/>
              </w:rPr>
              <w:t>不是新药理证据</w:t>
            </w:r>
          </w:p>
        </w:tc>
      </w:tr>
    </w:tbl>
    <w:p w14:paraId="68BB518D" w14:textId="77777777" w:rsidR="00FE5BA1" w:rsidRDefault="00FE5BA1">
      <w:pPr>
        <w:spacing w:after="0"/>
        <w:rPr>
          <w:lang w:eastAsia="zh-CN"/>
        </w:rPr>
      </w:pPr>
    </w:p>
    <w:p w14:paraId="7534746C" w14:textId="77777777" w:rsidR="00FE5BA1" w:rsidRDefault="00000000">
      <w:pPr>
        <w:pStyle w:val="1"/>
        <w:rPr>
          <w:lang w:eastAsia="zh-CN"/>
        </w:rPr>
      </w:pPr>
      <w:r>
        <w:rPr>
          <w:rFonts w:ascii="微软雅黑" w:eastAsia="微软雅黑" w:hAnsi="微软雅黑"/>
          <w:lang w:eastAsia="zh-CN"/>
        </w:rPr>
        <w:t>6 综合评价</w:t>
      </w:r>
    </w:p>
    <w:p w14:paraId="78634A24" w14:textId="77777777" w:rsidR="00FE5BA1" w:rsidRDefault="00000000">
      <w:pPr>
        <w:pStyle w:val="21"/>
        <w:rPr>
          <w:lang w:eastAsia="zh-CN"/>
        </w:rPr>
      </w:pPr>
      <w:r>
        <w:rPr>
          <w:rFonts w:ascii="微软雅黑" w:eastAsia="微软雅黑" w:hAnsi="微软雅黑"/>
          <w:lang w:eastAsia="zh-CN"/>
        </w:rPr>
        <w:t>6.1 主要贡献</w:t>
      </w:r>
    </w:p>
    <w:p w14:paraId="14205179" w14:textId="77777777" w:rsidR="00FE5BA1" w:rsidRDefault="00000000">
      <w:pPr>
        <w:rPr>
          <w:lang w:eastAsia="zh-CN"/>
        </w:rPr>
      </w:pPr>
      <w:r>
        <w:rPr>
          <w:lang w:eastAsia="zh-CN"/>
        </w:rPr>
        <w:t>第一，研究保持了清晰的问题连续性。不同算法都服务于未观测关系和性质的预测，因而可以逐步吸收新的表示学习方法。第二，多</w:t>
      </w:r>
      <w:proofErr w:type="gramStart"/>
      <w:r>
        <w:rPr>
          <w:lang w:eastAsia="zh-CN"/>
        </w:rPr>
        <w:t>源数据</w:t>
      </w:r>
      <w:proofErr w:type="gramEnd"/>
      <w:r>
        <w:rPr>
          <w:lang w:eastAsia="zh-CN"/>
        </w:rPr>
        <w:t>融合不是短期热点，而是贯穿十年的设计原则。第三，研究对象从药物网络扩展到多组学、癌症药物反应和分子生成，显示方法具有较强迁移性。第四，</w:t>
      </w:r>
      <w:r>
        <w:rPr>
          <w:lang w:eastAsia="zh-CN"/>
        </w:rPr>
        <w:t xml:space="preserve">BioNEV </w:t>
      </w:r>
      <w:r>
        <w:rPr>
          <w:lang w:eastAsia="zh-CN"/>
        </w:rPr>
        <w:t>和</w:t>
      </w:r>
      <w:r>
        <w:rPr>
          <w:lang w:eastAsia="zh-CN"/>
        </w:rPr>
        <w:t xml:space="preserve"> DDI </w:t>
      </w:r>
      <w:r>
        <w:rPr>
          <w:lang w:eastAsia="zh-CN"/>
        </w:rPr>
        <w:t>综合评述等工作开始审视模型比较和评价协议，使研究从提出模型延伸到评测体系。</w:t>
      </w:r>
    </w:p>
    <w:p w14:paraId="36E25551" w14:textId="77777777" w:rsidR="00FE5BA1" w:rsidRDefault="00000000">
      <w:pPr>
        <w:pStyle w:val="21"/>
        <w:rPr>
          <w:lang w:eastAsia="zh-CN"/>
        </w:rPr>
      </w:pPr>
      <w:r>
        <w:rPr>
          <w:rFonts w:ascii="微软雅黑" w:eastAsia="微软雅黑" w:hAnsi="微软雅黑"/>
          <w:lang w:eastAsia="zh-CN"/>
        </w:rPr>
        <w:t>6.2 现有证据的限制</w:t>
      </w:r>
    </w:p>
    <w:p w14:paraId="23EFCD68" w14:textId="77777777" w:rsidR="00FE5BA1" w:rsidRDefault="00000000">
      <w:pPr>
        <w:spacing w:after="60" w:line="324" w:lineRule="auto"/>
        <w:ind w:left="403" w:hanging="259"/>
        <w:rPr>
          <w:lang w:eastAsia="zh-CN"/>
        </w:rPr>
      </w:pPr>
      <w:r>
        <w:rPr>
          <w:lang w:eastAsia="zh-CN"/>
        </w:rPr>
        <w:t>•</w:t>
      </w:r>
      <w:r>
        <w:rPr>
          <w:lang w:eastAsia="zh-CN"/>
        </w:rPr>
        <w:tab/>
      </w:r>
      <w:r>
        <w:rPr>
          <w:lang w:eastAsia="zh-CN"/>
        </w:rPr>
        <w:t>数据划分</w:t>
      </w:r>
      <w:r>
        <w:rPr>
          <w:lang w:eastAsia="zh-CN"/>
        </w:rPr>
        <w:t xml:space="preserve">  </w:t>
      </w:r>
      <w:r>
        <w:rPr>
          <w:lang w:eastAsia="zh-CN"/>
        </w:rPr>
        <w:t>随机边划分可能让相似药物、同源蛋白或共享邻域同时出现在训练集和测试集，从而高估新实体泛化。</w:t>
      </w:r>
    </w:p>
    <w:p w14:paraId="41A7E579" w14:textId="77777777" w:rsidR="00FE5BA1" w:rsidRDefault="00000000">
      <w:pPr>
        <w:spacing w:after="60" w:line="324" w:lineRule="auto"/>
        <w:ind w:left="403" w:hanging="259"/>
        <w:rPr>
          <w:lang w:eastAsia="zh-CN"/>
        </w:rPr>
      </w:pPr>
      <w:r>
        <w:rPr>
          <w:lang w:eastAsia="zh-CN"/>
        </w:rPr>
        <w:lastRenderedPageBreak/>
        <w:t>•</w:t>
      </w:r>
      <w:r>
        <w:rPr>
          <w:lang w:eastAsia="zh-CN"/>
        </w:rPr>
        <w:tab/>
      </w:r>
      <w:r>
        <w:rPr>
          <w:lang w:eastAsia="zh-CN"/>
        </w:rPr>
        <w:t>负样本</w:t>
      </w:r>
      <w:r>
        <w:rPr>
          <w:lang w:eastAsia="zh-CN"/>
        </w:rPr>
        <w:t xml:space="preserve">  </w:t>
      </w:r>
      <w:r>
        <w:rPr>
          <w:lang w:eastAsia="zh-CN"/>
        </w:rPr>
        <w:t>数据库中未记录的关系不一定是真正负例，标签噪声会同时影响训练和评价。</w:t>
      </w:r>
    </w:p>
    <w:p w14:paraId="611B32DD" w14:textId="77777777" w:rsidR="00FE5BA1" w:rsidRDefault="00000000">
      <w:pPr>
        <w:spacing w:after="60" w:line="324" w:lineRule="auto"/>
        <w:ind w:left="403" w:hanging="259"/>
        <w:rPr>
          <w:lang w:eastAsia="zh-CN"/>
        </w:rPr>
      </w:pPr>
      <w:r>
        <w:rPr>
          <w:lang w:eastAsia="zh-CN"/>
        </w:rPr>
        <w:t>•</w:t>
      </w:r>
      <w:r>
        <w:rPr>
          <w:lang w:eastAsia="zh-CN"/>
        </w:rPr>
        <w:tab/>
      </w:r>
      <w:r>
        <w:rPr>
          <w:lang w:eastAsia="zh-CN"/>
        </w:rPr>
        <w:t>外部验证</w:t>
      </w:r>
      <w:r>
        <w:rPr>
          <w:lang w:eastAsia="zh-CN"/>
        </w:rPr>
        <w:t xml:space="preserve">  </w:t>
      </w:r>
      <w:r>
        <w:rPr>
          <w:lang w:eastAsia="zh-CN"/>
        </w:rPr>
        <w:t>多数研究仍以公开数据库的交叉验证为主，时间外推、跨数据库和前瞻性验证不足。</w:t>
      </w:r>
    </w:p>
    <w:p w14:paraId="6B7B354E" w14:textId="77777777" w:rsidR="00FE5BA1" w:rsidRDefault="00000000">
      <w:pPr>
        <w:spacing w:after="60" w:line="324" w:lineRule="auto"/>
        <w:ind w:left="403" w:hanging="259"/>
        <w:rPr>
          <w:lang w:eastAsia="zh-CN"/>
        </w:rPr>
      </w:pPr>
      <w:r>
        <w:rPr>
          <w:lang w:eastAsia="zh-CN"/>
        </w:rPr>
        <w:t>•</w:t>
      </w:r>
      <w:r>
        <w:rPr>
          <w:lang w:eastAsia="zh-CN"/>
        </w:rPr>
        <w:tab/>
      </w:r>
      <w:r>
        <w:rPr>
          <w:lang w:eastAsia="zh-CN"/>
        </w:rPr>
        <w:t>解释与机制</w:t>
      </w:r>
      <w:r>
        <w:rPr>
          <w:lang w:eastAsia="zh-CN"/>
        </w:rPr>
        <w:t xml:space="preserve">  </w:t>
      </w:r>
      <w:r>
        <w:rPr>
          <w:lang w:eastAsia="zh-CN"/>
        </w:rPr>
        <w:t>注意力权重、关键子图和元路径可以生成假设，但不能自动证明因果机制。</w:t>
      </w:r>
    </w:p>
    <w:p w14:paraId="70B8D630" w14:textId="77777777" w:rsidR="00FE5BA1" w:rsidRDefault="00000000">
      <w:pPr>
        <w:spacing w:after="60" w:line="324" w:lineRule="auto"/>
        <w:ind w:left="403" w:hanging="259"/>
        <w:rPr>
          <w:lang w:eastAsia="zh-CN"/>
        </w:rPr>
      </w:pPr>
      <w:r>
        <w:rPr>
          <w:lang w:eastAsia="zh-CN"/>
        </w:rPr>
        <w:t>•</w:t>
      </w:r>
      <w:r>
        <w:rPr>
          <w:lang w:eastAsia="zh-CN"/>
        </w:rPr>
        <w:tab/>
      </w:r>
      <w:r>
        <w:rPr>
          <w:lang w:eastAsia="zh-CN"/>
        </w:rPr>
        <w:t>生成评价</w:t>
      </w:r>
      <w:r>
        <w:rPr>
          <w:lang w:eastAsia="zh-CN"/>
        </w:rPr>
        <w:t xml:space="preserve">  </w:t>
      </w:r>
      <w:proofErr w:type="gramStart"/>
      <w:r>
        <w:rPr>
          <w:lang w:eastAsia="zh-CN"/>
        </w:rPr>
        <w:t>新分子</w:t>
      </w:r>
      <w:proofErr w:type="gramEnd"/>
      <w:r>
        <w:rPr>
          <w:lang w:eastAsia="zh-CN"/>
        </w:rPr>
        <w:t>和新肽的计算质量需要与可合成性、毒性、选择性、稳定性和实验活性一起评估。</w:t>
      </w:r>
    </w:p>
    <w:p w14:paraId="7DFDDC28" w14:textId="77777777" w:rsidR="00FE5BA1" w:rsidRDefault="00000000">
      <w:pPr>
        <w:spacing w:after="60" w:line="324" w:lineRule="auto"/>
        <w:ind w:left="403" w:hanging="259"/>
        <w:rPr>
          <w:lang w:eastAsia="zh-CN"/>
        </w:rPr>
      </w:pPr>
      <w:r>
        <w:rPr>
          <w:lang w:eastAsia="zh-CN"/>
        </w:rPr>
        <w:t>•</w:t>
      </w:r>
      <w:r>
        <w:rPr>
          <w:lang w:eastAsia="zh-CN"/>
        </w:rPr>
        <w:tab/>
      </w:r>
      <w:r>
        <w:rPr>
          <w:lang w:eastAsia="zh-CN"/>
        </w:rPr>
        <w:t>模态缺失</w:t>
      </w:r>
      <w:r>
        <w:rPr>
          <w:lang w:eastAsia="zh-CN"/>
        </w:rPr>
        <w:t xml:space="preserve">  </w:t>
      </w:r>
      <w:r>
        <w:rPr>
          <w:lang w:eastAsia="zh-CN"/>
        </w:rPr>
        <w:t>训练时可获得的结构、文本或组学信息，在真实候选物上可能缺失，因此部署性能可能低于基准结果。</w:t>
      </w:r>
    </w:p>
    <w:p w14:paraId="0EF3D9F4" w14:textId="77777777" w:rsidR="00FE5BA1" w:rsidRDefault="00000000">
      <w:pPr>
        <w:pStyle w:val="21"/>
        <w:rPr>
          <w:lang w:eastAsia="zh-CN"/>
        </w:rPr>
      </w:pPr>
      <w:r>
        <w:rPr>
          <w:rFonts w:ascii="微软雅黑" w:eastAsia="微软雅黑" w:hAnsi="微软雅黑"/>
          <w:lang w:eastAsia="zh-CN"/>
        </w:rPr>
        <w:t>6.3 总体判断</w:t>
      </w:r>
    </w:p>
    <w:p w14:paraId="3BFD1D03" w14:textId="77777777" w:rsidR="00FE5BA1" w:rsidRDefault="00000000">
      <w:pPr>
        <w:rPr>
          <w:lang w:eastAsia="zh-CN"/>
        </w:rPr>
      </w:pPr>
      <w:r>
        <w:rPr>
          <w:lang w:eastAsia="zh-CN"/>
        </w:rPr>
        <w:t>综合来看，章文教授近十年的学术辨识度主要来自生物医学异质关系的表示、融合和预测，尤其体现在</w:t>
      </w:r>
      <w:r>
        <w:rPr>
          <w:lang w:eastAsia="zh-CN"/>
        </w:rPr>
        <w:t xml:space="preserve"> DDI</w:t>
      </w:r>
      <w:r>
        <w:rPr>
          <w:lang w:eastAsia="zh-CN"/>
        </w:rPr>
        <w:t>、药物疾病关联和癌症药物反应。现有论文充分支持其方法路线具有连续性，也支持多</w:t>
      </w:r>
      <w:proofErr w:type="gramStart"/>
      <w:r>
        <w:rPr>
          <w:lang w:eastAsia="zh-CN"/>
        </w:rPr>
        <w:t>源信息和图结构</w:t>
      </w:r>
      <w:proofErr w:type="gramEnd"/>
      <w:r>
        <w:rPr>
          <w:lang w:eastAsia="zh-CN"/>
        </w:rPr>
        <w:t>能提高多类基准任务的预测性能。证据尚不足以支持更强的临床或机制性结论，因为多数结果停留在公开数据库、细胞系或后验病例验证层面。对这组工作的合理评价，应把计算方法创新与实验转化证据分开。</w:t>
      </w:r>
    </w:p>
    <w:p w14:paraId="784EDED8" w14:textId="77777777" w:rsidR="00FE5BA1" w:rsidRDefault="00000000">
      <w:pPr>
        <w:pStyle w:val="1"/>
        <w:rPr>
          <w:lang w:eastAsia="zh-CN"/>
        </w:rPr>
      </w:pPr>
      <w:r>
        <w:rPr>
          <w:rFonts w:ascii="微软雅黑" w:eastAsia="微软雅黑" w:hAnsi="微软雅黑"/>
          <w:lang w:eastAsia="zh-CN"/>
        </w:rPr>
        <w:t>7 后续研究方向</w:t>
      </w:r>
    </w:p>
    <w:p w14:paraId="04C7EDBF" w14:textId="77777777" w:rsidR="00FE5BA1" w:rsidRDefault="00000000">
      <w:pPr>
        <w:rPr>
          <w:lang w:eastAsia="zh-CN"/>
        </w:rPr>
      </w:pPr>
      <w:r>
        <w:rPr>
          <w:lang w:eastAsia="zh-CN"/>
        </w:rPr>
        <w:t>与其继续在相似数据划分上追求小幅性能增益，后续研究更值得把重点放在可验证的泛化问题上。</w:t>
      </w:r>
    </w:p>
    <w:p w14:paraId="04F873CF" w14:textId="77777777" w:rsidR="00FE5BA1" w:rsidRDefault="00000000">
      <w:pPr>
        <w:spacing w:after="60" w:line="324" w:lineRule="auto"/>
        <w:ind w:left="403" w:hanging="259"/>
        <w:rPr>
          <w:lang w:eastAsia="zh-CN"/>
        </w:rPr>
      </w:pPr>
      <w:r>
        <w:rPr>
          <w:lang w:eastAsia="zh-CN"/>
        </w:rPr>
        <w:t>•</w:t>
      </w:r>
      <w:r>
        <w:rPr>
          <w:lang w:eastAsia="zh-CN"/>
        </w:rPr>
        <w:tab/>
      </w:r>
      <w:r>
        <w:rPr>
          <w:lang w:eastAsia="zh-CN"/>
        </w:rPr>
        <w:t>建立结构去冗余</w:t>
      </w:r>
      <w:r>
        <w:rPr>
          <w:lang w:eastAsia="zh-CN"/>
        </w:rPr>
        <w:t xml:space="preserve"> </w:t>
      </w:r>
      <w:r>
        <w:rPr>
          <w:lang w:eastAsia="zh-CN"/>
        </w:rPr>
        <w:t>冷启动和时间外推基准，分别检验新药</w:t>
      </w:r>
      <w:r>
        <w:rPr>
          <w:lang w:eastAsia="zh-CN"/>
        </w:rPr>
        <w:t xml:space="preserve"> </w:t>
      </w:r>
      <w:r>
        <w:rPr>
          <w:lang w:eastAsia="zh-CN"/>
        </w:rPr>
        <w:t>新靶点和新关系类型。</w:t>
      </w:r>
    </w:p>
    <w:p w14:paraId="4A7F8140" w14:textId="77777777" w:rsidR="00FE5BA1" w:rsidRDefault="00000000">
      <w:pPr>
        <w:spacing w:after="60" w:line="324" w:lineRule="auto"/>
        <w:ind w:left="403" w:hanging="259"/>
        <w:rPr>
          <w:lang w:eastAsia="zh-CN"/>
        </w:rPr>
      </w:pPr>
      <w:r>
        <w:rPr>
          <w:lang w:eastAsia="zh-CN"/>
        </w:rPr>
        <w:t>•</w:t>
      </w:r>
      <w:r>
        <w:rPr>
          <w:lang w:eastAsia="zh-CN"/>
        </w:rPr>
        <w:tab/>
      </w:r>
      <w:r>
        <w:rPr>
          <w:lang w:eastAsia="zh-CN"/>
        </w:rPr>
        <w:t>报告不确定性与分布外检测结果，使候选排序同时包含可信度信息。</w:t>
      </w:r>
    </w:p>
    <w:p w14:paraId="188E3ECE" w14:textId="77777777" w:rsidR="00FE5BA1" w:rsidRDefault="00000000">
      <w:pPr>
        <w:spacing w:after="60" w:line="324" w:lineRule="auto"/>
        <w:ind w:left="403" w:hanging="259"/>
        <w:rPr>
          <w:lang w:eastAsia="zh-CN"/>
        </w:rPr>
      </w:pPr>
      <w:r>
        <w:rPr>
          <w:lang w:eastAsia="zh-CN"/>
        </w:rPr>
        <w:t>•</w:t>
      </w:r>
      <w:r>
        <w:rPr>
          <w:lang w:eastAsia="zh-CN"/>
        </w:rPr>
        <w:tab/>
      </w:r>
      <w:r>
        <w:rPr>
          <w:lang w:eastAsia="zh-CN"/>
        </w:rPr>
        <w:t>使用更可靠的负样本和正未标记学习，减少把未知关系当作</w:t>
      </w:r>
      <w:proofErr w:type="gramStart"/>
      <w:r>
        <w:rPr>
          <w:lang w:eastAsia="zh-CN"/>
        </w:rPr>
        <w:t>负例造成</w:t>
      </w:r>
      <w:proofErr w:type="gramEnd"/>
      <w:r>
        <w:rPr>
          <w:lang w:eastAsia="zh-CN"/>
        </w:rPr>
        <w:t>的偏差。</w:t>
      </w:r>
    </w:p>
    <w:p w14:paraId="240C3469" w14:textId="77777777" w:rsidR="00FE5BA1" w:rsidRDefault="00000000">
      <w:pPr>
        <w:spacing w:after="60" w:line="324" w:lineRule="auto"/>
        <w:ind w:left="403" w:hanging="259"/>
        <w:rPr>
          <w:lang w:eastAsia="zh-CN"/>
        </w:rPr>
      </w:pPr>
      <w:r>
        <w:rPr>
          <w:lang w:eastAsia="zh-CN"/>
        </w:rPr>
        <w:t>•</w:t>
      </w:r>
      <w:r>
        <w:rPr>
          <w:lang w:eastAsia="zh-CN"/>
        </w:rPr>
        <w:tab/>
      </w:r>
      <w:r>
        <w:rPr>
          <w:lang w:eastAsia="zh-CN"/>
        </w:rPr>
        <w:t>把注意力或子图解释转化为可干预的实验假设，并预先定义验证标准。</w:t>
      </w:r>
    </w:p>
    <w:p w14:paraId="0343763E" w14:textId="77777777" w:rsidR="00FE5BA1" w:rsidRDefault="00000000">
      <w:pPr>
        <w:spacing w:after="60" w:line="324" w:lineRule="auto"/>
        <w:ind w:left="403" w:hanging="259"/>
        <w:rPr>
          <w:lang w:eastAsia="zh-CN"/>
        </w:rPr>
      </w:pPr>
      <w:r>
        <w:rPr>
          <w:lang w:eastAsia="zh-CN"/>
        </w:rPr>
        <w:t>•</w:t>
      </w:r>
      <w:r>
        <w:rPr>
          <w:lang w:eastAsia="zh-CN"/>
        </w:rPr>
        <w:tab/>
      </w:r>
      <w:r>
        <w:rPr>
          <w:lang w:eastAsia="zh-CN"/>
        </w:rPr>
        <w:t>建立生成</w:t>
      </w:r>
      <w:r>
        <w:rPr>
          <w:lang w:eastAsia="zh-CN"/>
        </w:rPr>
        <w:t xml:space="preserve"> </w:t>
      </w:r>
      <w:r>
        <w:rPr>
          <w:lang w:eastAsia="zh-CN"/>
        </w:rPr>
        <w:t>筛选</w:t>
      </w:r>
      <w:r>
        <w:rPr>
          <w:lang w:eastAsia="zh-CN"/>
        </w:rPr>
        <w:t xml:space="preserve"> </w:t>
      </w:r>
      <w:r>
        <w:rPr>
          <w:lang w:eastAsia="zh-CN"/>
        </w:rPr>
        <w:t>实验和再训练闭环，将可合成性</w:t>
      </w:r>
      <w:r>
        <w:rPr>
          <w:lang w:eastAsia="zh-CN"/>
        </w:rPr>
        <w:t xml:space="preserve"> </w:t>
      </w:r>
      <w:r>
        <w:rPr>
          <w:lang w:eastAsia="zh-CN"/>
        </w:rPr>
        <w:t>毒性和活性纳入模型目标。</w:t>
      </w:r>
    </w:p>
    <w:p w14:paraId="4E1BD0AF" w14:textId="77777777" w:rsidR="00FE5BA1" w:rsidRDefault="00000000">
      <w:pPr>
        <w:spacing w:after="60" w:line="324" w:lineRule="auto"/>
        <w:ind w:left="403" w:hanging="259"/>
        <w:rPr>
          <w:lang w:eastAsia="zh-CN"/>
        </w:rPr>
      </w:pPr>
      <w:r>
        <w:rPr>
          <w:lang w:eastAsia="zh-CN"/>
        </w:rPr>
        <w:t>•</w:t>
      </w:r>
      <w:r>
        <w:rPr>
          <w:lang w:eastAsia="zh-CN"/>
        </w:rPr>
        <w:tab/>
      </w:r>
      <w:r>
        <w:rPr>
          <w:lang w:eastAsia="zh-CN"/>
        </w:rPr>
        <w:t>研究训练时多模态而</w:t>
      </w:r>
      <w:proofErr w:type="gramStart"/>
      <w:r>
        <w:rPr>
          <w:lang w:eastAsia="zh-CN"/>
        </w:rPr>
        <w:t>部署时单模态</w:t>
      </w:r>
      <w:proofErr w:type="gramEnd"/>
      <w:r>
        <w:rPr>
          <w:lang w:eastAsia="zh-CN"/>
        </w:rPr>
        <w:t>的知识迁移，降低实际数据缺失导致的性能下降。</w:t>
      </w:r>
    </w:p>
    <w:p w14:paraId="1C21B134" w14:textId="77777777" w:rsidR="00FE5BA1" w:rsidRDefault="00000000">
      <w:pPr>
        <w:pStyle w:val="1"/>
        <w:rPr>
          <w:lang w:eastAsia="zh-CN"/>
        </w:rPr>
      </w:pPr>
      <w:r>
        <w:rPr>
          <w:rFonts w:ascii="微软雅黑" w:eastAsia="微软雅黑" w:hAnsi="微软雅黑"/>
          <w:lang w:eastAsia="zh-CN"/>
        </w:rPr>
        <w:t>8 结论</w:t>
      </w:r>
    </w:p>
    <w:p w14:paraId="5397EA63" w14:textId="77777777" w:rsidR="00FE5BA1" w:rsidRDefault="00000000">
      <w:pPr>
        <w:rPr>
          <w:lang w:eastAsia="zh-CN"/>
        </w:rPr>
      </w:pPr>
      <w:r>
        <w:rPr>
          <w:lang w:eastAsia="zh-CN"/>
        </w:rPr>
        <w:t>章文教授近十年的研究可以被理解为一条围绕生物医学异质关系学习持续推进的方法路线。其早期工作以相似性和矩阵补全建立任务框架，中期通过网络嵌入和多模态深度学习提升表示能力，随后借助图神经网络、注意力和对比学习处理多关系与低资源问题，近期进一步进入零样本、生成设计和跨模态预训练。最稳固的学术贡献，是把多</w:t>
      </w:r>
      <w:proofErr w:type="gramStart"/>
      <w:r>
        <w:rPr>
          <w:lang w:eastAsia="zh-CN"/>
        </w:rPr>
        <w:t>源数据</w:t>
      </w:r>
      <w:proofErr w:type="gramEnd"/>
      <w:r>
        <w:rPr>
          <w:lang w:eastAsia="zh-CN"/>
        </w:rPr>
        <w:t>融合和图表示学习持续落到具体生物医学问题上。下一阶段能否形成更高水平的影响，取决于是否能用严格的外部评价和实验闭环证明模型在新实体、新时间和真实研究流程中的有效性。</w:t>
      </w:r>
    </w:p>
    <w:p w14:paraId="0607B149" w14:textId="77777777" w:rsidR="00FE5BA1" w:rsidRDefault="00000000">
      <w:pPr>
        <w:pStyle w:val="1"/>
      </w:pPr>
      <w:r>
        <w:rPr>
          <w:rFonts w:ascii="微软雅黑" w:eastAsia="微软雅黑" w:hAnsi="微软雅黑"/>
        </w:rPr>
        <w:lastRenderedPageBreak/>
        <w:t>参考文献</w:t>
      </w:r>
    </w:p>
    <w:p w14:paraId="7028DE69" w14:textId="77777777" w:rsidR="00FE5BA1" w:rsidRDefault="00000000">
      <w:pPr>
        <w:pStyle w:val="ReferenceItem"/>
      </w:pPr>
      <w:r>
        <w:t xml:space="preserve">[1] Zhang W, Zou H, Luo L, et al. Predicting potential side effects of drugs by recommender methods and ensemble learning. Neurocomputing, 2016, 173: 979-987. </w:t>
      </w:r>
      <w:hyperlink r:id="rId8">
        <w:r>
          <w:rPr>
            <w:color w:val="0563C1"/>
            <w:u w:val="single"/>
          </w:rPr>
          <w:t>https://doi.org/10.1016/j.neucom.2015.08.054</w:t>
        </w:r>
      </w:hyperlink>
    </w:p>
    <w:p w14:paraId="6AE95861" w14:textId="77777777" w:rsidR="00FE5BA1" w:rsidRDefault="00000000">
      <w:pPr>
        <w:pStyle w:val="ReferenceItem"/>
      </w:pPr>
      <w:r>
        <w:t xml:space="preserve">[2] Zhang W, Chen Y, Liu F, et al. Predicting potential drug-drug interactions by integrating chemical, biological, phenotypic and network data. BMC Bioinformatics, 2017, 18: 18. </w:t>
      </w:r>
      <w:hyperlink r:id="rId9">
        <w:r>
          <w:rPr>
            <w:color w:val="0563C1"/>
            <w:u w:val="single"/>
          </w:rPr>
          <w:t>https://doi.org/10.1186/s12859-016-1415-9</w:t>
        </w:r>
      </w:hyperlink>
    </w:p>
    <w:p w14:paraId="14F0735B" w14:textId="77777777" w:rsidR="00FE5BA1" w:rsidRDefault="00000000">
      <w:pPr>
        <w:pStyle w:val="ReferenceItem"/>
      </w:pPr>
      <w:r>
        <w:t xml:space="preserve">[3] Zhang W, Yue X, Lin W, et al. Predicting drug-disease associations by using similarity constrained matrix factorization. BMC Bioinformatics, 2018, 19: 233. </w:t>
      </w:r>
      <w:hyperlink r:id="rId10">
        <w:r>
          <w:rPr>
            <w:color w:val="0563C1"/>
            <w:u w:val="single"/>
          </w:rPr>
          <w:t>https://doi.org/10.1186/s12859-018-2220-4</w:t>
        </w:r>
      </w:hyperlink>
    </w:p>
    <w:p w14:paraId="6786361C" w14:textId="77777777" w:rsidR="00FE5BA1" w:rsidRDefault="00000000">
      <w:pPr>
        <w:pStyle w:val="ReferenceItem"/>
      </w:pPr>
      <w:r>
        <w:t xml:space="preserve">[4] Yue X, Wang Z, Huang J, et al. Graph embedding on biomedical networks methods applications and evaluations. Bioinformatics, 2020, 36(4): 1241-1251. </w:t>
      </w:r>
      <w:hyperlink r:id="rId11">
        <w:r>
          <w:rPr>
            <w:color w:val="0563C1"/>
            <w:u w:val="single"/>
          </w:rPr>
          <w:t>https://doi.org/10.1093/bioinformatics/btz718</w:t>
        </w:r>
      </w:hyperlink>
    </w:p>
    <w:p w14:paraId="22D6B806" w14:textId="77777777" w:rsidR="00FE5BA1" w:rsidRDefault="00000000">
      <w:pPr>
        <w:pStyle w:val="ReferenceItem"/>
      </w:pPr>
      <w:r>
        <w:t xml:space="preserve">[5] Deng Y, Xu X, Qiu Y, et al. A multimodal deep learning framework for predicting drug-drug interaction events. Bioinformatics, 2020, 36(15): 4316-4322. </w:t>
      </w:r>
      <w:hyperlink r:id="rId12">
        <w:r>
          <w:rPr>
            <w:color w:val="0563C1"/>
            <w:u w:val="single"/>
          </w:rPr>
          <w:t>https://doi.org/10.1093/bioinformatics/btaa501</w:t>
        </w:r>
      </w:hyperlink>
    </w:p>
    <w:p w14:paraId="225E8E94" w14:textId="77777777" w:rsidR="00FE5BA1" w:rsidRDefault="00000000">
      <w:pPr>
        <w:pStyle w:val="ReferenceItem"/>
      </w:pPr>
      <w:r>
        <w:t xml:space="preserve">[6] Yu Z, Huang F, Zhao X, et al. Predicting drug-disease associations through layer attention graph convolutional network. Briefings in Bioinformatics, 2021, 22(4): bbaa243. </w:t>
      </w:r>
      <w:hyperlink r:id="rId13">
        <w:r>
          <w:rPr>
            <w:color w:val="0563C1"/>
            <w:u w:val="single"/>
          </w:rPr>
          <w:t>https://doi.org/10.1093/bib/bbaa243</w:t>
        </w:r>
      </w:hyperlink>
    </w:p>
    <w:p w14:paraId="209099C9" w14:textId="77777777" w:rsidR="00FE5BA1" w:rsidRDefault="00000000">
      <w:pPr>
        <w:pStyle w:val="ReferenceItem"/>
      </w:pPr>
      <w:r>
        <w:t xml:space="preserve">[7] Liu X, Song C, Huang F, et al. GraphCDR a graph neural network method with contrastive learning for cancer drug response prediction. Briefings in Bioinformatics, 2022, 23(1): bbab457. </w:t>
      </w:r>
      <w:hyperlink r:id="rId14">
        <w:r>
          <w:rPr>
            <w:color w:val="0563C1"/>
            <w:u w:val="single"/>
          </w:rPr>
          <w:t>https://doi.org/10.1093/bib/bbab457</w:t>
        </w:r>
      </w:hyperlink>
    </w:p>
    <w:p w14:paraId="66687B93" w14:textId="77777777" w:rsidR="00FE5BA1" w:rsidRDefault="00000000">
      <w:pPr>
        <w:pStyle w:val="ReferenceItem"/>
      </w:pPr>
      <w:r>
        <w:t xml:space="preserve">[8] Fu H, Huang F, Liu X, Qiu Y, Zhang W. MVGCN data integration through multi-view graph convolutional network for predicting links in biomedical bipartite networks. Bioinformatics, 2022, 38(2): 426-434. </w:t>
      </w:r>
      <w:hyperlink r:id="rId15">
        <w:r>
          <w:rPr>
            <w:color w:val="0563C1"/>
            <w:u w:val="single"/>
          </w:rPr>
          <w:t>https://doi.org/10.1093/bioinformatics/btab651</w:t>
        </w:r>
      </w:hyperlink>
    </w:p>
    <w:p w14:paraId="5159A226" w14:textId="77777777" w:rsidR="00FE5BA1" w:rsidRDefault="00000000">
      <w:pPr>
        <w:pStyle w:val="ReferenceItem"/>
      </w:pPr>
      <w:r>
        <w:t xml:space="preserve">[9] Liu S, Zhang Y, Cui Y, et al. Enhancing drug-drug interaction prediction using deep attention neural networks. IEEE ACM Transactions on Computational Biology and Bioinformatics, 2023, 20(2): 976-985. </w:t>
      </w:r>
      <w:hyperlink r:id="rId16">
        <w:r>
          <w:rPr>
            <w:color w:val="0563C1"/>
            <w:u w:val="single"/>
          </w:rPr>
          <w:t>https://doi.org/10.1109/TCBB.2022.3172421</w:t>
        </w:r>
      </w:hyperlink>
    </w:p>
    <w:p w14:paraId="76AE6D49" w14:textId="77777777" w:rsidR="00FE5BA1" w:rsidRDefault="00000000">
      <w:pPr>
        <w:pStyle w:val="ReferenceItem"/>
      </w:pPr>
      <w:r>
        <w:t xml:space="preserve">[10] Lin X, Dai L, Zhou Y, et al. Comprehensive evaluation of deep and graph learning on drug-drug interactions prediction. Briefings in Bioinformatics, 2023, 24(4): bbad235. </w:t>
      </w:r>
      <w:hyperlink r:id="rId17">
        <w:r>
          <w:rPr>
            <w:color w:val="0563C1"/>
            <w:u w:val="single"/>
          </w:rPr>
          <w:t>https://doi.org/10.1093/bib/bbad235</w:t>
        </w:r>
      </w:hyperlink>
    </w:p>
    <w:p w14:paraId="1CA36F6D" w14:textId="77777777" w:rsidR="00FE5BA1" w:rsidRDefault="00000000">
      <w:pPr>
        <w:pStyle w:val="ReferenceItem"/>
      </w:pPr>
      <w:r>
        <w:t xml:space="preserve">[11] Qiu Y, Zhang Y, Deng Y, Liu S, Zhang W. A comprehensive review of computational methods for drug-drug interaction detection. IEEE ACM Transactions on Computational Biology and Bioinformatics, 2022, 19(4): 1968-1985. </w:t>
      </w:r>
      <w:hyperlink r:id="rId18">
        <w:r>
          <w:rPr>
            <w:color w:val="0563C1"/>
            <w:u w:val="single"/>
          </w:rPr>
          <w:t>https://doi.org/10.1109/TCBB.2021.3081268</w:t>
        </w:r>
      </w:hyperlink>
    </w:p>
    <w:p w14:paraId="44F65D46" w14:textId="77777777" w:rsidR="00FE5BA1" w:rsidRDefault="00000000">
      <w:r>
        <w:br w:type="page"/>
      </w:r>
    </w:p>
    <w:p w14:paraId="3A651481" w14:textId="77777777" w:rsidR="00FE5BA1" w:rsidRDefault="00000000">
      <w:pPr>
        <w:pStyle w:val="1"/>
        <w:rPr>
          <w:lang w:eastAsia="zh-CN"/>
        </w:rPr>
      </w:pPr>
      <w:r>
        <w:rPr>
          <w:rFonts w:ascii="微软雅黑" w:eastAsia="微软雅黑" w:hAnsi="微软雅黑"/>
          <w:lang w:eastAsia="zh-CN"/>
        </w:rPr>
        <w:lastRenderedPageBreak/>
        <w:t>附录 A 2016 至 2026 年英文成果标题索引</w:t>
      </w:r>
    </w:p>
    <w:p w14:paraId="52D07D0B" w14:textId="77777777" w:rsidR="00FE5BA1" w:rsidRDefault="00000000">
      <w:pPr>
        <w:ind w:firstLine="0"/>
        <w:rPr>
          <w:lang w:eastAsia="zh-CN"/>
        </w:rPr>
      </w:pPr>
      <w:r>
        <w:rPr>
          <w:lang w:eastAsia="zh-CN"/>
        </w:rPr>
        <w:t>本附录保留作者消</w:t>
      </w:r>
      <w:proofErr w:type="gramStart"/>
      <w:r>
        <w:rPr>
          <w:lang w:eastAsia="zh-CN"/>
        </w:rPr>
        <w:t>歧</w:t>
      </w:r>
      <w:proofErr w:type="gramEnd"/>
      <w:r>
        <w:rPr>
          <w:lang w:eastAsia="zh-CN"/>
        </w:rPr>
        <w:t>后的</w:t>
      </w:r>
      <w:r>
        <w:rPr>
          <w:lang w:eastAsia="zh-CN"/>
        </w:rPr>
        <w:t xml:space="preserve"> 118 </w:t>
      </w:r>
      <w:r>
        <w:rPr>
          <w:lang w:eastAsia="zh-CN"/>
        </w:rPr>
        <w:t>条候选成果，按年份归类，用于复核研究主题覆盖范围。附录不等同于</w:t>
      </w:r>
      <w:r>
        <w:rPr>
          <w:lang w:eastAsia="zh-CN"/>
        </w:rPr>
        <w:t xml:space="preserve"> Web of Science </w:t>
      </w:r>
      <w:r>
        <w:rPr>
          <w:lang w:eastAsia="zh-CN"/>
        </w:rPr>
        <w:t>收录清单。</w:t>
      </w:r>
    </w:p>
    <w:p w14:paraId="2359E338" w14:textId="77777777" w:rsidR="00FE5BA1" w:rsidRDefault="00000000">
      <w:pPr>
        <w:pStyle w:val="21"/>
        <w:spacing w:before="240" w:after="180" w:line="288" w:lineRule="auto"/>
        <w:rPr>
          <w:lang w:eastAsia="zh-CN"/>
        </w:rPr>
      </w:pPr>
      <w:r>
        <w:rPr>
          <w:rFonts w:ascii="微软雅黑" w:eastAsia="微软雅黑" w:hAnsi="微软雅黑"/>
          <w:lang w:eastAsia="zh-CN"/>
        </w:rPr>
        <w:t>2026 及未标年在线成果</w:t>
      </w:r>
    </w:p>
    <w:p w14:paraId="4A6E951D" w14:textId="77777777" w:rsidR="00FE5BA1" w:rsidRDefault="00000000">
      <w:pPr>
        <w:pStyle w:val="AppendixItem"/>
        <w:rPr>
          <w:lang w:eastAsia="zh-CN"/>
        </w:rPr>
      </w:pPr>
      <w:r>
        <w:rPr>
          <w:lang w:eastAsia="zh-CN"/>
        </w:rPr>
        <w:t>•</w:t>
      </w:r>
      <w:r>
        <w:rPr>
          <w:lang w:eastAsia="zh-CN"/>
        </w:rPr>
        <w:tab/>
        <w:t>Knowledge-driven multimodal mutual learning for cell line-targeted anticancer peptide prediction</w:t>
      </w:r>
    </w:p>
    <w:p w14:paraId="0F5B551A" w14:textId="77777777" w:rsidR="00FE5BA1" w:rsidRDefault="00000000">
      <w:pPr>
        <w:pStyle w:val="AppendixItem"/>
        <w:rPr>
          <w:lang w:eastAsia="zh-CN"/>
        </w:rPr>
      </w:pPr>
      <w:r>
        <w:rPr>
          <w:lang w:eastAsia="zh-CN"/>
        </w:rPr>
        <w:t>•</w:t>
      </w:r>
      <w:r>
        <w:rPr>
          <w:lang w:eastAsia="zh-CN"/>
        </w:rPr>
        <w:tab/>
        <w:t>TargetNPBind: A Pharmacophore-Guided Dual-Stream Fusion Framework for Natural Product-Target Binding Affinity Prediction</w:t>
      </w:r>
    </w:p>
    <w:p w14:paraId="3DDC7893" w14:textId="77777777" w:rsidR="00FE5BA1" w:rsidRDefault="00000000">
      <w:pPr>
        <w:pStyle w:val="AppendixItem"/>
      </w:pPr>
      <w:r>
        <w:t>•</w:t>
      </w:r>
      <w:r>
        <w:tab/>
        <w:t>Multi-to-uni modal knowledge transfer pre-training for molecular representation learning</w:t>
      </w:r>
    </w:p>
    <w:p w14:paraId="4E0A66BC" w14:textId="77777777" w:rsidR="00FE5BA1" w:rsidRDefault="00000000">
      <w:pPr>
        <w:pStyle w:val="AppendixItem"/>
      </w:pPr>
      <w:r>
        <w:t>•</w:t>
      </w:r>
      <w:r>
        <w:tab/>
        <w:t>Order-Aware Deep Learning for Drug Combination Benefit Prediction in Cancer Cell Lines</w:t>
      </w:r>
    </w:p>
    <w:p w14:paraId="00141125" w14:textId="77777777" w:rsidR="00FE5BA1" w:rsidRDefault="00000000">
      <w:pPr>
        <w:pStyle w:val="AppendixItem"/>
      </w:pPr>
      <w:r>
        <w:t>•</w:t>
      </w:r>
      <w:r>
        <w:tab/>
        <w:t>Uncertainty-Guided Adaptive Local Adversarial Perturbation for Reliable Molecular Property Prediction</w:t>
      </w:r>
      <w:r>
        <w:t>（</w:t>
      </w:r>
      <w:r>
        <w:t xml:space="preserve">Google Scholar </w:t>
      </w:r>
      <w:r>
        <w:t>暂未标年份）</w:t>
      </w:r>
    </w:p>
    <w:p w14:paraId="1CE25990" w14:textId="77777777" w:rsidR="00FE5BA1" w:rsidRDefault="00000000">
      <w:pPr>
        <w:pStyle w:val="21"/>
        <w:spacing w:before="240" w:after="180" w:line="288" w:lineRule="auto"/>
      </w:pPr>
      <w:r>
        <w:rPr>
          <w:rFonts w:ascii="微软雅黑" w:eastAsia="微软雅黑" w:hAnsi="微软雅黑"/>
        </w:rPr>
        <w:t>2025</w:t>
      </w:r>
    </w:p>
    <w:p w14:paraId="3292A7BB" w14:textId="77777777" w:rsidR="00FE5BA1" w:rsidRDefault="00000000">
      <w:pPr>
        <w:pStyle w:val="AppendixItem"/>
      </w:pPr>
      <w:r>
        <w:t>•</w:t>
      </w:r>
      <w:r>
        <w:tab/>
        <w:t>Tetrahedron-Net for Medical Image Registration</w:t>
      </w:r>
    </w:p>
    <w:p w14:paraId="3F397DCF" w14:textId="77777777" w:rsidR="00FE5BA1" w:rsidRDefault="00000000">
      <w:pPr>
        <w:pStyle w:val="AppendixItem"/>
      </w:pPr>
      <w:r>
        <w:t>•</w:t>
      </w:r>
      <w:r>
        <w:tab/>
        <w:t>Geometric Heterogeneous Graph Neural Network for Protein-Ligand Binding Affinity Prediction</w:t>
      </w:r>
    </w:p>
    <w:p w14:paraId="1B9C55FA" w14:textId="77777777" w:rsidR="00FE5BA1" w:rsidRDefault="00000000">
      <w:pPr>
        <w:pStyle w:val="AppendixItem"/>
      </w:pPr>
      <w:r>
        <w:t>•</w:t>
      </w:r>
      <w:r>
        <w:tab/>
        <w:t>Guest Editorial: The Cutting-Edge Artificial Intelligence Techniques and Their Applications in Drug Discovery</w:t>
      </w:r>
    </w:p>
    <w:p w14:paraId="579B2140" w14:textId="77777777" w:rsidR="00FE5BA1" w:rsidRDefault="00000000">
      <w:pPr>
        <w:pStyle w:val="AppendixItem"/>
      </w:pPr>
      <w:r>
        <w:t>•</w:t>
      </w:r>
      <w:r>
        <w:tab/>
        <w:t>Controllable Generation of Pathogen-Specific Antimicrobial Peptides Through Knowledge-Aware Prompt Diffusion Model</w:t>
      </w:r>
    </w:p>
    <w:p w14:paraId="75576E63" w14:textId="77777777" w:rsidR="00FE5BA1" w:rsidRDefault="00000000">
      <w:pPr>
        <w:pStyle w:val="AppendixItem"/>
      </w:pPr>
      <w:r>
        <w:t>•</w:t>
      </w:r>
      <w:r>
        <w:tab/>
        <w:t>Mammalian conservation of endogenous G-quadruplex reveals their associations with complex traits</w:t>
      </w:r>
    </w:p>
    <w:p w14:paraId="3632B983" w14:textId="77777777" w:rsidR="00FE5BA1" w:rsidRDefault="00000000">
      <w:pPr>
        <w:pStyle w:val="AppendixItem"/>
      </w:pPr>
      <w:r>
        <w:t>•</w:t>
      </w:r>
      <w:r>
        <w:tab/>
        <w:t>PKAG-DDI: Pairwise Knowledge-Augmented Language Model for Drug-Drug Interaction Event Text Generation</w:t>
      </w:r>
    </w:p>
    <w:p w14:paraId="53039FA5" w14:textId="77777777" w:rsidR="00FE5BA1" w:rsidRDefault="00000000">
      <w:pPr>
        <w:pStyle w:val="AppendixItem"/>
      </w:pPr>
      <w:r>
        <w:t>•</w:t>
      </w:r>
      <w:r>
        <w:tab/>
        <w:t>Fragment dispersity index analysis of cfDNA fragments reveals chromatin accessibility and enables early cancer detection</w:t>
      </w:r>
    </w:p>
    <w:p w14:paraId="4D105A9A" w14:textId="77777777" w:rsidR="00FE5BA1" w:rsidRDefault="00000000">
      <w:pPr>
        <w:pStyle w:val="AppendixItem"/>
      </w:pPr>
      <w:r>
        <w:t>•</w:t>
      </w:r>
      <w:r>
        <w:tab/>
        <w:t>DeepInterAware: Deep Interaction Interface-Aware Network for Improving Antigen-Antibody Interaction Prediction from Sequence Data</w:t>
      </w:r>
    </w:p>
    <w:p w14:paraId="0770A1BC" w14:textId="77777777" w:rsidR="00FE5BA1" w:rsidRDefault="00000000">
      <w:pPr>
        <w:pStyle w:val="AppendixItem"/>
      </w:pPr>
      <w:r>
        <w:t>•</w:t>
      </w:r>
      <w:r>
        <w:tab/>
        <w:t>Revealing Herb-Symptom Associations and Mechanisms of Action in Protein Networks Using Subgraph Matching Learning</w:t>
      </w:r>
    </w:p>
    <w:p w14:paraId="06F97055" w14:textId="77777777" w:rsidR="00FE5BA1" w:rsidRDefault="00000000">
      <w:pPr>
        <w:pStyle w:val="AppendixItem"/>
      </w:pPr>
      <w:r>
        <w:t>•</w:t>
      </w:r>
      <w:r>
        <w:tab/>
        <w:t>Gnndrp: Graph neural network with multi-task learning for drug response prediction</w:t>
      </w:r>
    </w:p>
    <w:p w14:paraId="2A5727D9" w14:textId="77777777" w:rsidR="00FE5BA1" w:rsidRDefault="00000000">
      <w:pPr>
        <w:pStyle w:val="AppendixItem"/>
      </w:pPr>
      <w:r>
        <w:t>•</w:t>
      </w:r>
      <w:r>
        <w:tab/>
        <w:t>Overcoming collaboration barriers in quantitative trait loci analysis</w:t>
      </w:r>
    </w:p>
    <w:p w14:paraId="6CA087CC" w14:textId="77777777" w:rsidR="00FE5BA1" w:rsidRDefault="00000000">
      <w:pPr>
        <w:pStyle w:val="21"/>
        <w:spacing w:before="240" w:after="180" w:line="288" w:lineRule="auto"/>
      </w:pPr>
      <w:r>
        <w:rPr>
          <w:rFonts w:ascii="微软雅黑" w:eastAsia="微软雅黑" w:hAnsi="微软雅黑"/>
        </w:rPr>
        <w:t>2024</w:t>
      </w:r>
    </w:p>
    <w:p w14:paraId="65868063" w14:textId="77777777" w:rsidR="00FE5BA1" w:rsidRDefault="00000000">
      <w:pPr>
        <w:pStyle w:val="AppendixItem"/>
      </w:pPr>
      <w:r>
        <w:t>•</w:t>
      </w:r>
      <w:r>
        <w:tab/>
        <w:t>The application of advanced deep learning in biomedical graph analysis</w:t>
      </w:r>
    </w:p>
    <w:p w14:paraId="73F849BA" w14:textId="77777777" w:rsidR="00FE5BA1" w:rsidRDefault="00000000">
      <w:pPr>
        <w:pStyle w:val="AppendixItem"/>
      </w:pPr>
      <w:r>
        <w:t>•</w:t>
      </w:r>
      <w:r>
        <w:tab/>
        <w:t>Multiview representation learning for identification of novel cancer genes and their causative biological mechanisms</w:t>
      </w:r>
    </w:p>
    <w:p w14:paraId="173156C4" w14:textId="77777777" w:rsidR="00FE5BA1" w:rsidRDefault="00000000">
      <w:pPr>
        <w:pStyle w:val="AppendixItem"/>
      </w:pPr>
      <w:r>
        <w:t>•</w:t>
      </w:r>
      <w:r>
        <w:tab/>
        <w:t>AI-driven determination of active compounds and investigation of multi-pharmacological effects of Chrysanthemi Flos</w:t>
      </w:r>
    </w:p>
    <w:p w14:paraId="5ADA49C9" w14:textId="77777777" w:rsidR="00FE5BA1" w:rsidRDefault="00000000">
      <w:pPr>
        <w:pStyle w:val="AppendixItem"/>
      </w:pPr>
      <w:r>
        <w:t>•</w:t>
      </w:r>
      <w:r>
        <w:tab/>
        <w:t>ZeroDDI: A Zero-Shot Drug-Drug Interaction Event Prediction Method with Semantic Enhanced Learning and Dual-Modal Uniform Alignment</w:t>
      </w:r>
    </w:p>
    <w:p w14:paraId="034D80C9" w14:textId="77777777" w:rsidR="00FE5BA1" w:rsidRDefault="00000000">
      <w:pPr>
        <w:pStyle w:val="AppendixItem"/>
      </w:pPr>
      <w:r>
        <w:t>•</w:t>
      </w:r>
      <w:r>
        <w:tab/>
        <w:t>Heterogeneous Causal Metapath Graph Neural Network for Gene-Microbe-Disease Association Prediction</w:t>
      </w:r>
    </w:p>
    <w:p w14:paraId="4F524D8D" w14:textId="77777777" w:rsidR="00FE5BA1" w:rsidRDefault="00000000">
      <w:pPr>
        <w:pStyle w:val="AppendixItem"/>
      </w:pPr>
      <w:r>
        <w:t>•</w:t>
      </w:r>
      <w:r>
        <w:tab/>
        <w:t>Improving paratope and epitope prediction by multi-modal contrastive learning and interaction informativeness estimation</w:t>
      </w:r>
    </w:p>
    <w:p w14:paraId="2375EC59" w14:textId="77777777" w:rsidR="00FE5BA1" w:rsidRDefault="00000000">
      <w:pPr>
        <w:pStyle w:val="AppendixItem"/>
      </w:pPr>
      <w:r>
        <w:t>•</w:t>
      </w:r>
      <w:r>
        <w:tab/>
        <w:t>A network enhancement method to identify spurious drug-drug interactions</w:t>
      </w:r>
    </w:p>
    <w:p w14:paraId="7DF8DFCE" w14:textId="77777777" w:rsidR="00FE5BA1" w:rsidRDefault="00000000">
      <w:pPr>
        <w:pStyle w:val="AppendixItem"/>
      </w:pPr>
      <w:r>
        <w:t>•</w:t>
      </w:r>
      <w:r>
        <w:tab/>
        <w:t>Subgraph-aware graph kernel neural network for link prediction in biological networks</w:t>
      </w:r>
    </w:p>
    <w:p w14:paraId="4FAEDAFF" w14:textId="77777777" w:rsidR="00FE5BA1" w:rsidRDefault="00000000">
      <w:pPr>
        <w:pStyle w:val="AppendixItem"/>
      </w:pPr>
      <w:r>
        <w:t>•</w:t>
      </w:r>
      <w:r>
        <w:tab/>
        <w:t>Deepcrbp: improved predicting function of circrna-rbp binding sites with deep feature learning</w:t>
      </w:r>
    </w:p>
    <w:p w14:paraId="0214378A" w14:textId="77777777" w:rsidR="00FE5BA1" w:rsidRDefault="00000000">
      <w:pPr>
        <w:pStyle w:val="AppendixItem"/>
      </w:pPr>
      <w:r>
        <w:t>•</w:t>
      </w:r>
      <w:r>
        <w:tab/>
        <w:t>A multi-stream network for retrosynthesis prediction</w:t>
      </w:r>
    </w:p>
    <w:p w14:paraId="5CA366DF" w14:textId="77777777" w:rsidR="00FE5BA1" w:rsidRDefault="00000000">
      <w:pPr>
        <w:pStyle w:val="AppendixItem"/>
      </w:pPr>
      <w:r>
        <w:t>•</w:t>
      </w:r>
      <w:r>
        <w:tab/>
        <w:t>Multi-Classification Division-Aggregation Framework for Fake News Detection</w:t>
      </w:r>
    </w:p>
    <w:p w14:paraId="03AE6CA2" w14:textId="77777777" w:rsidR="00FE5BA1" w:rsidRDefault="00000000">
      <w:pPr>
        <w:pStyle w:val="AppendixItem"/>
      </w:pPr>
      <w:r>
        <w:t>•</w:t>
      </w:r>
      <w:r>
        <w:tab/>
        <w:t>Improving PTM site prediction by coupling of multi-granularity structure and multi-scale sequence representation</w:t>
      </w:r>
    </w:p>
    <w:p w14:paraId="558A3162" w14:textId="77777777" w:rsidR="00FE5BA1" w:rsidRDefault="00000000">
      <w:pPr>
        <w:pStyle w:val="AppendixItem"/>
      </w:pPr>
      <w:r>
        <w:lastRenderedPageBreak/>
        <w:t>•</w:t>
      </w:r>
      <w:r>
        <w:tab/>
        <w:t>A multi-modal contrastive diffusion model for therapeutic peptide generation</w:t>
      </w:r>
    </w:p>
    <w:p w14:paraId="31954EB9" w14:textId="77777777" w:rsidR="00FE5BA1" w:rsidRDefault="00000000">
      <w:pPr>
        <w:pStyle w:val="AppendixItem"/>
      </w:pPr>
      <w:r>
        <w:t>•</w:t>
      </w:r>
      <w:r>
        <w:tab/>
        <w:t>A comprehensive review of molecular optimization in artificial intelligence-based drug discovery</w:t>
      </w:r>
    </w:p>
    <w:p w14:paraId="47F9EC0B" w14:textId="77777777" w:rsidR="00FE5BA1" w:rsidRDefault="00000000">
      <w:pPr>
        <w:pStyle w:val="AppendixItem"/>
      </w:pPr>
      <w:r>
        <w:t>•</w:t>
      </w:r>
      <w:r>
        <w:tab/>
        <w:t>Deep learning for drug-drug interaction prediction: A comprehensive review</w:t>
      </w:r>
    </w:p>
    <w:p w14:paraId="59E13DDB" w14:textId="77777777" w:rsidR="00FE5BA1" w:rsidRDefault="00000000">
      <w:pPr>
        <w:pStyle w:val="AppendixItem"/>
      </w:pPr>
      <w:r>
        <w:t>•</w:t>
      </w:r>
      <w:r>
        <w:tab/>
        <w:t>Predicting miRNA-disease association via graph attention learning and multiplex adaptive modality fusion</w:t>
      </w:r>
    </w:p>
    <w:p w14:paraId="310EEEEC" w14:textId="77777777" w:rsidR="00FE5BA1" w:rsidRDefault="00000000">
      <w:pPr>
        <w:pStyle w:val="21"/>
        <w:spacing w:before="240" w:after="180" w:line="288" w:lineRule="auto"/>
      </w:pPr>
      <w:r>
        <w:rPr>
          <w:rFonts w:ascii="微软雅黑" w:eastAsia="微软雅黑" w:hAnsi="微软雅黑"/>
        </w:rPr>
        <w:t>2023</w:t>
      </w:r>
    </w:p>
    <w:p w14:paraId="24F0B0F2" w14:textId="77777777" w:rsidR="00FE5BA1" w:rsidRDefault="00000000">
      <w:pPr>
        <w:pStyle w:val="AppendixItem"/>
      </w:pPr>
      <w:r>
        <w:t>•</w:t>
      </w:r>
      <w:r>
        <w:tab/>
        <w:t>Aia-unet: Attention in attention for medical image segmentation</w:t>
      </w:r>
    </w:p>
    <w:p w14:paraId="40C10C41" w14:textId="77777777" w:rsidR="00FE5BA1" w:rsidRDefault="00000000">
      <w:pPr>
        <w:pStyle w:val="AppendixItem"/>
      </w:pPr>
      <w:r>
        <w:t>•</w:t>
      </w:r>
      <w:r>
        <w:tab/>
        <w:t>Trans-uneter: a new decoder of transunet for medical image segmentation</w:t>
      </w:r>
    </w:p>
    <w:p w14:paraId="48FFF95F" w14:textId="77777777" w:rsidR="00FE5BA1" w:rsidRDefault="00000000">
      <w:pPr>
        <w:pStyle w:val="AppendixItem"/>
      </w:pPr>
      <w:r>
        <w:t>•</w:t>
      </w:r>
      <w:r>
        <w:tab/>
        <w:t>Ccac: Contrastive learning with channel attention and contour loss for brain image registration</w:t>
      </w:r>
    </w:p>
    <w:p w14:paraId="1F0E9099" w14:textId="77777777" w:rsidR="00FE5BA1" w:rsidRDefault="00000000">
      <w:pPr>
        <w:pStyle w:val="AppendixItem"/>
      </w:pPr>
      <w:r>
        <w:t>•</w:t>
      </w:r>
      <w:r>
        <w:tab/>
        <w:t>Non-coding RNA identification with pseudo RNA sequences and feature representation learning</w:t>
      </w:r>
    </w:p>
    <w:p w14:paraId="0CCE0451" w14:textId="77777777" w:rsidR="00FE5BA1" w:rsidRDefault="00000000">
      <w:pPr>
        <w:pStyle w:val="AppendixItem"/>
      </w:pPr>
      <w:r>
        <w:t>•</w:t>
      </w:r>
      <w:r>
        <w:tab/>
        <w:t>HimGNN: a novel hierarchical molecular graph representation learning framework for property prediction</w:t>
      </w:r>
    </w:p>
    <w:p w14:paraId="56885CE2" w14:textId="77777777" w:rsidR="00FE5BA1" w:rsidRDefault="00000000">
      <w:pPr>
        <w:pStyle w:val="AppendixItem"/>
      </w:pPr>
      <w:r>
        <w:t>•</w:t>
      </w:r>
      <w:r>
        <w:tab/>
        <w:t>A subcomponent-guided deep learning method for interpretable cancer drug response prediction</w:t>
      </w:r>
    </w:p>
    <w:p w14:paraId="4860328D" w14:textId="77777777" w:rsidR="00FE5BA1" w:rsidRDefault="00000000">
      <w:pPr>
        <w:pStyle w:val="AppendixItem"/>
      </w:pPr>
      <w:r>
        <w:t>•</w:t>
      </w:r>
      <w:r>
        <w:tab/>
        <w:t>Multi-view contrastive learning hypergraph neural network for drug-microbe-disease association prediction</w:t>
      </w:r>
    </w:p>
    <w:p w14:paraId="2D802D01" w14:textId="77777777" w:rsidR="00FE5BA1" w:rsidRDefault="00000000">
      <w:pPr>
        <w:pStyle w:val="AppendixItem"/>
      </w:pPr>
      <w:r>
        <w:t>•</w:t>
      </w:r>
      <w:r>
        <w:tab/>
        <w:t>Comprehensive evaluation of deep and graph learning on drug-drug interactions prediction</w:t>
      </w:r>
    </w:p>
    <w:p w14:paraId="294B5AC7" w14:textId="77777777" w:rsidR="00FE5BA1" w:rsidRDefault="00000000">
      <w:pPr>
        <w:pStyle w:val="AppendixItem"/>
      </w:pPr>
      <w:r>
        <w:t>•</w:t>
      </w:r>
      <w:r>
        <w:tab/>
        <w:t>Multi-relational contrastive learning graph neural network for drug-drug interaction event prediction</w:t>
      </w:r>
    </w:p>
    <w:p w14:paraId="4AE64ED9" w14:textId="77777777" w:rsidR="00FE5BA1" w:rsidRDefault="00000000">
      <w:pPr>
        <w:pStyle w:val="AppendixItem"/>
      </w:pPr>
      <w:r>
        <w:t>•</w:t>
      </w:r>
      <w:r>
        <w:tab/>
        <w:t>Evolution-strengthened knowledge graph enables predicting the targetability and druggability of genes</w:t>
      </w:r>
    </w:p>
    <w:p w14:paraId="006BAA69" w14:textId="77777777" w:rsidR="00FE5BA1" w:rsidRDefault="00000000">
      <w:pPr>
        <w:pStyle w:val="AppendixItem"/>
      </w:pPr>
      <w:r>
        <w:t>•</w:t>
      </w:r>
      <w:r>
        <w:tab/>
        <w:t>Special Issue on Applications of Artificial Intelligence on Social Media</w:t>
      </w:r>
    </w:p>
    <w:p w14:paraId="3D752DE0" w14:textId="77777777" w:rsidR="00FE5BA1" w:rsidRDefault="00000000">
      <w:pPr>
        <w:pStyle w:val="21"/>
        <w:spacing w:before="240" w:after="180" w:line="288" w:lineRule="auto"/>
      </w:pPr>
      <w:r>
        <w:rPr>
          <w:rFonts w:ascii="微软雅黑" w:eastAsia="微软雅黑" w:hAnsi="微软雅黑"/>
        </w:rPr>
        <w:t>2022</w:t>
      </w:r>
    </w:p>
    <w:p w14:paraId="536DB8E6" w14:textId="77777777" w:rsidR="00FE5BA1" w:rsidRDefault="00000000">
      <w:pPr>
        <w:pStyle w:val="AppendixItem"/>
      </w:pPr>
      <w:r>
        <w:t>•</w:t>
      </w:r>
      <w:r>
        <w:tab/>
        <w:t>Predicting drug transcriptional response similarity using Signed Graph Convolutional Network</w:t>
      </w:r>
    </w:p>
    <w:p w14:paraId="335B42A5" w14:textId="77777777" w:rsidR="00FE5BA1" w:rsidRDefault="00000000">
      <w:pPr>
        <w:pStyle w:val="AppendixItem"/>
      </w:pPr>
      <w:r>
        <w:t>•</w:t>
      </w:r>
      <w:r>
        <w:tab/>
        <w:t>Predicting cell line-specific synergistic drug combinations through a relational graph convolutional network with attention mechanism</w:t>
      </w:r>
    </w:p>
    <w:p w14:paraId="4F188DC8" w14:textId="77777777" w:rsidR="00FE5BA1" w:rsidRDefault="00000000">
      <w:pPr>
        <w:pStyle w:val="AppendixItem"/>
      </w:pPr>
      <w:r>
        <w:t>•</w:t>
      </w:r>
      <w:r>
        <w:tab/>
        <w:t>Multi-way relation-enhanced hypergraph representation learning for anti-cancer drug synergy prediction</w:t>
      </w:r>
    </w:p>
    <w:p w14:paraId="7C040353" w14:textId="77777777" w:rsidR="00FE5BA1" w:rsidRDefault="00000000">
      <w:pPr>
        <w:pStyle w:val="AppendixItem"/>
      </w:pPr>
      <w:r>
        <w:t>•</w:t>
      </w:r>
      <w:r>
        <w:tab/>
        <w:t>Drlm: A robust drug representation learning method and its applications</w:t>
      </w:r>
    </w:p>
    <w:p w14:paraId="410086E8" w14:textId="77777777" w:rsidR="00FE5BA1" w:rsidRDefault="00000000">
      <w:pPr>
        <w:pStyle w:val="AppendixItem"/>
      </w:pPr>
      <w:r>
        <w:t>•</w:t>
      </w:r>
      <w:r>
        <w:tab/>
        <w:t>Mixed expert model for drug-target interaction prediction</w:t>
      </w:r>
    </w:p>
    <w:p w14:paraId="4C444095" w14:textId="77777777" w:rsidR="00FE5BA1" w:rsidRDefault="00000000">
      <w:pPr>
        <w:pStyle w:val="AppendixItem"/>
      </w:pPr>
      <w:r>
        <w:t>•</w:t>
      </w:r>
      <w:r>
        <w:tab/>
        <w:t>Hierarchical graph representation learning for the prediction of drug-target binding affinity</w:t>
      </w:r>
    </w:p>
    <w:p w14:paraId="716E66D9" w14:textId="77777777" w:rsidR="00FE5BA1" w:rsidRDefault="00000000">
      <w:pPr>
        <w:pStyle w:val="AppendixItem"/>
      </w:pPr>
      <w:r>
        <w:t>•</w:t>
      </w:r>
      <w:r>
        <w:tab/>
        <w:t>DSEATM: drug set enrichment analysis uncovering disease mechanisms by biomedical text mining</w:t>
      </w:r>
    </w:p>
    <w:p w14:paraId="336C810D" w14:textId="77777777" w:rsidR="00FE5BA1" w:rsidRDefault="00000000">
      <w:pPr>
        <w:pStyle w:val="AppendixItem"/>
      </w:pPr>
      <w:r>
        <w:t>•</w:t>
      </w:r>
      <w:r>
        <w:tab/>
        <w:t>A heterogeneous network-based method with attentive meta-path extraction for predicting drug-target interactions</w:t>
      </w:r>
    </w:p>
    <w:p w14:paraId="649FB10D" w14:textId="77777777" w:rsidR="00FE5BA1" w:rsidRDefault="00000000">
      <w:pPr>
        <w:pStyle w:val="AppendixItem"/>
      </w:pPr>
      <w:r>
        <w:t>•</w:t>
      </w:r>
      <w:r>
        <w:tab/>
        <w:t>Enhancing drug-drug interaction prediction using deep attention neural networks</w:t>
      </w:r>
    </w:p>
    <w:p w14:paraId="5D583E0D" w14:textId="77777777" w:rsidR="00FE5BA1" w:rsidRDefault="00000000">
      <w:pPr>
        <w:pStyle w:val="AppendixItem"/>
      </w:pPr>
      <w:r>
        <w:t>•</w:t>
      </w:r>
      <w:r>
        <w:tab/>
        <w:t>MVGCN: data integration through multi-view graph convolutional network for predicting links in biomedical bipartite networks</w:t>
      </w:r>
    </w:p>
    <w:p w14:paraId="1D515C01" w14:textId="77777777" w:rsidR="00FE5BA1" w:rsidRDefault="00000000">
      <w:pPr>
        <w:pStyle w:val="AppendixItem"/>
      </w:pPr>
      <w:r>
        <w:t>•</w:t>
      </w:r>
      <w:r>
        <w:tab/>
        <w:t>MiRNA-drug resistance association prediction through the attentive multimodal graph convolutional network</w:t>
      </w:r>
    </w:p>
    <w:p w14:paraId="55435FB0" w14:textId="77777777" w:rsidR="00FE5BA1" w:rsidRDefault="00000000">
      <w:pPr>
        <w:pStyle w:val="AppendixItem"/>
      </w:pPr>
      <w:r>
        <w:t>•</w:t>
      </w:r>
      <w:r>
        <w:tab/>
        <w:t>META-DDIE: predicting drug-drug interaction events with few-shot learning</w:t>
      </w:r>
    </w:p>
    <w:p w14:paraId="14BACE2A" w14:textId="77777777" w:rsidR="00FE5BA1" w:rsidRDefault="00000000">
      <w:pPr>
        <w:pStyle w:val="AppendixItem"/>
      </w:pPr>
      <w:r>
        <w:t>•</w:t>
      </w:r>
      <w:r>
        <w:tab/>
        <w:t>SGNNMD: signed graph neural network for predicting deregulation types of miRNA-disease associations</w:t>
      </w:r>
    </w:p>
    <w:p w14:paraId="5D83D1F6" w14:textId="77777777" w:rsidR="00FE5BA1" w:rsidRDefault="00000000">
      <w:pPr>
        <w:pStyle w:val="AppendixItem"/>
      </w:pPr>
      <w:r>
        <w:t>•</w:t>
      </w:r>
      <w:r>
        <w:tab/>
        <w:t>GraphCDR: a graph neural network method with contrastive learning for cancer drug response prediction</w:t>
      </w:r>
    </w:p>
    <w:p w14:paraId="251AA6C1" w14:textId="77777777" w:rsidR="00FE5BA1" w:rsidRDefault="00000000">
      <w:pPr>
        <w:pStyle w:val="AppendixItem"/>
      </w:pPr>
      <w:r>
        <w:t>•</w:t>
      </w:r>
      <w:r>
        <w:tab/>
        <w:t>PHIAF: prediction of phage-host interactions with GAN-based data augmentation and sequence-based feature fusion</w:t>
      </w:r>
    </w:p>
    <w:p w14:paraId="0A7C1288" w14:textId="77777777" w:rsidR="00FE5BA1" w:rsidRDefault="00000000">
      <w:pPr>
        <w:pStyle w:val="21"/>
        <w:spacing w:before="240" w:after="180" w:line="288" w:lineRule="auto"/>
      </w:pPr>
      <w:r>
        <w:rPr>
          <w:rFonts w:ascii="微软雅黑" w:eastAsia="微软雅黑" w:hAnsi="微软雅黑"/>
        </w:rPr>
        <w:t>2021</w:t>
      </w:r>
    </w:p>
    <w:p w14:paraId="54DFABC5" w14:textId="77777777" w:rsidR="00FE5BA1" w:rsidRDefault="00000000">
      <w:pPr>
        <w:pStyle w:val="AppendixItem"/>
      </w:pPr>
      <w:r>
        <w:t>•</w:t>
      </w:r>
      <w:r>
        <w:tab/>
        <w:t>A graph-based approach for integrating biological heterogeneous data based on connecting ontology</w:t>
      </w:r>
    </w:p>
    <w:p w14:paraId="23CD7F88" w14:textId="77777777" w:rsidR="00FE5BA1" w:rsidRDefault="00000000">
      <w:pPr>
        <w:pStyle w:val="AppendixItem"/>
      </w:pPr>
      <w:r>
        <w:t>•</w:t>
      </w:r>
      <w:r>
        <w:tab/>
        <w:t>A robust drug representation learning model for eliminating cell specificity in gene expression profile and its application</w:t>
      </w:r>
    </w:p>
    <w:p w14:paraId="1DA24B84" w14:textId="77777777" w:rsidR="00FE5BA1" w:rsidRDefault="00000000">
      <w:pPr>
        <w:pStyle w:val="AppendixItem"/>
      </w:pPr>
      <w:r>
        <w:t>•</w:t>
      </w:r>
      <w:r>
        <w:tab/>
        <w:t>Predicting drug-miRNA resistance with layer attention graph convolution network and multi channel feature extraction</w:t>
      </w:r>
    </w:p>
    <w:p w14:paraId="7637C8E3" w14:textId="77777777" w:rsidR="00FE5BA1" w:rsidRDefault="00000000">
      <w:pPr>
        <w:pStyle w:val="AppendixItem"/>
      </w:pPr>
      <w:r>
        <w:t>•</w:t>
      </w:r>
      <w:r>
        <w:tab/>
        <w:t>EPIHC: improving enhancer-promoter interaction prediction by using hybrid features and communicative learning</w:t>
      </w:r>
    </w:p>
    <w:p w14:paraId="5522A6AC" w14:textId="77777777" w:rsidR="00FE5BA1" w:rsidRDefault="00000000">
      <w:pPr>
        <w:pStyle w:val="AppendixItem"/>
      </w:pPr>
      <w:r>
        <w:t>•</w:t>
      </w:r>
      <w:r>
        <w:tab/>
        <w:t>CSGNN: Contrastive Self-Supervised Graph Neural Network for Molecular Interaction Prediction</w:t>
      </w:r>
    </w:p>
    <w:p w14:paraId="2D60F837" w14:textId="77777777" w:rsidR="00FE5BA1" w:rsidRDefault="00000000">
      <w:pPr>
        <w:pStyle w:val="AppendixItem"/>
      </w:pPr>
      <w:r>
        <w:t>•</w:t>
      </w:r>
      <w:r>
        <w:tab/>
        <w:t>A Multimodal Framework for Improving in Silico Drug Repositioning With the Prior Knowledge From Knowledge Graphs</w:t>
      </w:r>
    </w:p>
    <w:p w14:paraId="7C1F26C0" w14:textId="77777777" w:rsidR="00FE5BA1" w:rsidRDefault="00000000">
      <w:pPr>
        <w:pStyle w:val="AppendixItem"/>
      </w:pPr>
      <w:r>
        <w:lastRenderedPageBreak/>
        <w:t>•</w:t>
      </w:r>
      <w:r>
        <w:tab/>
        <w:t>Predicting drug-disease associations through layer attention graph convolutional network</w:t>
      </w:r>
    </w:p>
    <w:p w14:paraId="521E8C9C" w14:textId="77777777" w:rsidR="00FE5BA1" w:rsidRDefault="00000000">
      <w:pPr>
        <w:pStyle w:val="AppendixItem"/>
      </w:pPr>
      <w:r>
        <w:t>•</w:t>
      </w:r>
      <w:r>
        <w:tab/>
        <w:t>Acp-da: improving the prediction of anticancer peptides using data augmentation</w:t>
      </w:r>
    </w:p>
    <w:p w14:paraId="7905160F" w14:textId="77777777" w:rsidR="00FE5BA1" w:rsidRDefault="00000000">
      <w:pPr>
        <w:pStyle w:val="AppendixItem"/>
      </w:pPr>
      <w:r>
        <w:t>•</w:t>
      </w:r>
      <w:r>
        <w:tab/>
        <w:t>A comprehensive review of computational methods for drug-drug interaction detection</w:t>
      </w:r>
    </w:p>
    <w:p w14:paraId="532C3209" w14:textId="77777777" w:rsidR="00FE5BA1" w:rsidRDefault="00000000">
      <w:pPr>
        <w:pStyle w:val="AppendixItem"/>
      </w:pPr>
      <w:r>
        <w:t>•</w:t>
      </w:r>
      <w:r>
        <w:tab/>
        <w:t>A systematic review of computational methods for predicting long noncoding RNAs</w:t>
      </w:r>
    </w:p>
    <w:p w14:paraId="61887562" w14:textId="77777777" w:rsidR="00FE5BA1" w:rsidRDefault="00000000">
      <w:pPr>
        <w:pStyle w:val="21"/>
        <w:spacing w:before="240" w:after="180" w:line="288" w:lineRule="auto"/>
      </w:pPr>
      <w:r>
        <w:rPr>
          <w:rFonts w:ascii="微软雅黑" w:eastAsia="微软雅黑" w:hAnsi="微软雅黑"/>
        </w:rPr>
        <w:t>2020</w:t>
      </w:r>
    </w:p>
    <w:p w14:paraId="4B0C22F1" w14:textId="77777777" w:rsidR="00FE5BA1" w:rsidRDefault="00000000">
      <w:pPr>
        <w:pStyle w:val="AppendixItem"/>
      </w:pPr>
      <w:r>
        <w:t>•</w:t>
      </w:r>
      <w:r>
        <w:tab/>
        <w:t>Predicting Long non-coding RNAs through feature ensemble learning</w:t>
      </w:r>
    </w:p>
    <w:p w14:paraId="2BA5586F" w14:textId="77777777" w:rsidR="00FE5BA1" w:rsidRDefault="00000000">
      <w:pPr>
        <w:pStyle w:val="AppendixItem"/>
      </w:pPr>
      <w:r>
        <w:t>•</w:t>
      </w:r>
      <w:r>
        <w:tab/>
        <w:t>Graph embedding ensemble methods based on the heterogeneous network for lncRNA-miRNA interaction prediction</w:t>
      </w:r>
    </w:p>
    <w:p w14:paraId="013E6ED9" w14:textId="77777777" w:rsidR="00FE5BA1" w:rsidRDefault="00000000">
      <w:pPr>
        <w:pStyle w:val="AppendixItem"/>
      </w:pPr>
      <w:r>
        <w:t>•</w:t>
      </w:r>
      <w:r>
        <w:tab/>
        <w:t>Predicting coding potential of RNA sequences by solving local data imbalance</w:t>
      </w:r>
    </w:p>
    <w:p w14:paraId="532F2A1C" w14:textId="77777777" w:rsidR="00FE5BA1" w:rsidRDefault="00000000">
      <w:pPr>
        <w:pStyle w:val="AppendixItem"/>
      </w:pPr>
      <w:r>
        <w:t>•</w:t>
      </w:r>
      <w:r>
        <w:tab/>
        <w:t>Tensor decomposition with relational constraints for predicting multiple types of microRNA-disease associations</w:t>
      </w:r>
    </w:p>
    <w:p w14:paraId="536F659D" w14:textId="77777777" w:rsidR="00FE5BA1" w:rsidRDefault="00000000">
      <w:pPr>
        <w:pStyle w:val="AppendixItem"/>
      </w:pPr>
      <w:r>
        <w:t>•</w:t>
      </w:r>
      <w:r>
        <w:tab/>
        <w:t>A multimodal deep learning framework for predicting drug-drug interaction events</w:t>
      </w:r>
    </w:p>
    <w:p w14:paraId="739A1D7C" w14:textId="77777777" w:rsidR="00FE5BA1" w:rsidRDefault="00000000">
      <w:pPr>
        <w:pStyle w:val="AppendixItem"/>
      </w:pPr>
      <w:r>
        <w:t>•</w:t>
      </w:r>
      <w:r>
        <w:tab/>
        <w:t>Predicting drug-drug interactions using multi-modal deep auto-encoders based network embedding and positive-unlabeled learning</w:t>
      </w:r>
    </w:p>
    <w:p w14:paraId="7A6A1C00" w14:textId="77777777" w:rsidR="00FE5BA1" w:rsidRDefault="00000000">
      <w:pPr>
        <w:pStyle w:val="AppendixItem"/>
      </w:pPr>
      <w:r>
        <w:t>•</w:t>
      </w:r>
      <w:r>
        <w:tab/>
        <w:t>ItLnc-BXE: a bagging-XGBoost-ensemble method with comprehensive sequence features for identification of plant lncRNAs</w:t>
      </w:r>
    </w:p>
    <w:p w14:paraId="53C112E0" w14:textId="77777777" w:rsidR="00FE5BA1" w:rsidRDefault="00000000">
      <w:pPr>
        <w:pStyle w:val="AppendixItem"/>
      </w:pPr>
      <w:r>
        <w:t>•</w:t>
      </w:r>
      <w:r>
        <w:tab/>
        <w:t>Graph embedding on biomedical networks: methods, applications and evaluations</w:t>
      </w:r>
    </w:p>
    <w:p w14:paraId="30FE045A" w14:textId="77777777" w:rsidR="00FE5BA1" w:rsidRDefault="00000000">
      <w:pPr>
        <w:pStyle w:val="AppendixItem"/>
      </w:pPr>
      <w:r>
        <w:t>•</w:t>
      </w:r>
      <w:r>
        <w:tab/>
        <w:t>ncRNA-eQTL: a database to systematically evaluate the effects of SNPs on non-coding RNA expression across cancer types</w:t>
      </w:r>
    </w:p>
    <w:p w14:paraId="1BF9B688" w14:textId="77777777" w:rsidR="00FE5BA1" w:rsidRDefault="00000000">
      <w:pPr>
        <w:pStyle w:val="AppendixItem"/>
      </w:pPr>
      <w:r>
        <w:t>•</w:t>
      </w:r>
      <w:r>
        <w:tab/>
        <w:t>Graph embedding and ensemble learning for predicting gene-disease associations</w:t>
      </w:r>
    </w:p>
    <w:p w14:paraId="55DC3DF8" w14:textId="77777777" w:rsidR="00FE5BA1" w:rsidRDefault="00000000">
      <w:pPr>
        <w:pStyle w:val="21"/>
        <w:spacing w:before="240" w:after="180" w:line="288" w:lineRule="auto"/>
      </w:pPr>
      <w:r>
        <w:rPr>
          <w:rFonts w:ascii="微软雅黑" w:eastAsia="微软雅黑" w:hAnsi="微软雅黑"/>
        </w:rPr>
        <w:t>2019</w:t>
      </w:r>
    </w:p>
    <w:p w14:paraId="7D4246A1" w14:textId="77777777" w:rsidR="00FE5BA1" w:rsidRDefault="00000000">
      <w:pPr>
        <w:pStyle w:val="AppendixItem"/>
      </w:pPr>
      <w:r>
        <w:t>•</w:t>
      </w:r>
      <w:r>
        <w:tab/>
        <w:t>LncRNA-miRNA interaction prediction through sequence-derived linear neighborhood propagation method with information combination</w:t>
      </w:r>
    </w:p>
    <w:p w14:paraId="729C9222" w14:textId="77777777" w:rsidR="00FE5BA1" w:rsidRDefault="00000000">
      <w:pPr>
        <w:pStyle w:val="AppendixItem"/>
      </w:pPr>
      <w:r>
        <w:t>•</w:t>
      </w:r>
      <w:r>
        <w:tab/>
        <w:t>Predicting gene-disease associations from the heterogeneous network using graph embedding</w:t>
      </w:r>
    </w:p>
    <w:p w14:paraId="7B9F2818" w14:textId="77777777" w:rsidR="00FE5BA1" w:rsidRDefault="00000000">
      <w:pPr>
        <w:pStyle w:val="AppendixItem"/>
      </w:pPr>
      <w:r>
        <w:t>•</w:t>
      </w:r>
      <w:r>
        <w:tab/>
        <w:t>LncRNA-miRNA interaction prediction from the heterogeneous network through graph embedding ensemble learning</w:t>
      </w:r>
    </w:p>
    <w:p w14:paraId="23D229C4" w14:textId="77777777" w:rsidR="00FE5BA1" w:rsidRDefault="00000000">
      <w:pPr>
        <w:pStyle w:val="AppendixItem"/>
      </w:pPr>
      <w:r>
        <w:t>•</w:t>
      </w:r>
      <w:r>
        <w:tab/>
        <w:t>Detection of cell types from single-cell RNA-seq data using similarity via kernel preserving learning embedding</w:t>
      </w:r>
    </w:p>
    <w:p w14:paraId="50990038" w14:textId="77777777" w:rsidR="00FE5BA1" w:rsidRDefault="00000000">
      <w:pPr>
        <w:pStyle w:val="AppendixItem"/>
      </w:pPr>
      <w:r>
        <w:t>•</w:t>
      </w:r>
      <w:r>
        <w:tab/>
        <w:t>LncPred-IEL: a long non-coding RNA prediction method using iterative ensemble learning</w:t>
      </w:r>
    </w:p>
    <w:p w14:paraId="18AA5124" w14:textId="77777777" w:rsidR="00FE5BA1" w:rsidRDefault="00000000">
      <w:pPr>
        <w:pStyle w:val="AppendixItem"/>
      </w:pPr>
      <w:r>
        <w:t>•</w:t>
      </w:r>
      <w:r>
        <w:tab/>
        <w:t>Structural network embedding using multi-modal deep auto-encoders for predicting drug-drug interactions</w:t>
      </w:r>
    </w:p>
    <w:p w14:paraId="58F7A207" w14:textId="77777777" w:rsidR="00FE5BA1" w:rsidRDefault="00000000">
      <w:pPr>
        <w:pStyle w:val="AppendixItem"/>
      </w:pPr>
      <w:r>
        <w:t>•</w:t>
      </w:r>
      <w:r>
        <w:tab/>
        <w:t>A network embedding-based multiple information integration method for the MiRNA-disease association prediction</w:t>
      </w:r>
    </w:p>
    <w:p w14:paraId="2F0FB91E" w14:textId="77777777" w:rsidR="00FE5BA1" w:rsidRDefault="00000000">
      <w:pPr>
        <w:pStyle w:val="AppendixItem"/>
      </w:pPr>
      <w:r>
        <w:t>•</w:t>
      </w:r>
      <w:r>
        <w:tab/>
        <w:t>PredLnc-GFStack: a global sequence feature based on a stacked ensemble learning method for predicting lncRNAs from transcripts</w:t>
      </w:r>
    </w:p>
    <w:p w14:paraId="093D6DD2" w14:textId="77777777" w:rsidR="00FE5BA1" w:rsidRDefault="00000000">
      <w:pPr>
        <w:pStyle w:val="AppendixItem"/>
      </w:pPr>
      <w:r>
        <w:t>•</w:t>
      </w:r>
      <w:r>
        <w:tab/>
        <w:t>SFLLN: a sparse feature learning ensemble method with linear neighborhood regularization for predicting drug-drug interactions</w:t>
      </w:r>
    </w:p>
    <w:p w14:paraId="14AAD46E" w14:textId="77777777" w:rsidR="00FE5BA1" w:rsidRDefault="00000000">
      <w:pPr>
        <w:pStyle w:val="AppendixItem"/>
      </w:pPr>
      <w:r>
        <w:t>•</w:t>
      </w:r>
      <w:r>
        <w:tab/>
        <w:t>Efficient network representations learning: An edge-centric perspective</w:t>
      </w:r>
    </w:p>
    <w:p w14:paraId="78A429D8" w14:textId="77777777" w:rsidR="00FE5BA1" w:rsidRDefault="00000000">
      <w:pPr>
        <w:pStyle w:val="AppendixItem"/>
      </w:pPr>
      <w:r>
        <w:t>•</w:t>
      </w:r>
      <w:r>
        <w:tab/>
        <w:t>A fast linear neighborhood similarity-based network link inference method to predict microRNA-disease associations</w:t>
      </w:r>
    </w:p>
    <w:p w14:paraId="4CE631EA" w14:textId="77777777" w:rsidR="00FE5BA1" w:rsidRDefault="00000000">
      <w:pPr>
        <w:pStyle w:val="AppendixItem"/>
      </w:pPr>
      <w:r>
        <w:t>•</w:t>
      </w:r>
      <w:r>
        <w:tab/>
        <w:t>Predicting CircRNA-disease associations through linear neighborhood label propagation method</w:t>
      </w:r>
    </w:p>
    <w:p w14:paraId="3615ADF5" w14:textId="77777777" w:rsidR="00FE5BA1" w:rsidRDefault="00000000">
      <w:pPr>
        <w:pStyle w:val="AppendixItem"/>
      </w:pPr>
      <w:r>
        <w:t>•</w:t>
      </w:r>
      <w:r>
        <w:tab/>
        <w:t>An ensemble strategy to predict prognosis in ovarian cancer based on gene modules</w:t>
      </w:r>
    </w:p>
    <w:p w14:paraId="78BF6292" w14:textId="77777777" w:rsidR="00FE5BA1" w:rsidRDefault="00000000">
      <w:pPr>
        <w:pStyle w:val="AppendixItem"/>
      </w:pPr>
      <w:r>
        <w:t>•</w:t>
      </w:r>
      <w:r>
        <w:tab/>
        <w:t>Recent advances in the machine learning-based drug-target interaction prediction</w:t>
      </w:r>
    </w:p>
    <w:p w14:paraId="613581AF" w14:textId="77777777" w:rsidR="00FE5BA1" w:rsidRDefault="00000000">
      <w:pPr>
        <w:pStyle w:val="21"/>
        <w:spacing w:before="240" w:after="180" w:line="288" w:lineRule="auto"/>
      </w:pPr>
      <w:r>
        <w:rPr>
          <w:rFonts w:ascii="微软雅黑" w:eastAsia="微软雅黑" w:hAnsi="微软雅黑"/>
        </w:rPr>
        <w:t>2018</w:t>
      </w:r>
    </w:p>
    <w:p w14:paraId="5CBD0026" w14:textId="77777777" w:rsidR="00FE5BA1" w:rsidRDefault="00000000">
      <w:pPr>
        <w:pStyle w:val="AppendixItem"/>
      </w:pPr>
      <w:r>
        <w:t>•</w:t>
      </w:r>
      <w:r>
        <w:tab/>
        <w:t>Predicting drug-disease associations by using similarity constrained matrix factorization</w:t>
      </w:r>
    </w:p>
    <w:p w14:paraId="59BB8905" w14:textId="77777777" w:rsidR="00FE5BA1" w:rsidRDefault="00000000">
      <w:pPr>
        <w:pStyle w:val="AppendixItem"/>
      </w:pPr>
      <w:r>
        <w:t>•</w:t>
      </w:r>
      <w:r>
        <w:tab/>
        <w:t>SFPEL-LPI: sequence-based feature projection ensemble learning for predicting LncRNA-protein interactions</w:t>
      </w:r>
    </w:p>
    <w:p w14:paraId="0A846F25" w14:textId="77777777" w:rsidR="00FE5BA1" w:rsidRDefault="00000000">
      <w:pPr>
        <w:pStyle w:val="AppendixItem"/>
      </w:pPr>
      <w:r>
        <w:t>•</w:t>
      </w:r>
      <w:r>
        <w:tab/>
        <w:t>Sequence-derived linear neighborhood propagation method for predicting lncRNA-miRNA interactions</w:t>
      </w:r>
    </w:p>
    <w:p w14:paraId="15A88841" w14:textId="77777777" w:rsidR="00FE5BA1" w:rsidRDefault="00000000">
      <w:pPr>
        <w:pStyle w:val="AppendixItem"/>
      </w:pPr>
      <w:r>
        <w:t>•</w:t>
      </w:r>
      <w:r>
        <w:tab/>
        <w:t>HNGRNMF: Heterogeneous Network-based Graph Regularized Nonnegative Matrix Factorization for predicting events of microbe-disease associations</w:t>
      </w:r>
    </w:p>
    <w:p w14:paraId="7D7FE6B9" w14:textId="77777777" w:rsidR="00FE5BA1" w:rsidRDefault="00000000">
      <w:pPr>
        <w:pStyle w:val="AppendixItem"/>
      </w:pPr>
      <w:r>
        <w:t>•</w:t>
      </w:r>
      <w:r>
        <w:tab/>
        <w:t>Prediction of Drug-Disease Associations and Their Effects by Signed Network-Based Nonnegative Matrix Factorization</w:t>
      </w:r>
    </w:p>
    <w:p w14:paraId="2EC3417E" w14:textId="77777777" w:rsidR="00FE5BA1" w:rsidRDefault="00000000">
      <w:pPr>
        <w:pStyle w:val="AppendixItem"/>
      </w:pPr>
      <w:r>
        <w:lastRenderedPageBreak/>
        <w:t>•</w:t>
      </w:r>
      <w:r>
        <w:tab/>
        <w:t>Sequence-based bacterial small RNAs prediction using ensemble learning strategies</w:t>
      </w:r>
    </w:p>
    <w:p w14:paraId="13B44309" w14:textId="77777777" w:rsidR="00FE5BA1" w:rsidRDefault="00000000">
      <w:pPr>
        <w:pStyle w:val="AppendixItem"/>
      </w:pPr>
      <w:r>
        <w:t>•</w:t>
      </w:r>
      <w:r>
        <w:tab/>
        <w:t>Manifold regularized matrix factorization for drug-drug interaction prediction</w:t>
      </w:r>
    </w:p>
    <w:p w14:paraId="057C75F5" w14:textId="77777777" w:rsidR="00FE5BA1" w:rsidRDefault="00000000">
      <w:pPr>
        <w:pStyle w:val="AppendixItem"/>
      </w:pPr>
      <w:r>
        <w:t>•</w:t>
      </w:r>
      <w:r>
        <w:tab/>
        <w:t>Predicting drug-disease associations and their therapeutic function based on the drug-disease association bipartite network</w:t>
      </w:r>
    </w:p>
    <w:p w14:paraId="12C5E8A3" w14:textId="77777777" w:rsidR="00FE5BA1" w:rsidRDefault="00000000">
      <w:pPr>
        <w:pStyle w:val="AppendixItem"/>
      </w:pPr>
      <w:r>
        <w:t>•</w:t>
      </w:r>
      <w:r>
        <w:tab/>
        <w:t>IRWNRLPI: integrating random walk and neighborhood regularized logistic matrix factorization for lncRNA-protein interaction prediction</w:t>
      </w:r>
    </w:p>
    <w:p w14:paraId="4D7A6445" w14:textId="77777777" w:rsidR="00FE5BA1" w:rsidRDefault="00000000">
      <w:pPr>
        <w:pStyle w:val="AppendixItem"/>
      </w:pPr>
      <w:r>
        <w:t>•</w:t>
      </w:r>
      <w:r>
        <w:tab/>
        <w:t>The bi-direction similarity integration method for predicting microbe-disease associations</w:t>
      </w:r>
    </w:p>
    <w:p w14:paraId="6B65879A" w14:textId="77777777" w:rsidR="00FE5BA1" w:rsidRDefault="00000000">
      <w:pPr>
        <w:pStyle w:val="AppendixItem"/>
      </w:pPr>
      <w:r>
        <w:t>•</w:t>
      </w:r>
      <w:r>
        <w:tab/>
        <w:t>Feature-derived graph regularized matrix factorization for predicting drug side effects</w:t>
      </w:r>
    </w:p>
    <w:p w14:paraId="3110054C" w14:textId="77777777" w:rsidR="00FE5BA1" w:rsidRDefault="00000000">
      <w:pPr>
        <w:pStyle w:val="AppendixItem"/>
      </w:pPr>
      <w:r>
        <w:t>•</w:t>
      </w:r>
      <w:r>
        <w:tab/>
        <w:t>The linear neighborhood propagation method for predicting long non-coding RNA–protein interactions</w:t>
      </w:r>
    </w:p>
    <w:p w14:paraId="4EA8133E" w14:textId="77777777" w:rsidR="00FE5BA1" w:rsidRDefault="00000000">
      <w:pPr>
        <w:pStyle w:val="21"/>
        <w:spacing w:before="240" w:after="180" w:line="288" w:lineRule="auto"/>
      </w:pPr>
      <w:r>
        <w:rPr>
          <w:rFonts w:ascii="微软雅黑" w:eastAsia="微软雅黑" w:hAnsi="微软雅黑"/>
        </w:rPr>
        <w:t>2017</w:t>
      </w:r>
    </w:p>
    <w:p w14:paraId="20F71B2D" w14:textId="77777777" w:rsidR="00FE5BA1" w:rsidRDefault="00000000">
      <w:pPr>
        <w:pStyle w:val="AppendixItem"/>
      </w:pPr>
      <w:r>
        <w:t>•</w:t>
      </w:r>
      <w:r>
        <w:tab/>
        <w:t>Predicting potential drug-drug interactions by integrating chemical, biological, phenotypic and network data</w:t>
      </w:r>
    </w:p>
    <w:p w14:paraId="42DA452B" w14:textId="77777777" w:rsidR="00FE5BA1" w:rsidRDefault="00000000">
      <w:pPr>
        <w:pStyle w:val="AppendixItem"/>
      </w:pPr>
      <w:r>
        <w:t>•</w:t>
      </w:r>
      <w:r>
        <w:tab/>
        <w:t>A unified frame of predicting side effects of drugs by using linear neighborhood similarity</w:t>
      </w:r>
    </w:p>
    <w:p w14:paraId="4A9C68D3" w14:textId="77777777" w:rsidR="00FE5BA1" w:rsidRDefault="00000000">
      <w:pPr>
        <w:pStyle w:val="AppendixItem"/>
      </w:pPr>
      <w:r>
        <w:t>•</w:t>
      </w:r>
      <w:r>
        <w:tab/>
        <w:t>Predicting human splicing branchpoints by combining sequence-derived features and multi-label learning methods</w:t>
      </w:r>
    </w:p>
    <w:p w14:paraId="6D6E3733" w14:textId="77777777" w:rsidR="00FE5BA1" w:rsidRDefault="00000000">
      <w:pPr>
        <w:pStyle w:val="AppendixItem"/>
      </w:pPr>
      <w:r>
        <w:t>•</w:t>
      </w:r>
      <w:r>
        <w:tab/>
        <w:t>Drug-target interaction prediction through label propagation with linear neighborhood information</w:t>
      </w:r>
    </w:p>
    <w:p w14:paraId="3848837C" w14:textId="77777777" w:rsidR="00FE5BA1" w:rsidRDefault="00000000">
      <w:pPr>
        <w:pStyle w:val="AppendixItem"/>
      </w:pPr>
      <w:r>
        <w:t>•</w:t>
      </w:r>
      <w:r>
        <w:tab/>
        <w:t>Predicting drug-disease associations based on the known association bipartite network</w:t>
      </w:r>
    </w:p>
    <w:p w14:paraId="50E8EB83" w14:textId="77777777" w:rsidR="00FE5BA1" w:rsidRDefault="00000000">
      <w:pPr>
        <w:pStyle w:val="AppendixItem"/>
      </w:pPr>
      <w:r>
        <w:t>•</w:t>
      </w:r>
      <w:r>
        <w:tab/>
        <w:t>Predicting small RNAs in bacteria via sequence learning ensemble method</w:t>
      </w:r>
    </w:p>
    <w:p w14:paraId="129FD4AA" w14:textId="77777777" w:rsidR="00FE5BA1" w:rsidRDefault="00000000">
      <w:pPr>
        <w:pStyle w:val="AppendixItem"/>
      </w:pPr>
      <w:r>
        <w:t>•</w:t>
      </w:r>
      <w:r>
        <w:tab/>
        <w:t>LPI-NRLMF: lncRNA-protein interaction prediction by neighborhood regularized logistic matrix factorization</w:t>
      </w:r>
    </w:p>
    <w:p w14:paraId="18AE2998" w14:textId="77777777" w:rsidR="00FE5BA1" w:rsidRDefault="00000000">
      <w:pPr>
        <w:pStyle w:val="AppendixItem"/>
      </w:pPr>
      <w:r>
        <w:t>•</w:t>
      </w:r>
      <w:r>
        <w:tab/>
        <w:t>Quantitative prediction of drug side effects based on drug-related features</w:t>
      </w:r>
    </w:p>
    <w:p w14:paraId="6C7E69A8" w14:textId="77777777" w:rsidR="00FE5BA1" w:rsidRDefault="00000000">
      <w:pPr>
        <w:pStyle w:val="21"/>
        <w:spacing w:before="240" w:after="180" w:line="288" w:lineRule="auto"/>
      </w:pPr>
      <w:r>
        <w:rPr>
          <w:rFonts w:ascii="微软雅黑" w:eastAsia="微软雅黑" w:hAnsi="微软雅黑"/>
        </w:rPr>
        <w:t>2016</w:t>
      </w:r>
    </w:p>
    <w:p w14:paraId="48A85023" w14:textId="77777777" w:rsidR="00FE5BA1" w:rsidRDefault="00000000">
      <w:pPr>
        <w:pStyle w:val="AppendixItem"/>
      </w:pPr>
      <w:r>
        <w:t>•</w:t>
      </w:r>
      <w:r>
        <w:tab/>
        <w:t>Predicting potential side effects of drugs by recommender methods and ensemble learning</w:t>
      </w:r>
    </w:p>
    <w:p w14:paraId="7C171D29" w14:textId="77777777" w:rsidR="00FE5BA1" w:rsidRDefault="00000000">
      <w:pPr>
        <w:pStyle w:val="AppendixItem"/>
      </w:pPr>
      <w:r>
        <w:t>•</w:t>
      </w:r>
      <w:r>
        <w:tab/>
        <w:t>The prediction of human splicing branchpoints by multi-label learning</w:t>
      </w:r>
    </w:p>
    <w:p w14:paraId="1DC6B4EB" w14:textId="77777777" w:rsidR="00FE5BA1" w:rsidRDefault="00000000">
      <w:pPr>
        <w:pStyle w:val="AppendixItem"/>
      </w:pPr>
      <w:r>
        <w:t>•</w:t>
      </w:r>
      <w:r>
        <w:tab/>
        <w:t>Drug side effect prediction through linear neighborhoods and multiple data source integration</w:t>
      </w:r>
    </w:p>
    <w:p w14:paraId="6B175B22" w14:textId="77777777" w:rsidR="00FE5BA1" w:rsidRDefault="00000000">
      <w:pPr>
        <w:pStyle w:val="AppendixItem"/>
      </w:pPr>
      <w:r>
        <w:t>•</w:t>
      </w:r>
      <w:r>
        <w:tab/>
        <w:t>A genetic algorithm-based weighted ensemble method for predicting transposon-derived piRNAs</w:t>
      </w:r>
    </w:p>
    <w:p w14:paraId="7A10174B" w14:textId="77777777" w:rsidR="00FE5BA1" w:rsidRDefault="00000000">
      <w:pPr>
        <w:pStyle w:val="AppendixItem"/>
      </w:pPr>
      <w:r>
        <w:t>•</w:t>
      </w:r>
      <w:r>
        <w:tab/>
        <w:t>Multi-domain manifold learning for drug-target interaction prediction</w:t>
      </w:r>
    </w:p>
    <w:p w14:paraId="565A8078" w14:textId="77777777" w:rsidR="00FE5BA1" w:rsidRDefault="00000000">
      <w:pPr>
        <w:pStyle w:val="AppendixItem"/>
      </w:pPr>
      <w:r>
        <w:t>•</w:t>
      </w:r>
      <w:r>
        <w:tab/>
        <w:t>Accurate prediction of transposon-derived piRNAs by integrating various sequential and physicochemical features</w:t>
      </w:r>
    </w:p>
    <w:sectPr w:rsidR="00FE5BA1" w:rsidSect="00034616">
      <w:footerReference w:type="default" r:id="rId19"/>
      <w:pgSz w:w="12240" w:h="15840"/>
      <w:pgMar w:top="1123" w:right="1296" w:bottom="1224" w:left="1296" w:header="720"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A6902" w14:textId="77777777" w:rsidR="002901A1" w:rsidRDefault="002901A1">
      <w:pPr>
        <w:spacing w:after="0" w:line="240" w:lineRule="auto"/>
      </w:pPr>
      <w:r>
        <w:separator/>
      </w:r>
    </w:p>
  </w:endnote>
  <w:endnote w:type="continuationSeparator" w:id="0">
    <w:p w14:paraId="5EB75B5B" w14:textId="77777777" w:rsidR="002901A1" w:rsidRDefault="00290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EF69" w14:textId="77777777" w:rsidR="00FE5BA1" w:rsidRDefault="00000000">
    <w:pPr>
      <w:pStyle w:val="a7"/>
      <w:ind w:firstLine="0"/>
      <w:jc w:val="center"/>
    </w:pPr>
    <w:r>
      <w:rPr>
        <w:color w:val="5A5A5A"/>
        <w:sz w:val="18"/>
      </w:rPr>
      <w:fldChar w:fldCharType="begin"/>
    </w:r>
    <w:r>
      <w:rPr>
        <w:color w:val="5A5A5A"/>
        <w:sz w:val="18"/>
      </w:rPr>
      <w:instrText>PAGE</w:instrText>
    </w:r>
    <w:r>
      <w:rPr>
        <w:color w:val="5A5A5A"/>
        <w:sz w:val="18"/>
      </w:rPr>
      <w:fldChar w:fldCharType="separate"/>
    </w:r>
    <w:r>
      <w:rPr>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692B" w14:textId="77777777" w:rsidR="002901A1" w:rsidRDefault="002901A1">
      <w:pPr>
        <w:spacing w:after="0" w:line="240" w:lineRule="auto"/>
      </w:pPr>
      <w:r>
        <w:separator/>
      </w:r>
    </w:p>
  </w:footnote>
  <w:footnote w:type="continuationSeparator" w:id="0">
    <w:p w14:paraId="101FC6DA" w14:textId="77777777" w:rsidR="002901A1" w:rsidRDefault="00290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7852628">
    <w:abstractNumId w:val="8"/>
  </w:num>
  <w:num w:numId="2" w16cid:durableId="633173407">
    <w:abstractNumId w:val="6"/>
  </w:num>
  <w:num w:numId="3" w16cid:durableId="1007487645">
    <w:abstractNumId w:val="5"/>
  </w:num>
  <w:num w:numId="4" w16cid:durableId="933368044">
    <w:abstractNumId w:val="4"/>
  </w:num>
  <w:num w:numId="5" w16cid:durableId="1085568455">
    <w:abstractNumId w:val="7"/>
  </w:num>
  <w:num w:numId="6" w16cid:durableId="930354529">
    <w:abstractNumId w:val="3"/>
  </w:num>
  <w:num w:numId="7" w16cid:durableId="343938786">
    <w:abstractNumId w:val="2"/>
  </w:num>
  <w:num w:numId="8" w16cid:durableId="593441033">
    <w:abstractNumId w:val="1"/>
  </w:num>
  <w:num w:numId="9" w16cid:durableId="1403870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1A1"/>
    <w:rsid w:val="0029639D"/>
    <w:rsid w:val="00326F90"/>
    <w:rsid w:val="00AA1D8D"/>
    <w:rsid w:val="00AA334E"/>
    <w:rsid w:val="00B47730"/>
    <w:rsid w:val="00CB0664"/>
    <w:rsid w:val="00D91203"/>
    <w:rsid w:val="00FC693F"/>
    <w:rsid w:val="00FE5B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0F59C"/>
  <w14:defaultImageDpi w14:val="300"/>
  <w15:docId w15:val="{A066285C-4166-462C-BBDD-D2297095F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48" w:lineRule="auto"/>
      <w:ind w:firstLine="420"/>
      <w:jc w:val="both"/>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spacing w:before="280" w:after="14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after="160" w:line="240" w:lineRule="auto"/>
      <w:contextualSpacing/>
      <w:jc w:val="center"/>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Item">
    <w:name w:val="Reference Item"/>
    <w:pPr>
      <w:keepLines/>
      <w:spacing w:after="50"/>
      <w:ind w:left="432" w:hanging="432"/>
    </w:pPr>
    <w:rPr>
      <w:rFonts w:ascii="Times New Roman" w:eastAsia="宋体" w:hAnsi="Times New Roman"/>
      <w:color w:val="000000"/>
      <w:sz w:val="19"/>
    </w:rPr>
  </w:style>
  <w:style w:type="paragraph" w:customStyle="1" w:styleId="AppendixItem">
    <w:name w:val="Appendix Item"/>
    <w:pPr>
      <w:keepLines/>
      <w:spacing w:after="50"/>
      <w:ind w:left="432" w:hanging="432"/>
    </w:pPr>
    <w:rPr>
      <w:rFonts w:ascii="Times New Roman" w:eastAsia="宋体" w:hAnsi="Times New Roman"/>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neucom.2015.08.054" TargetMode="External"/><Relationship Id="rId13" Type="http://schemas.openxmlformats.org/officeDocument/2006/relationships/hyperlink" Target="https://doi.org/10.1093/bib/bbaa243" TargetMode="External"/><Relationship Id="rId18" Type="http://schemas.openxmlformats.org/officeDocument/2006/relationships/hyperlink" Target="https://doi.org/10.1109/TCBB.2021.308126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3/bioinformatics/btaa501" TargetMode="External"/><Relationship Id="rId17" Type="http://schemas.openxmlformats.org/officeDocument/2006/relationships/hyperlink" Target="https://doi.org/10.1093/bib/bbad235" TargetMode="External"/><Relationship Id="rId2" Type="http://schemas.openxmlformats.org/officeDocument/2006/relationships/numbering" Target="numbering.xml"/><Relationship Id="rId16" Type="http://schemas.openxmlformats.org/officeDocument/2006/relationships/hyperlink" Target="https://doi.org/10.1109/TCBB.2022.317242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bioinformatics/btz718" TargetMode="External"/><Relationship Id="rId5" Type="http://schemas.openxmlformats.org/officeDocument/2006/relationships/webSettings" Target="webSettings.xml"/><Relationship Id="rId15" Type="http://schemas.openxmlformats.org/officeDocument/2006/relationships/hyperlink" Target="https://doi.org/10.1093/bioinformatics/btab651" TargetMode="External"/><Relationship Id="rId10" Type="http://schemas.openxmlformats.org/officeDocument/2006/relationships/hyperlink" Target="https://doi.org/10.1186/s12859-018-2220-4"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186/s12859-016-1415-9" TargetMode="External"/><Relationship Id="rId14" Type="http://schemas.openxmlformats.org/officeDocument/2006/relationships/hyperlink" Target="https://doi.org/10.1093/bib/bbab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3163</Words>
  <Characters>18035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章文教授近十年生物医学人工智能研究综述</dc:title>
  <dc:subject>2016 至 2026 年英文成果的主题综合与批判性分析</dc:subject>
  <dc:creator/>
  <cp:keywords/>
  <dc:description>generated by python-docx</dc:description>
  <cp:lastModifiedBy>文泽 武</cp:lastModifiedBy>
  <cp:revision>2</cp:revision>
  <dcterms:created xsi:type="dcterms:W3CDTF">2013-12-23T23:15:00Z</dcterms:created>
  <dcterms:modified xsi:type="dcterms:W3CDTF">2026-09-23T11:01:00Z</dcterms:modified>
  <cp:category/>
</cp:coreProperties>
</file>