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72"/>
        <w:jc w:val="center"/>
      </w:pPr>
      <w:r>
        <w:rPr>
          <w:rFonts w:ascii="Microsoft YaHei" w:hAnsi="Microsoft YaHei" w:eastAsia="微软雅黑"/>
          <w:b/>
          <w:color w:val="000000"/>
          <w:sz w:val="48"/>
          <w:lang w:val="zh-CN"/>
        </w:rPr>
        <w:t>章文教授近十年英文论文文献综述</w:t>
      </w:r>
    </w:p>
    <w:p>
      <w:pPr>
        <w:spacing w:after="480"/>
        <w:jc w:val="center"/>
      </w:pPr>
      <w:r>
        <w:rPr>
          <w:rFonts w:ascii="Times New Roman" w:hAnsi="Times New Roman" w:eastAsia="宋体"/>
          <w:b w:val="0"/>
          <w:color w:val="595959"/>
          <w:sz w:val="30"/>
          <w:lang w:val="zh-CN"/>
        </w:rPr>
        <w:t>2016至2026</w:t>
      </w:r>
    </w:p>
    <w:p>
      <w:pPr>
        <w:spacing w:line="360" w:lineRule="auto" w:before="360"/>
        <w:ind w:left="936" w:right="936" w:firstLine="440"/>
      </w:pPr>
      <w:r>
        <w:rPr>
          <w:rFonts w:ascii="Times New Roman" w:hAnsi="Times New Roman" w:eastAsia="宋体"/>
          <w:color w:val="000000"/>
          <w:sz w:val="22"/>
          <w:lang w:val="zh-CN"/>
        </w:rPr>
        <w:t>本综述围绕章文教授近十年的英文研究成果，分析其从相似性学习和矩阵分解，向图神经网络、多模态学习、对比学习、生成模型和分子预训练的演进。作者消歧后共纳入118条候选成果，并从研究阶段、应用方向、代表性论文、方法贡献和局限性等方面进行归纳。</w:t>
      </w:r>
    </w:p>
    <w:p>
      <w:pPr>
        <w:spacing w:before="1584"/>
        <w:jc w:val="center"/>
      </w:pPr>
      <w:r>
        <w:rPr>
          <w:rFonts w:ascii="Times New Roman" w:hAnsi="Times New Roman" w:eastAsia="宋体"/>
          <w:color w:val="595959"/>
          <w:sz w:val="21"/>
          <w:lang w:val="zh-CN"/>
        </w:rPr>
        <w:t>数据核验日期 2026年9月22日</w:t>
      </w:r>
    </w:p>
    <w:p>
      <w:r>
        <w:br w:type="page"/>
      </w:r>
    </w:p>
    <w:p>
      <w:pPr>
        <w:pStyle w:val="Heading1"/>
      </w:pPr>
      <w:r>
        <w:rPr>
          <w:rFonts w:ascii="Times New Roman" w:hAnsi="Times New Roman" w:eastAsia="宋体"/>
          <w:color w:val="000000"/>
          <w:sz w:val="32"/>
          <w:lang w:val="zh-CN"/>
        </w:rPr>
        <w:t>1 检索对象 数据来源与口径</w:t>
      </w:r>
    </w:p>
    <w:p>
      <w:r>
        <w:rPr>
          <w:rFonts w:ascii="Times New Roman" w:hAnsi="Times New Roman" w:eastAsia="宋体"/>
          <w:color w:val="000000"/>
          <w:sz w:val="22"/>
          <w:lang w:val="zh-CN"/>
        </w:rPr>
        <w:t>检索对象为华中农业大学信息学院章文教授（现任副院长），其公开身份信息可由以下相互独立的来源交叉确认：</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华中农业大学教师主页：2009—2018 年在武汉大学工作，2018 年起任职于华中农业大学；</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ORCID：</w:t>
      </w:r>
      <w:r>
        <w:rPr>
          <w:rFonts w:ascii="Consolas" w:hAnsi="Consolas" w:eastAsia="等线"/>
          <w:color w:val="000000"/>
          <w:sz w:val="20"/>
          <w:lang w:val="zh-CN"/>
        </w:rPr>
        <w:t>0000-0001-5221-2628</w:t>
      </w:r>
      <w:r>
        <w:rPr>
          <w:rFonts w:ascii="Times New Roman" w:hAnsi="Times New Roman" w:eastAsia="宋体"/>
          <w:color w:val="000000"/>
          <w:sz w:val="21"/>
          <w:lang w:val="zh-CN"/>
        </w:rPr>
        <w:t>；</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Scopus Author ID：</w:t>
      </w:r>
      <w:r>
        <w:rPr>
          <w:rFonts w:ascii="Consolas" w:hAnsi="Consolas" w:eastAsia="等线"/>
          <w:color w:val="000000"/>
          <w:sz w:val="20"/>
          <w:lang w:val="zh-CN"/>
        </w:rPr>
        <w:t>57190273716</w:t>
      </w:r>
      <w:r>
        <w:rPr>
          <w:rFonts w:ascii="Times New Roman" w:hAnsi="Times New Roman" w:eastAsia="宋体"/>
          <w:color w:val="000000"/>
          <w:sz w:val="21"/>
          <w:lang w:val="zh-CN"/>
        </w:rPr>
        <w:t>；</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 xml:space="preserve">Google Scholar：用户标识 </w:t>
      </w:r>
      <w:r>
        <w:rPr>
          <w:rFonts w:ascii="Consolas" w:hAnsi="Consolas" w:eastAsia="等线"/>
          <w:color w:val="000000"/>
          <w:sz w:val="20"/>
          <w:lang w:val="zh-CN"/>
        </w:rPr>
        <w:t>7gHmn88AAAAJ</w:t>
      </w:r>
      <w:r>
        <w:rPr>
          <w:rFonts w:ascii="Times New Roman" w:hAnsi="Times New Roman" w:eastAsia="宋体"/>
          <w:color w:val="000000"/>
          <w:sz w:val="21"/>
          <w:lang w:val="zh-CN"/>
        </w:rPr>
        <w:t>。</w:t>
      </w:r>
    </w:p>
    <w:p>
      <w:r>
        <w:rPr>
          <w:rFonts w:ascii="Times New Roman" w:hAnsi="Times New Roman" w:eastAsia="宋体"/>
          <w:color w:val="000000"/>
          <w:sz w:val="22"/>
          <w:lang w:val="zh-CN"/>
        </w:rPr>
        <w:t>本综述以 2016—2026 年为“近十年”时间窗。2026 年尚未结束，因此该年度数据是阶段性结果。</w:t>
      </w:r>
    </w:p>
    <w:p>
      <w:pPr>
        <w:pStyle w:val="Heading2"/>
      </w:pPr>
      <w:r>
        <w:rPr>
          <w:rFonts w:ascii="Times New Roman" w:hAnsi="Times New Roman" w:eastAsia="宋体"/>
          <w:color w:val="000000"/>
          <w:sz w:val="26"/>
          <w:lang w:val="zh-CN"/>
        </w:rPr>
        <w:t>1 1 数据口径说明</w:t>
      </w:r>
    </w:p>
    <w:p>
      <w:r>
        <w:rPr>
          <w:rFonts w:ascii="Times New Roman" w:hAnsi="Times New Roman" w:eastAsia="宋体"/>
          <w:color w:val="000000"/>
          <w:sz w:val="22"/>
          <w:lang w:val="zh-CN"/>
        </w:rPr>
        <w:t xml:space="preserve">原计划使用 Web of Science Core Collection 直接检索，但华中农业大学的机构认证回跳出现 </w:t>
      </w:r>
      <w:r>
        <w:rPr>
          <w:rFonts w:ascii="Consolas" w:hAnsi="Consolas" w:eastAsia="等线"/>
          <w:color w:val="000000"/>
          <w:sz w:val="21"/>
          <w:lang w:val="zh-CN"/>
        </w:rPr>
        <w:t>ShibbolethErrorCode=90013</w:t>
      </w:r>
      <w:r>
        <w:rPr>
          <w:rFonts w:ascii="Times New Roman" w:hAnsi="Times New Roman" w:eastAsia="宋体"/>
          <w:color w:val="000000"/>
          <w:sz w:val="22"/>
          <w:lang w:val="zh-CN"/>
        </w:rPr>
        <w:t>，校外访问入口也处于升级状态，因此本次未能取得可验证的 WoS 导出文件。为避免把“Google Scholar 收录”误写成“WoS 收录”，本综述采用以下替代流程：</w:t>
      </w:r>
    </w:p>
    <w:p>
      <w:pPr>
        <w:pStyle w:val="NumberedItem"/>
        <w:ind w:hanging="317"/>
      </w:pPr>
      <w:r>
        <w:rPr>
          <w:rFonts w:ascii="Times New Roman" w:hAnsi="Times New Roman" w:eastAsia="宋体"/>
          <w:color w:val="000000"/>
          <w:sz w:val="21"/>
          <w:lang w:val="zh-CN"/>
        </w:rPr>
        <w:t>1.</w:t>
        <w:tab/>
      </w:r>
      <w:r>
        <w:rPr>
          <w:rFonts w:ascii="Times New Roman" w:hAnsi="Times New Roman" w:eastAsia="宋体"/>
          <w:color w:val="000000"/>
          <w:sz w:val="21"/>
          <w:lang w:val="zh-CN"/>
        </w:rPr>
        <w:t>从章文教授 Google Scholar 主页按发表时间抓取全部 150 条成果；</w:t>
      </w:r>
    </w:p>
    <w:p>
      <w:pPr>
        <w:pStyle w:val="NumberedItem"/>
        <w:ind w:hanging="317"/>
      </w:pPr>
      <w:r>
        <w:rPr>
          <w:rFonts w:ascii="Times New Roman" w:hAnsi="Times New Roman" w:eastAsia="宋体"/>
          <w:color w:val="000000"/>
          <w:sz w:val="21"/>
          <w:lang w:val="zh-CN"/>
        </w:rPr>
        <w:t>2.</w:t>
        <w:tab/>
      </w:r>
      <w:r>
        <w:rPr>
          <w:rFonts w:ascii="Times New Roman" w:hAnsi="Times New Roman" w:eastAsia="宋体"/>
          <w:color w:val="000000"/>
          <w:sz w:val="21"/>
          <w:lang w:val="zh-CN"/>
        </w:rPr>
        <w:t>筛选 2016—2026 年的英文成果；</w:t>
      </w:r>
    </w:p>
    <w:p>
      <w:pPr>
        <w:pStyle w:val="NumberedItem"/>
        <w:ind w:hanging="317"/>
      </w:pPr>
      <w:r>
        <w:rPr>
          <w:rFonts w:ascii="Times New Roman" w:hAnsi="Times New Roman" w:eastAsia="宋体"/>
          <w:color w:val="000000"/>
          <w:sz w:val="21"/>
          <w:lang w:val="zh-CN"/>
        </w:rPr>
        <w:t>3.</w:t>
        <w:tab/>
      </w:r>
      <w:r>
        <w:rPr>
          <w:rFonts w:ascii="Times New Roman" w:hAnsi="Times New Roman" w:eastAsia="宋体"/>
          <w:color w:val="000000"/>
          <w:sz w:val="21"/>
          <w:lang w:val="zh-CN"/>
        </w:rPr>
        <w:t>用 ORCID、Scopus、学校主页、实验室主页以及作者与主题连续性进行消歧；</w:t>
      </w:r>
    </w:p>
    <w:p>
      <w:pPr>
        <w:pStyle w:val="NumberedItem"/>
        <w:ind w:hanging="317"/>
      </w:pPr>
      <w:r>
        <w:rPr>
          <w:rFonts w:ascii="Times New Roman" w:hAnsi="Times New Roman" w:eastAsia="宋体"/>
          <w:color w:val="000000"/>
          <w:sz w:val="21"/>
          <w:lang w:val="zh-CN"/>
        </w:rPr>
        <w:t>4.</w:t>
        <w:tab/>
      </w:r>
      <w:r>
        <w:rPr>
          <w:rFonts w:ascii="Times New Roman" w:hAnsi="Times New Roman" w:eastAsia="宋体"/>
          <w:color w:val="000000"/>
          <w:sz w:val="21"/>
          <w:lang w:val="zh-CN"/>
        </w:rPr>
        <w:t>排除 3 条明显属于同名作者的化学合成论文；</w:t>
      </w:r>
    </w:p>
    <w:p>
      <w:pPr>
        <w:pStyle w:val="NumberedItem"/>
        <w:ind w:hanging="317"/>
      </w:pPr>
      <w:r>
        <w:rPr>
          <w:rFonts w:ascii="Times New Roman" w:hAnsi="Times New Roman" w:eastAsia="宋体"/>
          <w:color w:val="000000"/>
          <w:sz w:val="21"/>
          <w:lang w:val="zh-CN"/>
        </w:rPr>
        <w:t>5.</w:t>
        <w:tab/>
      </w:r>
      <w:r>
        <w:rPr>
          <w:rFonts w:ascii="Times New Roman" w:hAnsi="Times New Roman" w:eastAsia="宋体"/>
          <w:color w:val="000000"/>
          <w:sz w:val="21"/>
          <w:lang w:val="zh-CN"/>
        </w:rPr>
        <w:t>得到 118 条作者消歧后的近十年英文成果候选集，其中约 84 篇期刊论文、34 篇会议或会议论文集成果；其中 7 篇为综述、社论或评述性文章。</w:t>
      </w:r>
    </w:p>
    <w:p>
      <w:r>
        <w:rPr>
          <w:rFonts w:ascii="Times New Roman" w:hAnsi="Times New Roman" w:eastAsia="宋体"/>
          <w:color w:val="000000"/>
          <w:sz w:val="22"/>
          <w:lang w:val="zh-CN"/>
        </w:rPr>
        <w:t>因此，本文的结论可代表章文教授近十年的完整研究轨迹，但“118 篇全部属于 WoS Core Collection”仍需在学校 WoS 访问恢复后，通过 Author Identifier、ORCID 和地址字段再次核验。</w:t>
      </w:r>
    </w:p>
    <w:p>
      <w:pPr>
        <w:pStyle w:val="Heading2"/>
      </w:pPr>
      <w:r>
        <w:rPr>
          <w:rFonts w:ascii="Times New Roman" w:hAnsi="Times New Roman" w:eastAsia="宋体"/>
          <w:color w:val="000000"/>
          <w:sz w:val="26"/>
          <w:lang w:val="zh-CN"/>
        </w:rPr>
        <w:t>1 2 年度分布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984"/>
      </w:tblGrid>
      <w:tr>
        <w:trPr>
          <w:tblHeader w:val="true"/>
        </w:trPr>
        <w:tc>
          <w:tcPr>
            <w:tcW w:type="dxa" w:w="2520"/>
            <w:vAlign w:val="center"/>
            <w:tcMar>
              <w:top w:w="90" w:type="dxa"/>
              <w:start w:w="110" w:type="dxa"/>
              <w:bottom w:w="90" w:type="dxa"/>
              <w:end w:w="110" w:type="dxa"/>
            </w:tcMar>
            <w:shd w:fill="17365D"/>
          </w:tcPr>
          <w:p>
            <w:pPr>
              <w:spacing w:after="0"/>
              <w:ind w:left="0" w:right="0" w:firstLine="0"/>
              <w:jc w:val="center"/>
            </w:pPr>
            <w:r>
              <w:rPr>
                <w:rFonts w:ascii="Microsoft YaHei" w:hAnsi="Microsoft YaHei" w:eastAsia="微软雅黑"/>
                <w:b/>
                <w:color w:val="FFFFFF"/>
                <w:sz w:val="19"/>
                <w:lang w:val="zh-CN"/>
              </w:rPr>
              <w:t>年份</w:t>
            </w:r>
          </w:p>
        </w:tc>
        <w:tc>
          <w:tcPr>
            <w:tcW w:type="dxa" w:w="6984"/>
            <w:vAlign w:val="center"/>
            <w:tcMar>
              <w:top w:w="90" w:type="dxa"/>
              <w:start w:w="110" w:type="dxa"/>
              <w:bottom w:w="90" w:type="dxa"/>
              <w:end w:w="110" w:type="dxa"/>
            </w:tcMar>
            <w:shd w:fill="17365D"/>
          </w:tcPr>
          <w:p>
            <w:pPr>
              <w:spacing w:after="0"/>
              <w:ind w:left="0" w:right="0" w:firstLine="0"/>
              <w:jc w:val="center"/>
            </w:pPr>
            <w:r>
              <w:rPr>
                <w:rFonts w:ascii="Microsoft YaHei" w:hAnsi="Microsoft YaHei" w:eastAsia="微软雅黑"/>
                <w:b/>
                <w:color w:val="FFFFFF"/>
                <w:sz w:val="19"/>
                <w:lang w:val="zh-CN"/>
              </w:rPr>
              <w:t>成果数</w:t>
            </w:r>
          </w:p>
        </w:tc>
      </w:tr>
      <w:tr>
        <w:tc>
          <w:tcPr>
            <w:tcW w:type="dxa" w:w="2520"/>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2016</w:t>
            </w:r>
          </w:p>
        </w:tc>
        <w:tc>
          <w:tcPr>
            <w:tcW w:type="dxa" w:w="6984"/>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6</w:t>
            </w:r>
          </w:p>
        </w:tc>
      </w:tr>
      <w:tr>
        <w:tc>
          <w:tcPr>
            <w:tcW w:type="dxa" w:w="2520"/>
            <w:shd w:fill="EAF1F8"/>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2017</w:t>
            </w:r>
          </w:p>
        </w:tc>
        <w:tc>
          <w:tcPr>
            <w:tcW w:type="dxa" w:w="6984"/>
            <w:shd w:fill="EAF1F8"/>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8</w:t>
            </w:r>
          </w:p>
        </w:tc>
      </w:tr>
      <w:tr>
        <w:tc>
          <w:tcPr>
            <w:tcW w:type="dxa" w:w="2520"/>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2018</w:t>
            </w:r>
          </w:p>
        </w:tc>
        <w:tc>
          <w:tcPr>
            <w:tcW w:type="dxa" w:w="6984"/>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12</w:t>
            </w:r>
          </w:p>
        </w:tc>
      </w:tr>
      <w:tr>
        <w:tc>
          <w:tcPr>
            <w:tcW w:type="dxa" w:w="2520"/>
            <w:shd w:fill="EAF1F8"/>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2019</w:t>
            </w:r>
          </w:p>
        </w:tc>
        <w:tc>
          <w:tcPr>
            <w:tcW w:type="dxa" w:w="6984"/>
            <w:shd w:fill="EAF1F8"/>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14</w:t>
            </w:r>
          </w:p>
        </w:tc>
      </w:tr>
      <w:tr>
        <w:tc>
          <w:tcPr>
            <w:tcW w:type="dxa" w:w="2520"/>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2020</w:t>
            </w:r>
          </w:p>
        </w:tc>
        <w:tc>
          <w:tcPr>
            <w:tcW w:type="dxa" w:w="6984"/>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10</w:t>
            </w:r>
          </w:p>
        </w:tc>
      </w:tr>
      <w:tr>
        <w:tc>
          <w:tcPr>
            <w:tcW w:type="dxa" w:w="2520"/>
            <w:shd w:fill="EAF1F8"/>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2021</w:t>
            </w:r>
          </w:p>
        </w:tc>
        <w:tc>
          <w:tcPr>
            <w:tcW w:type="dxa" w:w="6984"/>
            <w:shd w:fill="EAF1F8"/>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10</w:t>
            </w:r>
          </w:p>
        </w:tc>
      </w:tr>
      <w:tr>
        <w:tc>
          <w:tcPr>
            <w:tcW w:type="dxa" w:w="2520"/>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2022</w:t>
            </w:r>
          </w:p>
        </w:tc>
        <w:tc>
          <w:tcPr>
            <w:tcW w:type="dxa" w:w="6984"/>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15</w:t>
            </w:r>
          </w:p>
        </w:tc>
      </w:tr>
      <w:tr>
        <w:tc>
          <w:tcPr>
            <w:tcW w:type="dxa" w:w="2520"/>
            <w:shd w:fill="EAF1F8"/>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2023</w:t>
            </w:r>
          </w:p>
        </w:tc>
        <w:tc>
          <w:tcPr>
            <w:tcW w:type="dxa" w:w="6984"/>
            <w:shd w:fill="EAF1F8"/>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11</w:t>
            </w:r>
          </w:p>
        </w:tc>
      </w:tr>
      <w:tr>
        <w:tc>
          <w:tcPr>
            <w:tcW w:type="dxa" w:w="2520"/>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2024</w:t>
            </w:r>
          </w:p>
        </w:tc>
        <w:tc>
          <w:tcPr>
            <w:tcW w:type="dxa" w:w="6984"/>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16</w:t>
            </w:r>
          </w:p>
        </w:tc>
      </w:tr>
      <w:tr>
        <w:tc>
          <w:tcPr>
            <w:tcW w:type="dxa" w:w="2520"/>
            <w:shd w:fill="EAF1F8"/>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2025</w:t>
            </w:r>
          </w:p>
        </w:tc>
        <w:tc>
          <w:tcPr>
            <w:tcW w:type="dxa" w:w="6984"/>
            <w:shd w:fill="EAF1F8"/>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11</w:t>
            </w:r>
          </w:p>
        </w:tc>
      </w:tr>
      <w:tr>
        <w:tc>
          <w:tcPr>
            <w:tcW w:type="dxa" w:w="2520"/>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2026（截至 9 月，含 1 条未标年在线成果）</w:t>
            </w:r>
          </w:p>
        </w:tc>
        <w:tc>
          <w:tcPr>
            <w:tcW w:type="dxa" w:w="6984"/>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5</w:t>
            </w:r>
          </w:p>
        </w:tc>
      </w:tr>
      <w:tr>
        <w:tc>
          <w:tcPr>
            <w:tcW w:type="dxa" w:w="2520"/>
            <w:shd w:fill="EAF1F8"/>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合计</w:t>
            </w:r>
          </w:p>
        </w:tc>
        <w:tc>
          <w:tcPr>
            <w:tcW w:type="dxa" w:w="6984"/>
            <w:shd w:fill="EAF1F8"/>
            <w:vAlign w:val="center"/>
            <w:tcMar>
              <w:top w:w="90" w:type="dxa"/>
              <w:start w:w="110" w:type="dxa"/>
              <w:bottom w:w="90" w:type="dxa"/>
              <w:end w:w="110" w:type="dxa"/>
            </w:tcMar>
          </w:tcPr>
          <w:p>
            <w:pPr>
              <w:spacing w:after="0" w:line="269" w:lineRule="auto"/>
              <w:ind w:left="0" w:right="0" w:firstLine="0"/>
              <w:jc w:val="center"/>
            </w:pPr>
            <w:r>
              <w:rPr>
                <w:rFonts w:ascii="Times New Roman" w:hAnsi="Times New Roman" w:eastAsia="宋体"/>
                <w:color w:val="000000"/>
                <w:sz w:val="18"/>
                <w:lang w:val="zh-CN"/>
              </w:rPr>
              <w:t>118</w:t>
            </w:r>
          </w:p>
        </w:tc>
      </w:tr>
    </w:tbl>
    <w:p>
      <w:pPr>
        <w:spacing w:after="40"/>
      </w:pPr>
    </w:p>
    <w:p>
      <w:r>
        <w:rPr>
          <w:rFonts w:ascii="Times New Roman" w:hAnsi="Times New Roman" w:eastAsia="宋体"/>
          <w:color w:val="000000"/>
          <w:sz w:val="22"/>
          <w:lang w:val="zh-CN"/>
        </w:rPr>
        <w:t>从数量上看，2018 年以后形成稳定的高产阶段，2022—2024 年达到峰值。更重要的是，论文并非简单增加，而是出现了清晰的方法升级：传统相似性与矩阵分解 → 网络嵌入与深度多模态融合 → 图神经网络、对比学习和超图 → 零样本、因果学习、扩散生成和分子预训练。</w:t>
      </w:r>
    </w:p>
    <w:p>
      <w:pPr>
        <w:pStyle w:val="Heading1"/>
      </w:pPr>
      <w:r>
        <w:rPr>
          <w:rFonts w:ascii="Times New Roman" w:hAnsi="Times New Roman" w:eastAsia="宋体"/>
          <w:color w:val="000000"/>
          <w:sz w:val="32"/>
          <w:lang w:val="zh-CN"/>
        </w:rPr>
        <w:t>2 总体研究主线</w:t>
      </w:r>
    </w:p>
    <w:p>
      <w:r>
        <w:rPr>
          <w:rFonts w:ascii="Times New Roman" w:hAnsi="Times New Roman" w:eastAsia="宋体"/>
          <w:color w:val="000000"/>
          <w:sz w:val="22"/>
          <w:lang w:val="zh-CN"/>
        </w:rPr>
        <w:t>章文教授近十年的研究可以概括为一个持续演进的核心问题：</w:t>
      </w:r>
      <w:r>
        <w:rPr>
          <w:rFonts w:ascii="Times New Roman" w:hAnsi="Times New Roman" w:eastAsia="宋体"/>
          <w:b/>
          <w:color w:val="000000"/>
          <w:sz w:val="22"/>
          <w:lang w:val="zh-CN"/>
        </w:rPr>
        <w:t>如何从稀疏、异质、带噪且标注有限的生物医学数据中，学习实体表征并预测尚未观测到的关系、性质或功能。</w:t>
      </w:r>
    </w:p>
    <w:p>
      <w:r>
        <w:rPr>
          <w:rFonts w:ascii="Times New Roman" w:hAnsi="Times New Roman" w:eastAsia="宋体"/>
          <w:color w:val="000000"/>
          <w:sz w:val="22"/>
          <w:lang w:val="zh-CN"/>
        </w:rPr>
        <w:t>这一问题在不同论文中表现为药物—药物相互作用、药物—疾病关联、药物—靶点相互作用、药物反应、药物协同、非编码 RNA 相互作用、微生物—疾病关系、蛋白质功能位点、抗原—抗体结合以及治疗性肽设计等任务。虽然应用对象不断扩大，底层技术逻辑高度一致：</w:t>
      </w:r>
    </w:p>
    <w:p>
      <w:pPr>
        <w:pStyle w:val="NumberedItem"/>
        <w:ind w:hanging="317"/>
      </w:pPr>
      <w:r>
        <w:rPr>
          <w:rFonts w:ascii="Times New Roman" w:hAnsi="Times New Roman" w:eastAsia="宋体"/>
          <w:color w:val="000000"/>
          <w:sz w:val="21"/>
          <w:lang w:val="zh-CN"/>
        </w:rPr>
        <w:t>1.</w:t>
        <w:tab/>
      </w:r>
      <w:r>
        <w:rPr>
          <w:rFonts w:ascii="Times New Roman" w:hAnsi="Times New Roman" w:eastAsia="宋体"/>
          <w:color w:val="000000"/>
          <w:sz w:val="21"/>
          <w:lang w:val="zh-CN"/>
        </w:rPr>
        <w:t>把多源生物医学数据表示为相似性矩阵、二部图、异质网络、知识图谱或分子图；</w:t>
      </w:r>
    </w:p>
    <w:p>
      <w:pPr>
        <w:pStyle w:val="NumberedItem"/>
        <w:ind w:hanging="317"/>
      </w:pPr>
      <w:r>
        <w:rPr>
          <w:rFonts w:ascii="Times New Roman" w:hAnsi="Times New Roman" w:eastAsia="宋体"/>
          <w:color w:val="000000"/>
          <w:sz w:val="21"/>
          <w:lang w:val="zh-CN"/>
        </w:rPr>
        <w:t>2.</w:t>
        <w:tab/>
      </w:r>
      <w:r>
        <w:rPr>
          <w:rFonts w:ascii="Times New Roman" w:hAnsi="Times New Roman" w:eastAsia="宋体"/>
          <w:color w:val="000000"/>
          <w:sz w:val="21"/>
          <w:lang w:val="zh-CN"/>
        </w:rPr>
        <w:t>通过低秩分解、邻域传播、图嵌入或图神经网络学习低维表示；</w:t>
      </w:r>
    </w:p>
    <w:p>
      <w:pPr>
        <w:pStyle w:val="NumberedItem"/>
        <w:ind w:hanging="317"/>
      </w:pPr>
      <w:r>
        <w:rPr>
          <w:rFonts w:ascii="Times New Roman" w:hAnsi="Times New Roman" w:eastAsia="宋体"/>
          <w:color w:val="000000"/>
          <w:sz w:val="21"/>
          <w:lang w:val="zh-CN"/>
        </w:rPr>
        <w:t>3.</w:t>
        <w:tab/>
      </w:r>
      <w:r>
        <w:rPr>
          <w:rFonts w:ascii="Times New Roman" w:hAnsi="Times New Roman" w:eastAsia="宋体"/>
          <w:color w:val="000000"/>
          <w:sz w:val="21"/>
          <w:lang w:val="zh-CN"/>
        </w:rPr>
        <w:t>融合序列、结构、拓扑、语义和表型等多模态信息；</w:t>
      </w:r>
    </w:p>
    <w:p>
      <w:pPr>
        <w:pStyle w:val="NumberedItem"/>
        <w:ind w:hanging="317"/>
      </w:pPr>
      <w:r>
        <w:rPr>
          <w:rFonts w:ascii="Times New Roman" w:hAnsi="Times New Roman" w:eastAsia="宋体"/>
          <w:color w:val="000000"/>
          <w:sz w:val="21"/>
          <w:lang w:val="zh-CN"/>
        </w:rPr>
        <w:t>4.</w:t>
        <w:tab/>
      </w:r>
      <w:r>
        <w:rPr>
          <w:rFonts w:ascii="Times New Roman" w:hAnsi="Times New Roman" w:eastAsia="宋体"/>
          <w:color w:val="000000"/>
          <w:sz w:val="21"/>
          <w:lang w:val="zh-CN"/>
        </w:rPr>
        <w:t>完成链接预测、分类、回归、排序或条件生成；</w:t>
      </w:r>
    </w:p>
    <w:p>
      <w:pPr>
        <w:pStyle w:val="NumberedItem"/>
        <w:ind w:hanging="317"/>
      </w:pPr>
      <w:r>
        <w:rPr>
          <w:rFonts w:ascii="Times New Roman" w:hAnsi="Times New Roman" w:eastAsia="宋体"/>
          <w:color w:val="000000"/>
          <w:sz w:val="21"/>
          <w:lang w:val="zh-CN"/>
        </w:rPr>
        <w:t>5.</w:t>
        <w:tab/>
      </w:r>
      <w:r>
        <w:rPr>
          <w:rFonts w:ascii="Times New Roman" w:hAnsi="Times New Roman" w:eastAsia="宋体"/>
          <w:color w:val="000000"/>
          <w:sz w:val="21"/>
          <w:lang w:val="zh-CN"/>
        </w:rPr>
        <w:t>逐步解决冷启动、少样本、零样本、分布偏移及可解释性问题。</w:t>
      </w:r>
    </w:p>
    <w:p>
      <w:pPr>
        <w:pStyle w:val="Heading1"/>
      </w:pPr>
      <w:r>
        <w:rPr>
          <w:rFonts w:ascii="Times New Roman" w:hAnsi="Times New Roman" w:eastAsia="宋体"/>
          <w:color w:val="000000"/>
          <w:sz w:val="32"/>
          <w:lang w:val="zh-CN"/>
        </w:rPr>
        <w:t>3 研究演进的四个阶段</w:t>
      </w:r>
    </w:p>
    <w:p>
      <w:pPr>
        <w:pStyle w:val="Heading2"/>
      </w:pPr>
      <w:r>
        <w:rPr>
          <w:rFonts w:ascii="Times New Roman" w:hAnsi="Times New Roman" w:eastAsia="宋体"/>
          <w:color w:val="000000"/>
          <w:sz w:val="26"/>
          <w:lang w:val="zh-CN"/>
        </w:rPr>
        <w:t>3 1 2016至2018 相似性 矩阵分解与标签传播</w:t>
      </w:r>
    </w:p>
    <w:p>
      <w:r>
        <w:rPr>
          <w:rFonts w:ascii="Times New Roman" w:hAnsi="Times New Roman" w:eastAsia="宋体"/>
          <w:color w:val="000000"/>
          <w:sz w:val="22"/>
          <w:lang w:val="zh-CN"/>
        </w:rPr>
        <w:t>这一阶段的工作主要建立在“相似实体具有相似生物学行为”的假设上。研究通常先构建药物、疾病、RNA 或蛋白质的相似性矩阵，再通过推荐系统、集成学习、矩阵分解、流形正则化和标签传播补全未观测关系。</w:t>
      </w:r>
    </w:p>
    <w:p>
      <w:r>
        <w:rPr>
          <w:rFonts w:ascii="Times New Roman" w:hAnsi="Times New Roman" w:eastAsia="宋体"/>
          <w:color w:val="000000"/>
          <w:sz w:val="22"/>
          <w:lang w:val="zh-CN"/>
        </w:rPr>
        <w:t>代表性工作包括：</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2016 年利用推荐方法与集成学习预测药物副作用；</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2017 年整合化学、生物、表型和网络数据预测潜在药物—药物相互作用；</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2018 年用相似性约束矩阵分解预测药物—疾病关联；</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2018 年用流形正则化矩阵分解预测药物—药物相互作用；</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2018 年用线性邻域传播预测 lncRNA—蛋白质相互作用。</w:t>
      </w:r>
    </w:p>
    <w:p>
      <w:r>
        <w:rPr>
          <w:rFonts w:ascii="Times New Roman" w:hAnsi="Times New Roman" w:eastAsia="宋体"/>
          <w:color w:val="000000"/>
          <w:sz w:val="22"/>
          <w:lang w:val="zh-CN"/>
        </w:rPr>
        <w:t>该阶段的主要贡献是把药物发现问题系统地转化为图上的半监督学习或矩阵补全问题，并证明多源信息比单一化学结构或单一网络拓扑更有效。其限制也很明显：结果强依赖人工构造的相似性，模型通常是浅层的，难以表达高阶拓扑、关系类型差异和复杂非线性相互作用。</w:t>
      </w:r>
    </w:p>
    <w:p>
      <w:pPr>
        <w:pStyle w:val="Heading2"/>
      </w:pPr>
      <w:r>
        <w:rPr>
          <w:rFonts w:ascii="Times New Roman" w:hAnsi="Times New Roman" w:eastAsia="宋体"/>
          <w:color w:val="000000"/>
          <w:sz w:val="26"/>
          <w:lang w:val="zh-CN"/>
        </w:rPr>
        <w:t>3 2 2019至2020 网络嵌入 深度学习与多模态融合</w:t>
      </w:r>
    </w:p>
    <w:p>
      <w:r>
        <w:rPr>
          <w:rFonts w:ascii="Times New Roman" w:hAnsi="Times New Roman" w:eastAsia="宋体"/>
          <w:color w:val="000000"/>
          <w:sz w:val="22"/>
          <w:lang w:val="zh-CN"/>
        </w:rPr>
        <w:t>2019 年后，研究重心从“设计相似性矩阵”转向“自动学习网络表示”。研究对象仍以关联预测为主，但开始显式使用网络嵌入、自编码器、张量分解和深度多模态模型。</w:t>
      </w:r>
    </w:p>
    <w:p>
      <w:r>
        <w:rPr>
          <w:rFonts w:ascii="Times New Roman" w:hAnsi="Times New Roman" w:eastAsia="宋体"/>
          <w:color w:val="000000"/>
          <w:sz w:val="22"/>
          <w:lang w:val="zh-CN"/>
        </w:rPr>
        <w:t>其中两项 2020 年的工作具有明显的阶段标志：</w:t>
      </w:r>
    </w:p>
    <w:p>
      <w:pPr>
        <w:pStyle w:val="BulletItem"/>
        <w:ind w:hanging="259"/>
      </w:pPr>
      <w:r>
        <w:rPr>
          <w:rFonts w:ascii="Times New Roman" w:hAnsi="Times New Roman" w:eastAsia="宋体"/>
          <w:color w:val="000000"/>
          <w:sz w:val="21"/>
          <w:lang w:val="zh-CN"/>
        </w:rPr>
        <w:t>•</w:t>
        <w:tab/>
      </w:r>
      <w:r>
        <w:rPr>
          <w:rFonts w:ascii="Times New Roman" w:hAnsi="Times New Roman" w:eastAsia="宋体"/>
          <w:i/>
          <w:color w:val="000000"/>
          <w:sz w:val="21"/>
          <w:lang w:val="zh-CN"/>
        </w:rPr>
        <w:t>A multimodal deep learning framework for predicting drug–drug interaction events</w:t>
      </w:r>
      <w:r>
        <w:rPr>
          <w:rFonts w:ascii="Times New Roman" w:hAnsi="Times New Roman" w:eastAsia="宋体"/>
          <w:color w:val="000000"/>
          <w:sz w:val="21"/>
          <w:lang w:val="zh-CN"/>
        </w:rPr>
        <w:t>：将多种药物特征与深度表示结合，不只判断两种药物是否相互作用，还预测具体 DDI 事件类型；Google Scholar 页面显示约 530 次引用。</w:t>
      </w:r>
    </w:p>
    <w:p>
      <w:pPr>
        <w:pStyle w:val="BulletItem"/>
        <w:ind w:hanging="259"/>
      </w:pPr>
      <w:r>
        <w:rPr>
          <w:rFonts w:ascii="Times New Roman" w:hAnsi="Times New Roman" w:eastAsia="宋体"/>
          <w:color w:val="000000"/>
          <w:sz w:val="21"/>
          <w:lang w:val="zh-CN"/>
        </w:rPr>
        <w:t>•</w:t>
        <w:tab/>
      </w:r>
      <w:r>
        <w:rPr>
          <w:rFonts w:ascii="Times New Roman" w:hAnsi="Times New Roman" w:eastAsia="宋体"/>
          <w:i/>
          <w:color w:val="000000"/>
          <w:sz w:val="21"/>
          <w:lang w:val="zh-CN"/>
        </w:rPr>
        <w:t>Graph embedding on biomedical networks: methods, applications and evaluations</w:t>
      </w:r>
      <w:r>
        <w:rPr>
          <w:rFonts w:ascii="Times New Roman" w:hAnsi="Times New Roman" w:eastAsia="宋体"/>
          <w:color w:val="000000"/>
          <w:sz w:val="21"/>
          <w:lang w:val="zh-CN"/>
        </w:rPr>
        <w:t>：系统梳理并评估生物医学网络嵌入方法；约 519 次引用。</w:t>
      </w:r>
    </w:p>
    <w:p>
      <w:r>
        <w:rPr>
          <w:rFonts w:ascii="Times New Roman" w:hAnsi="Times New Roman" w:eastAsia="宋体"/>
          <w:color w:val="000000"/>
          <w:sz w:val="22"/>
          <w:lang w:val="zh-CN"/>
        </w:rPr>
        <w:t>这一阶段的关键变化是，模型开始把化学结构、靶点、酶、通路、表型和网络邻域视为互补模态，强调表示学习而不是单纯的人工特征拼接。与此同时，ncRNA—疾病、lncRNA—miRNA、基因—疾病和 eQTL 等任务表明，团队已将统一的网络表示范式扩展到更广泛的基因组调控问题。</w:t>
      </w:r>
    </w:p>
    <w:p>
      <w:pPr>
        <w:pStyle w:val="Heading2"/>
      </w:pPr>
      <w:r>
        <w:rPr>
          <w:rFonts w:ascii="Times New Roman" w:hAnsi="Times New Roman" w:eastAsia="宋体"/>
          <w:color w:val="000000"/>
          <w:sz w:val="26"/>
          <w:lang w:val="zh-CN"/>
        </w:rPr>
        <w:t>3 3 2021至2023 图神经网络 注意力 对比学习与高阶关系</w:t>
      </w:r>
    </w:p>
    <w:p>
      <w:r>
        <w:rPr>
          <w:rFonts w:ascii="Times New Roman" w:hAnsi="Times New Roman" w:eastAsia="宋体"/>
          <w:color w:val="000000"/>
          <w:sz w:val="22"/>
          <w:lang w:val="zh-CN"/>
        </w:rPr>
        <w:t>这一阶段形成了团队最鲜明的方法标签。图卷积网络、图注意力、对比学习、知识图谱、超图和元学习被用于处理异质关系、高阶交互和低资源场景。</w:t>
      </w:r>
    </w:p>
    <w:p>
      <w:r>
        <w:rPr>
          <w:rFonts w:ascii="Times New Roman" w:hAnsi="Times New Roman" w:eastAsia="宋体"/>
          <w:color w:val="000000"/>
          <w:sz w:val="22"/>
          <w:lang w:val="zh-CN"/>
        </w:rPr>
        <w:t>代表性工作包括：</w:t>
      </w:r>
    </w:p>
    <w:p>
      <w:pPr>
        <w:pStyle w:val="BulletItem"/>
        <w:ind w:hanging="259"/>
      </w:pPr>
      <w:r>
        <w:rPr>
          <w:rFonts w:ascii="Times New Roman" w:hAnsi="Times New Roman" w:eastAsia="宋体"/>
          <w:color w:val="000000"/>
          <w:sz w:val="21"/>
          <w:lang w:val="zh-CN"/>
        </w:rPr>
        <w:t>•</w:t>
        <w:tab/>
      </w:r>
      <w:r>
        <w:rPr>
          <w:rFonts w:ascii="Times New Roman" w:hAnsi="Times New Roman" w:eastAsia="宋体"/>
          <w:i/>
          <w:color w:val="000000"/>
          <w:sz w:val="21"/>
          <w:lang w:val="zh-CN"/>
        </w:rPr>
        <w:t>Predicting drug–disease associations through layer attention graph convolutional network</w:t>
      </w:r>
      <w:r>
        <w:rPr>
          <w:rFonts w:ascii="Times New Roman" w:hAnsi="Times New Roman" w:eastAsia="宋体"/>
          <w:color w:val="000000"/>
          <w:sz w:val="21"/>
          <w:lang w:val="zh-CN"/>
        </w:rPr>
        <w:t>：通过层注意力融合不同传播深度的信息，约 472 次引用；</w:t>
      </w:r>
    </w:p>
    <w:p>
      <w:pPr>
        <w:pStyle w:val="BulletItem"/>
        <w:ind w:hanging="259"/>
      </w:pPr>
      <w:r>
        <w:rPr>
          <w:rFonts w:ascii="Times New Roman" w:hAnsi="Times New Roman" w:eastAsia="宋体"/>
          <w:color w:val="000000"/>
          <w:sz w:val="21"/>
          <w:lang w:val="zh-CN"/>
        </w:rPr>
        <w:t>•</w:t>
        <w:tab/>
      </w:r>
      <w:r>
        <w:rPr>
          <w:rFonts w:ascii="Times New Roman" w:hAnsi="Times New Roman" w:eastAsia="宋体"/>
          <w:i/>
          <w:color w:val="000000"/>
          <w:sz w:val="21"/>
          <w:lang w:val="zh-CN"/>
        </w:rPr>
        <w:t>GraphCDR</w:t>
      </w:r>
      <w:r>
        <w:rPr>
          <w:rFonts w:ascii="Times New Roman" w:hAnsi="Times New Roman" w:eastAsia="宋体"/>
          <w:color w:val="000000"/>
          <w:sz w:val="21"/>
          <w:lang w:val="zh-CN"/>
        </w:rPr>
        <w:t>：将图神经网络和对比学习用于癌症药物反应预测，约 161 次引用；</w:t>
      </w:r>
    </w:p>
    <w:p>
      <w:pPr>
        <w:pStyle w:val="BulletItem"/>
        <w:ind w:hanging="259"/>
      </w:pPr>
      <w:r>
        <w:rPr>
          <w:rFonts w:ascii="Times New Roman" w:hAnsi="Times New Roman" w:eastAsia="宋体"/>
          <w:color w:val="000000"/>
          <w:sz w:val="21"/>
          <w:lang w:val="zh-CN"/>
        </w:rPr>
        <w:t>•</w:t>
        <w:tab/>
      </w:r>
      <w:r>
        <w:rPr>
          <w:rFonts w:ascii="Times New Roman" w:hAnsi="Times New Roman" w:eastAsia="宋体"/>
          <w:i/>
          <w:color w:val="000000"/>
          <w:sz w:val="21"/>
          <w:lang w:val="zh-CN"/>
        </w:rPr>
        <w:t>MVGCN</w:t>
      </w:r>
      <w:r>
        <w:rPr>
          <w:rFonts w:ascii="Times New Roman" w:hAnsi="Times New Roman" w:eastAsia="宋体"/>
          <w:color w:val="000000"/>
          <w:sz w:val="21"/>
          <w:lang w:val="zh-CN"/>
        </w:rPr>
        <w:t>：面向生物医学二部网络的多视图图卷积方法，约 131 次引用；</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面向药物协同的关系增强超图模型；</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面向 DDI 事件的多关系对比图神经网络；</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面向少样本 DDI 事件预测的 META-DDIE；</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面向药物—靶点、微生物—疾病和药物反应的多视图或分层图模型。</w:t>
      </w:r>
    </w:p>
    <w:p>
      <w:r>
        <w:rPr>
          <w:rFonts w:ascii="Times New Roman" w:hAnsi="Times New Roman" w:eastAsia="宋体"/>
          <w:color w:val="000000"/>
          <w:sz w:val="22"/>
          <w:lang w:val="zh-CN"/>
        </w:rPr>
        <w:t>从方法上看，这一阶段解决了三类前期难题：</w:t>
      </w:r>
    </w:p>
    <w:p>
      <w:pPr>
        <w:pStyle w:val="NumberedItem"/>
        <w:ind w:hanging="317"/>
      </w:pPr>
      <w:r>
        <w:rPr>
          <w:rFonts w:ascii="Times New Roman" w:hAnsi="Times New Roman" w:eastAsia="宋体"/>
          <w:color w:val="000000"/>
          <w:sz w:val="21"/>
          <w:lang w:val="zh-CN"/>
        </w:rPr>
        <w:t>1.</w:t>
        <w:tab/>
      </w:r>
      <w:r>
        <w:rPr>
          <w:rFonts w:ascii="Times New Roman" w:hAnsi="Times New Roman" w:eastAsia="宋体"/>
          <w:b/>
          <w:color w:val="000000"/>
          <w:sz w:val="21"/>
          <w:lang w:val="zh-CN"/>
        </w:rPr>
        <w:t>多关系异质性</w:t>
      </w:r>
      <w:r>
        <w:rPr>
          <w:rFonts w:ascii="Times New Roman" w:hAnsi="Times New Roman" w:eastAsia="宋体"/>
          <w:color w:val="000000"/>
          <w:sz w:val="21"/>
          <w:lang w:val="zh-CN"/>
        </w:rPr>
        <w:t>：不再把所有边看成同一种关系，而是保留药物、疾病、靶点和副作用之间的语义差异；</w:t>
      </w:r>
    </w:p>
    <w:p>
      <w:pPr>
        <w:pStyle w:val="NumberedItem"/>
        <w:ind w:hanging="317"/>
      </w:pPr>
      <w:r>
        <w:rPr>
          <w:rFonts w:ascii="Times New Roman" w:hAnsi="Times New Roman" w:eastAsia="宋体"/>
          <w:color w:val="000000"/>
          <w:sz w:val="21"/>
          <w:lang w:val="zh-CN"/>
        </w:rPr>
        <w:t>2.</w:t>
        <w:tab/>
      </w:r>
      <w:r>
        <w:rPr>
          <w:rFonts w:ascii="Times New Roman" w:hAnsi="Times New Roman" w:eastAsia="宋体"/>
          <w:b/>
          <w:color w:val="000000"/>
          <w:sz w:val="21"/>
          <w:lang w:val="zh-CN"/>
        </w:rPr>
        <w:t>高阶交互</w:t>
      </w:r>
      <w:r>
        <w:rPr>
          <w:rFonts w:ascii="Times New Roman" w:hAnsi="Times New Roman" w:eastAsia="宋体"/>
          <w:color w:val="000000"/>
          <w:sz w:val="21"/>
          <w:lang w:val="zh-CN"/>
        </w:rPr>
        <w:t>：超图与多跳元路径可表达超过两个实体的组合关系；</w:t>
      </w:r>
    </w:p>
    <w:p>
      <w:pPr>
        <w:pStyle w:val="NumberedItem"/>
        <w:ind w:hanging="317"/>
      </w:pPr>
      <w:r>
        <w:rPr>
          <w:rFonts w:ascii="Times New Roman" w:hAnsi="Times New Roman" w:eastAsia="宋体"/>
          <w:color w:val="000000"/>
          <w:sz w:val="21"/>
          <w:lang w:val="zh-CN"/>
        </w:rPr>
        <w:t>3.</w:t>
        <w:tab/>
      </w:r>
      <w:r>
        <w:rPr>
          <w:rFonts w:ascii="Times New Roman" w:hAnsi="Times New Roman" w:eastAsia="宋体"/>
          <w:b/>
          <w:color w:val="000000"/>
          <w:sz w:val="21"/>
          <w:lang w:val="zh-CN"/>
        </w:rPr>
        <w:t>标注稀缺</w:t>
      </w:r>
      <w:r>
        <w:rPr>
          <w:rFonts w:ascii="Times New Roman" w:hAnsi="Times New Roman" w:eastAsia="宋体"/>
          <w:color w:val="000000"/>
          <w:sz w:val="21"/>
          <w:lang w:val="zh-CN"/>
        </w:rPr>
        <w:t>：对比学习、自监督学习和元学习减少对大量人工标签的依赖。</w:t>
      </w:r>
    </w:p>
    <w:p>
      <w:r>
        <w:rPr>
          <w:rFonts w:ascii="Times New Roman" w:hAnsi="Times New Roman" w:eastAsia="宋体"/>
          <w:color w:val="000000"/>
          <w:sz w:val="22"/>
          <w:lang w:val="zh-CN"/>
        </w:rPr>
        <w:t>2023 年的 DDI 深度学习与图学习综合评估也具有重要的方法论意义：它提示该领域不能只比较单一随机划分上的最高分，而应关注数据划分、负样本构造、冷启动和模型公平比较。这说明团队的研究开始从“提出模型”走向“反思评测体系”。</w:t>
      </w:r>
    </w:p>
    <w:p>
      <w:pPr>
        <w:pStyle w:val="Heading2"/>
      </w:pPr>
      <w:r>
        <w:rPr>
          <w:rFonts w:ascii="Times New Roman" w:hAnsi="Times New Roman" w:eastAsia="宋体"/>
          <w:color w:val="000000"/>
          <w:sz w:val="26"/>
          <w:lang w:val="zh-CN"/>
        </w:rPr>
        <w:t>3 4 2024至2026 零样本 因果 多模态生成与分子预训练</w:t>
      </w:r>
    </w:p>
    <w:p>
      <w:r>
        <w:rPr>
          <w:rFonts w:ascii="Times New Roman" w:hAnsi="Times New Roman" w:eastAsia="宋体"/>
          <w:color w:val="000000"/>
          <w:sz w:val="22"/>
          <w:lang w:val="zh-CN"/>
        </w:rPr>
        <w:t>最近三年的成果显示，研究重心正从判别式关联预测扩展到更具开放性的分子设计与跨模态迁移。</w:t>
      </w:r>
    </w:p>
    <w:p>
      <w:r>
        <w:rPr>
          <w:rFonts w:ascii="Times New Roman" w:hAnsi="Times New Roman" w:eastAsia="宋体"/>
          <w:color w:val="000000"/>
          <w:sz w:val="22"/>
          <w:lang w:val="zh-CN"/>
        </w:rPr>
        <w:t>主要方向包括：</w:t>
      </w:r>
    </w:p>
    <w:p>
      <w:pPr>
        <w:pStyle w:val="BulletItem"/>
        <w:ind w:hanging="259"/>
      </w:pPr>
      <w:r>
        <w:rPr>
          <w:rFonts w:ascii="Times New Roman" w:hAnsi="Times New Roman" w:eastAsia="宋体"/>
          <w:color w:val="000000"/>
          <w:sz w:val="21"/>
          <w:lang w:val="zh-CN"/>
        </w:rPr>
        <w:t>•</w:t>
        <w:tab/>
      </w:r>
      <w:r>
        <w:rPr>
          <w:rFonts w:ascii="Times New Roman" w:hAnsi="Times New Roman" w:eastAsia="宋体"/>
          <w:b/>
          <w:color w:val="000000"/>
          <w:sz w:val="21"/>
          <w:lang w:val="zh-CN"/>
        </w:rPr>
        <w:t>零样本与冷启动</w:t>
      </w:r>
      <w:r>
        <w:rPr>
          <w:rFonts w:ascii="Times New Roman" w:hAnsi="Times New Roman" w:eastAsia="宋体"/>
          <w:color w:val="000000"/>
          <w:sz w:val="21"/>
          <w:lang w:val="zh-CN"/>
        </w:rPr>
        <w:t>：ZeroDDI 使用语义增强和双模态对齐预测训练中未见过的 DDI 类型；</w:t>
      </w:r>
    </w:p>
    <w:p>
      <w:pPr>
        <w:pStyle w:val="BulletItem"/>
        <w:ind w:hanging="259"/>
      </w:pPr>
      <w:r>
        <w:rPr>
          <w:rFonts w:ascii="Times New Roman" w:hAnsi="Times New Roman" w:eastAsia="宋体"/>
          <w:color w:val="000000"/>
          <w:sz w:val="21"/>
          <w:lang w:val="zh-CN"/>
        </w:rPr>
        <w:t>•</w:t>
        <w:tab/>
      </w:r>
      <w:r>
        <w:rPr>
          <w:rFonts w:ascii="Times New Roman" w:hAnsi="Times New Roman" w:eastAsia="宋体"/>
          <w:b/>
          <w:color w:val="000000"/>
          <w:sz w:val="21"/>
          <w:lang w:val="zh-CN"/>
        </w:rPr>
        <w:t>因果图学习</w:t>
      </w:r>
      <w:r>
        <w:rPr>
          <w:rFonts w:ascii="Times New Roman" w:hAnsi="Times New Roman" w:eastAsia="宋体"/>
          <w:color w:val="000000"/>
          <w:sz w:val="21"/>
          <w:lang w:val="zh-CN"/>
        </w:rPr>
        <w:t>：异质因果元路径模型尝试区分真正有因果意义的路径与数据中的相关性捷径；</w:t>
      </w:r>
    </w:p>
    <w:p>
      <w:pPr>
        <w:pStyle w:val="BulletItem"/>
        <w:ind w:hanging="259"/>
      </w:pPr>
      <w:r>
        <w:rPr>
          <w:rFonts w:ascii="Times New Roman" w:hAnsi="Times New Roman" w:eastAsia="宋体"/>
          <w:color w:val="000000"/>
          <w:sz w:val="21"/>
          <w:lang w:val="zh-CN"/>
        </w:rPr>
        <w:t>•</w:t>
        <w:tab/>
      </w:r>
      <w:r>
        <w:rPr>
          <w:rFonts w:ascii="Times New Roman" w:hAnsi="Times New Roman" w:eastAsia="宋体"/>
          <w:b/>
          <w:color w:val="000000"/>
          <w:sz w:val="21"/>
          <w:lang w:val="zh-CN"/>
        </w:rPr>
        <w:t>生成式药物设计</w:t>
      </w:r>
      <w:r>
        <w:rPr>
          <w:rFonts w:ascii="Times New Roman" w:hAnsi="Times New Roman" w:eastAsia="宋体"/>
          <w:color w:val="000000"/>
          <w:sz w:val="21"/>
          <w:lang w:val="zh-CN"/>
        </w:rPr>
        <w:t>：多模态对比扩散模型和可控提示扩散模型用于治疗性肽、抗菌肽生成；</w:t>
      </w:r>
    </w:p>
    <w:p>
      <w:pPr>
        <w:pStyle w:val="BulletItem"/>
        <w:ind w:hanging="259"/>
      </w:pPr>
      <w:r>
        <w:rPr>
          <w:rFonts w:ascii="Times New Roman" w:hAnsi="Times New Roman" w:eastAsia="宋体"/>
          <w:color w:val="000000"/>
          <w:sz w:val="21"/>
          <w:lang w:val="zh-CN"/>
        </w:rPr>
        <w:t>•</w:t>
        <w:tab/>
      </w:r>
      <w:r>
        <w:rPr>
          <w:rFonts w:ascii="Times New Roman" w:hAnsi="Times New Roman" w:eastAsia="宋体"/>
          <w:b/>
          <w:color w:val="000000"/>
          <w:sz w:val="21"/>
          <w:lang w:val="zh-CN"/>
        </w:rPr>
        <w:t>序列—结构联合建模</w:t>
      </w:r>
      <w:r>
        <w:rPr>
          <w:rFonts w:ascii="Times New Roman" w:hAnsi="Times New Roman" w:eastAsia="宋体"/>
          <w:color w:val="000000"/>
          <w:sz w:val="21"/>
          <w:lang w:val="zh-CN"/>
        </w:rPr>
        <w:t>：PTM、多肽、抗原—抗体和天然产物结合任务中，几何结构与序列语义被共同编码；</w:t>
      </w:r>
    </w:p>
    <w:p>
      <w:pPr>
        <w:pStyle w:val="BulletItem"/>
        <w:ind w:hanging="259"/>
      </w:pPr>
      <w:r>
        <w:rPr>
          <w:rFonts w:ascii="Times New Roman" w:hAnsi="Times New Roman" w:eastAsia="宋体"/>
          <w:color w:val="000000"/>
          <w:sz w:val="21"/>
          <w:lang w:val="zh-CN"/>
        </w:rPr>
        <w:t>•</w:t>
        <w:tab/>
      </w:r>
      <w:r>
        <w:rPr>
          <w:rFonts w:ascii="Times New Roman" w:hAnsi="Times New Roman" w:eastAsia="宋体"/>
          <w:b/>
          <w:color w:val="000000"/>
          <w:sz w:val="21"/>
          <w:lang w:val="zh-CN"/>
        </w:rPr>
        <w:t>分子预训练与知识迁移</w:t>
      </w:r>
      <w:r>
        <w:rPr>
          <w:rFonts w:ascii="Times New Roman" w:hAnsi="Times New Roman" w:eastAsia="宋体"/>
          <w:color w:val="000000"/>
          <w:sz w:val="21"/>
          <w:lang w:val="zh-CN"/>
        </w:rPr>
        <w:t>：2026 年 Nature Communications 论文以“多模态训练、单模态使用”的知识迁移方式改进分子预训练，直面下游任务中模态缺失的实际问题；</w:t>
      </w:r>
    </w:p>
    <w:p>
      <w:pPr>
        <w:pStyle w:val="BulletItem"/>
        <w:ind w:hanging="259"/>
      </w:pPr>
      <w:r>
        <w:rPr>
          <w:rFonts w:ascii="Times New Roman" w:hAnsi="Times New Roman" w:eastAsia="宋体"/>
          <w:color w:val="000000"/>
          <w:sz w:val="21"/>
          <w:lang w:val="zh-CN"/>
        </w:rPr>
        <w:t>•</w:t>
        <w:tab/>
      </w:r>
      <w:r>
        <w:rPr>
          <w:rFonts w:ascii="Times New Roman" w:hAnsi="Times New Roman" w:eastAsia="宋体"/>
          <w:b/>
          <w:color w:val="000000"/>
          <w:sz w:val="21"/>
          <w:lang w:val="zh-CN"/>
        </w:rPr>
        <w:t>面向科学文本和机制的生成</w:t>
      </w:r>
      <w:r>
        <w:rPr>
          <w:rFonts w:ascii="Times New Roman" w:hAnsi="Times New Roman" w:eastAsia="宋体"/>
          <w:color w:val="000000"/>
          <w:sz w:val="21"/>
          <w:lang w:val="zh-CN"/>
        </w:rPr>
        <w:t>：PKAG-DDI 将药代动力学知识、预训练语言模型与 DDI 解释文本生成结合。</w:t>
      </w:r>
    </w:p>
    <w:p>
      <w:r>
        <w:rPr>
          <w:rFonts w:ascii="Times New Roman" w:hAnsi="Times New Roman" w:eastAsia="宋体"/>
          <w:color w:val="000000"/>
          <w:sz w:val="22"/>
          <w:lang w:val="zh-CN"/>
        </w:rPr>
        <w:t>这一阶段标志着团队从“已知实体之间有没有边”向三个更难的问题推进：能否预测未见类别、能否生成新的候选分子、能否在只有部分模态时仍保持泛化能力。</w:t>
      </w:r>
    </w:p>
    <w:p>
      <w:pPr>
        <w:pStyle w:val="Heading1"/>
      </w:pPr>
      <w:r>
        <w:rPr>
          <w:rFonts w:ascii="Times New Roman" w:hAnsi="Times New Roman" w:eastAsia="宋体"/>
          <w:color w:val="000000"/>
          <w:sz w:val="32"/>
          <w:lang w:val="zh-CN"/>
        </w:rPr>
        <w:t>4 五条应用主线</w:t>
      </w:r>
    </w:p>
    <w:p>
      <w:pPr>
        <w:pStyle w:val="Heading2"/>
      </w:pPr>
      <w:r>
        <w:rPr>
          <w:rFonts w:ascii="Times New Roman" w:hAnsi="Times New Roman" w:eastAsia="宋体"/>
          <w:color w:val="000000"/>
          <w:sz w:val="26"/>
          <w:lang w:val="zh-CN"/>
        </w:rPr>
        <w:t>4 1 药物关系与药物重定位</w:t>
      </w:r>
    </w:p>
    <w:p>
      <w:r>
        <w:rPr>
          <w:rFonts w:ascii="Times New Roman" w:hAnsi="Times New Roman" w:eastAsia="宋体"/>
          <w:color w:val="000000"/>
          <w:sz w:val="22"/>
          <w:lang w:val="zh-CN"/>
        </w:rPr>
        <w:t>这是近十年最连续、成果最密集的主线，覆盖 DDI、药物—疾病关联、药物—靶点相互作用、药物副作用、药物重定位和药物协同。其演化过程最完整地体现了团队的方法升级：从矩阵分解与标签传播，到多模态深度学习，再到异质图、超图、对比学习、少样本和零样本预测。</w:t>
      </w:r>
    </w:p>
    <w:p>
      <w:r>
        <w:rPr>
          <w:rFonts w:ascii="Times New Roman" w:hAnsi="Times New Roman" w:eastAsia="宋体"/>
          <w:color w:val="000000"/>
          <w:sz w:val="22"/>
          <w:lang w:val="zh-CN"/>
        </w:rPr>
        <w:t>该主线的学术影响也最突出。按 Google Scholar 当前页面，引用最高的多篇论文均来自这一方向，说明团队对生物医学网络表示和 DDI 建模的贡献已形成较强的领域辨识度。</w:t>
      </w:r>
    </w:p>
    <w:p>
      <w:pPr>
        <w:pStyle w:val="Heading2"/>
      </w:pPr>
      <w:r>
        <w:rPr>
          <w:rFonts w:ascii="Times New Roman" w:hAnsi="Times New Roman" w:eastAsia="宋体"/>
          <w:color w:val="000000"/>
          <w:sz w:val="26"/>
          <w:lang w:val="zh-CN"/>
        </w:rPr>
        <w:t>4 2 癌症药物反应 协同与精准治疗</w:t>
      </w:r>
    </w:p>
    <w:p>
      <w:r>
        <w:rPr>
          <w:rFonts w:ascii="Times New Roman" w:hAnsi="Times New Roman" w:eastAsia="宋体"/>
          <w:color w:val="000000"/>
          <w:sz w:val="22"/>
          <w:lang w:val="zh-CN"/>
        </w:rPr>
        <w:t>GraphCDR、GNNDRP、分层多视图药物—细胞系响应模型、子成分引导的可解释模型以及药物协同超图模型，体现了从“群体层面的药物关系”到“细胞系或患者情境下的响应预测”的转变。</w:t>
      </w:r>
    </w:p>
    <w:p>
      <w:r>
        <w:rPr>
          <w:rFonts w:ascii="Times New Roman" w:hAnsi="Times New Roman" w:eastAsia="宋体"/>
          <w:color w:val="000000"/>
          <w:sz w:val="22"/>
          <w:lang w:val="zh-CN"/>
        </w:rPr>
        <w:t>这一方向的难点是分布偏移：不同细胞系、癌种、实验平台和药物组合之间差异显著。现有论文通过多视图融合、对比学习和多任务学习改善泛化，但真正走向精准治疗仍需要跨队列外部验证和前瞻性实验。</w:t>
      </w:r>
    </w:p>
    <w:p>
      <w:pPr>
        <w:pStyle w:val="Heading2"/>
      </w:pPr>
      <w:r>
        <w:rPr>
          <w:rFonts w:ascii="Times New Roman" w:hAnsi="Times New Roman" w:eastAsia="宋体"/>
          <w:color w:val="000000"/>
          <w:sz w:val="26"/>
          <w:lang w:val="zh-CN"/>
        </w:rPr>
        <w:t>4 3 非编码 RNA 基因调控与多组学</w:t>
      </w:r>
    </w:p>
    <w:p>
      <w:r>
        <w:rPr>
          <w:rFonts w:ascii="Times New Roman" w:hAnsi="Times New Roman" w:eastAsia="宋体"/>
          <w:color w:val="000000"/>
          <w:sz w:val="22"/>
          <w:lang w:val="zh-CN"/>
        </w:rPr>
        <w:t>2016—2020 年间，piRNA、lncRNA、miRNA、sRNA、eQTL 和编码潜力预测占有较大比重；近年又延伸到 cfDNA 片段组学、染色质状态、G-四链体和癌症基因识别。</w:t>
      </w:r>
    </w:p>
    <w:p>
      <w:r>
        <w:rPr>
          <w:rFonts w:ascii="Times New Roman" w:hAnsi="Times New Roman" w:eastAsia="宋体"/>
          <w:color w:val="000000"/>
          <w:sz w:val="22"/>
          <w:lang w:val="zh-CN"/>
        </w:rPr>
        <w:t>这一主线表明团队不仅将算法应用于药物网络，也长期关注基因组调控数据中的弱信号、类别不平衡与多源整合。其技术共性仍是图或网络上的关系推断，但输入逐渐从人工描述符扩展到序列、表观遗传和多组学特征。</w:t>
      </w:r>
    </w:p>
    <w:p>
      <w:pPr>
        <w:pStyle w:val="Heading2"/>
      </w:pPr>
      <w:r>
        <w:rPr>
          <w:rFonts w:ascii="Times New Roman" w:hAnsi="Times New Roman" w:eastAsia="宋体"/>
          <w:color w:val="000000"/>
          <w:sz w:val="26"/>
          <w:lang w:val="zh-CN"/>
        </w:rPr>
        <w:t>4 4 蛋白质 肽 抗体与分子相互作用</w:t>
      </w:r>
    </w:p>
    <w:p>
      <w:r>
        <w:rPr>
          <w:rFonts w:ascii="Times New Roman" w:hAnsi="Times New Roman" w:eastAsia="宋体"/>
          <w:color w:val="000000"/>
          <w:sz w:val="22"/>
          <w:lang w:val="zh-CN"/>
        </w:rPr>
        <w:t>研究对象包括磷酸化及其他翻译后修饰位点、RNA 结合残基、蛋白质功能位点、抗原—抗体界面、天然产物结合位点、抗癌肽和抗菌肽。近期模型明显强化了三维几何、局部—全局结构、多粒度图和序列语言表示。</w:t>
      </w:r>
    </w:p>
    <w:p>
      <w:r>
        <w:rPr>
          <w:rFonts w:ascii="Times New Roman" w:hAnsi="Times New Roman" w:eastAsia="宋体"/>
          <w:color w:val="000000"/>
          <w:sz w:val="22"/>
          <w:lang w:val="zh-CN"/>
        </w:rPr>
        <w:t>该方向与实验室公开的蛋白质、抗体、酶和小分子设计方向高度一致，也是团队从网络生物信息学走向生成式生物分子设计的关键接口。</w:t>
      </w:r>
    </w:p>
    <w:p>
      <w:pPr>
        <w:pStyle w:val="Heading2"/>
      </w:pPr>
      <w:r>
        <w:rPr>
          <w:rFonts w:ascii="Times New Roman" w:hAnsi="Times New Roman" w:eastAsia="宋体"/>
          <w:color w:val="000000"/>
          <w:sz w:val="26"/>
          <w:lang w:val="zh-CN"/>
        </w:rPr>
        <w:t>4 5 知识图谱与中药机制研究</w:t>
      </w:r>
    </w:p>
    <w:p>
      <w:r>
        <w:rPr>
          <w:rFonts w:ascii="Times New Roman" w:hAnsi="Times New Roman" w:eastAsia="宋体"/>
          <w:color w:val="000000"/>
          <w:sz w:val="22"/>
          <w:lang w:val="zh-CN"/>
        </w:rPr>
        <w:t>知识图谱被用于药物重定位、基因—微生物—疾病关系和中药药效机制分析。关于菊花和“药材—症状”关系的研究说明，团队在尝试将图学习能力迁移到传统医学数据。</w:t>
      </w:r>
    </w:p>
    <w:p>
      <w:r>
        <w:rPr>
          <w:rFonts w:ascii="Times New Roman" w:hAnsi="Times New Roman" w:eastAsia="宋体"/>
          <w:color w:val="000000"/>
          <w:sz w:val="22"/>
          <w:lang w:val="zh-CN"/>
        </w:rPr>
        <w:t>这一方向潜力较大，但数据来源异质、概念标准化不足、因果证据薄弱。模型发现的路径更适合被视为可验证的机制假设，而不是临床因果结论。</w:t>
      </w:r>
    </w:p>
    <w:p>
      <w:pPr>
        <w:pStyle w:val="Heading1"/>
      </w:pPr>
      <w:r>
        <w:rPr>
          <w:rFonts w:ascii="Times New Roman" w:hAnsi="Times New Roman" w:eastAsia="宋体"/>
          <w:color w:val="000000"/>
          <w:sz w:val="32"/>
          <w:lang w:val="zh-CN"/>
        </w:rPr>
        <w:t>5 代表性高影响论文</w:t>
      </w:r>
    </w:p>
    <w:p>
      <w:r>
        <w:rPr>
          <w:rFonts w:ascii="Times New Roman" w:hAnsi="Times New Roman" w:eastAsia="宋体"/>
          <w:color w:val="000000"/>
          <w:sz w:val="22"/>
          <w:lang w:val="zh-CN"/>
        </w:rPr>
        <w:t>以下引用数取自 2026-09-22 的 Google Scholar 个人主页，数值会继续变化。</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24"/>
        <w:gridCol w:w="3528"/>
        <w:gridCol w:w="3528"/>
        <w:gridCol w:w="1224"/>
      </w:tblGrid>
      <w:tr>
        <w:trPr>
          <w:tblHeader w:val="true"/>
        </w:trPr>
        <w:tc>
          <w:tcPr>
            <w:tcW w:type="dxa" w:w="1224"/>
            <w:vAlign w:val="center"/>
            <w:tcMar>
              <w:top w:w="90" w:type="dxa"/>
              <w:start w:w="45" w:type="dxa"/>
              <w:bottom w:w="90" w:type="dxa"/>
              <w:end w:w="45" w:type="dxa"/>
            </w:tcMar>
            <w:shd w:fill="17365D"/>
          </w:tcPr>
          <w:p>
            <w:pPr>
              <w:spacing w:after="0"/>
              <w:ind w:left="0" w:right="0" w:firstLine="0"/>
              <w:jc w:val="center"/>
            </w:pPr>
            <w:r>
              <w:rPr>
                <w:rFonts w:ascii="Microsoft YaHei" w:hAnsi="Microsoft YaHei" w:eastAsia="微软雅黑"/>
                <w:b/>
                <w:color w:val="FFFFFF"/>
                <w:sz w:val="18"/>
                <w:lang w:val="zh-CN"/>
              </w:rPr>
              <w:t>年份</w:t>
            </w:r>
          </w:p>
        </w:tc>
        <w:tc>
          <w:tcPr>
            <w:tcW w:type="dxa" w:w="3528"/>
            <w:vAlign w:val="center"/>
            <w:tcMar>
              <w:top w:w="90" w:type="dxa"/>
              <w:start w:w="110" w:type="dxa"/>
              <w:bottom w:w="90" w:type="dxa"/>
              <w:end w:w="110" w:type="dxa"/>
            </w:tcMar>
            <w:shd w:fill="17365D"/>
          </w:tcPr>
          <w:p>
            <w:pPr>
              <w:spacing w:after="0"/>
              <w:ind w:left="0" w:right="0" w:firstLine="0"/>
              <w:jc w:val="center"/>
            </w:pPr>
            <w:r>
              <w:rPr>
                <w:rFonts w:ascii="Microsoft YaHei" w:hAnsi="Microsoft YaHei" w:eastAsia="微软雅黑"/>
                <w:b/>
                <w:color w:val="FFFFFF"/>
                <w:sz w:val="18"/>
                <w:lang w:val="zh-CN"/>
              </w:rPr>
              <w:t>论文</w:t>
            </w:r>
          </w:p>
        </w:tc>
        <w:tc>
          <w:tcPr>
            <w:tcW w:type="dxa" w:w="3528"/>
            <w:vAlign w:val="center"/>
            <w:tcMar>
              <w:top w:w="90" w:type="dxa"/>
              <w:start w:w="110" w:type="dxa"/>
              <w:bottom w:w="90" w:type="dxa"/>
              <w:end w:w="110" w:type="dxa"/>
            </w:tcMar>
            <w:shd w:fill="17365D"/>
          </w:tcPr>
          <w:p>
            <w:pPr>
              <w:spacing w:after="0"/>
              <w:ind w:left="0" w:right="0" w:firstLine="0"/>
              <w:jc w:val="center"/>
            </w:pPr>
            <w:r>
              <w:rPr>
                <w:rFonts w:ascii="Microsoft YaHei" w:hAnsi="Microsoft YaHei" w:eastAsia="微软雅黑"/>
                <w:b/>
                <w:color w:val="FFFFFF"/>
                <w:sz w:val="18"/>
                <w:lang w:val="zh-CN"/>
              </w:rPr>
              <w:t>主要贡献</w:t>
            </w:r>
          </w:p>
        </w:tc>
        <w:tc>
          <w:tcPr>
            <w:tcW w:type="dxa" w:w="1224"/>
            <w:vAlign w:val="center"/>
            <w:tcMar>
              <w:top w:w="90" w:type="dxa"/>
              <w:start w:w="45" w:type="dxa"/>
              <w:bottom w:w="90" w:type="dxa"/>
              <w:end w:w="45" w:type="dxa"/>
            </w:tcMar>
            <w:shd w:fill="17365D"/>
          </w:tcPr>
          <w:p>
            <w:pPr>
              <w:spacing w:after="0"/>
              <w:ind w:left="0" w:right="0" w:firstLine="0"/>
              <w:jc w:val="center"/>
            </w:pPr>
            <w:r>
              <w:rPr>
                <w:rFonts w:ascii="Microsoft YaHei" w:hAnsi="Microsoft YaHei" w:eastAsia="微软雅黑"/>
                <w:b/>
                <w:color w:val="FFFFFF"/>
                <w:sz w:val="18"/>
                <w:lang w:val="zh-CN"/>
              </w:rPr>
              <w:t>引用数（约）</w:t>
            </w:r>
          </w:p>
        </w:tc>
      </w:tr>
      <w:tr>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2020</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A multimodal deep learning framework for predicting drug–drug interaction events</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多模态深度学习预测 DDI 事件类型</w:t>
            </w:r>
          </w:p>
        </w:tc>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530</w:t>
            </w:r>
          </w:p>
        </w:tc>
      </w:tr>
      <w:tr>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2020</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Graph embedding on biomedical networks: methods, applications and evaluations</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生物医学图嵌入综述与系统评估</w:t>
            </w:r>
          </w:p>
        </w:tc>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519</w:t>
            </w:r>
          </w:p>
        </w:tc>
      </w:tr>
      <w:tr>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2021</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Predicting drug–disease associations through layer attention graph convolutional network</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层注意力 GCN 融合不同传播尺度</w:t>
            </w:r>
          </w:p>
        </w:tc>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472</w:t>
            </w:r>
          </w:p>
        </w:tc>
      </w:tr>
      <w:tr>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2017</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Predicting potential drug-drug interactions by integrating chemical, biological, phenotypic and network data</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多源数据融合预测 DDI</w:t>
            </w:r>
          </w:p>
        </w:tc>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423</w:t>
            </w:r>
          </w:p>
        </w:tc>
      </w:tr>
      <w:tr>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2018</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Predicting drug-disease associations by using similarity constrained matrix factorization</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相似性约束矩阵分解</w:t>
            </w:r>
          </w:p>
        </w:tc>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357</w:t>
            </w:r>
          </w:p>
        </w:tc>
      </w:tr>
      <w:tr>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2016</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Predicting potential side effects of drugs by recommender methods and ensemble learning</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推荐系统与集成学习预测副作用</w:t>
            </w:r>
          </w:p>
        </w:tc>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174</w:t>
            </w:r>
          </w:p>
        </w:tc>
      </w:tr>
      <w:tr>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2018</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The linear neighborhood propagation method for predicting long non-coding RNA–protein interactions</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线性邻域传播预测 LPI</w:t>
            </w:r>
          </w:p>
        </w:tc>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163</w:t>
            </w:r>
          </w:p>
        </w:tc>
      </w:tr>
      <w:tr>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2022</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GraphCDR</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图神经网络与对比学习预测癌症药物反应</w:t>
            </w:r>
          </w:p>
        </w:tc>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161</w:t>
            </w:r>
          </w:p>
        </w:tc>
      </w:tr>
      <w:tr>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2021</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Drug–drug interaction prediction based on knowledge graph embeddings and convolutional-LSTM network</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知识图谱嵌入与序列模型结合</w:t>
            </w:r>
          </w:p>
        </w:tc>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161</w:t>
            </w:r>
          </w:p>
        </w:tc>
      </w:tr>
      <w:tr>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2018</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SFPEL-LPI</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结构邻域与标签传播预测 LPI</w:t>
            </w:r>
          </w:p>
        </w:tc>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159</w:t>
            </w:r>
          </w:p>
        </w:tc>
      </w:tr>
      <w:tr>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2018</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Predicting drug-drug interactions based on integrated similarity and semi-supervised learning</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流形正则化矩阵分解预测 DDI</w:t>
            </w:r>
          </w:p>
        </w:tc>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151</w:t>
            </w:r>
          </w:p>
        </w:tc>
      </w:tr>
      <w:tr>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2019</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SFLLN</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结构特征与标签传播预测药物副作用</w:t>
            </w:r>
          </w:p>
        </w:tc>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144</w:t>
            </w:r>
          </w:p>
        </w:tc>
      </w:tr>
      <w:tr>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2022</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MVGCN</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多视图 GCN 预测生物医学二部网络链接</w:t>
            </w:r>
          </w:p>
        </w:tc>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131</w:t>
            </w:r>
          </w:p>
        </w:tc>
      </w:tr>
      <w:tr>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2022</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Enhancing drug–drug interaction prediction using deep attention neural networks</w:t>
            </w:r>
          </w:p>
        </w:tc>
        <w:tc>
          <w:tcPr>
            <w:tcW w:type="dxa" w:w="3528"/>
            <w:shd w:fill="EAF1F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注意力机制融合多源 DDI 信息</w:t>
            </w:r>
          </w:p>
        </w:tc>
        <w:tc>
          <w:tcPr>
            <w:tcW w:type="dxa" w:w="1224"/>
            <w:shd w:fill="EAF1F8"/>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130</w:t>
            </w:r>
          </w:p>
        </w:tc>
      </w:tr>
      <w:tr>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2023</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A comprehensive evaluation of deep and graph learning on drug–drug interactions prediction</w:t>
            </w:r>
          </w:p>
        </w:tc>
        <w:tc>
          <w:tcPr>
            <w:tcW w:type="dxa" w:w="3528"/>
            <w:vAlign w:val="center"/>
            <w:tcMar>
              <w:top w:w="90" w:type="dxa"/>
              <w:start w:w="110" w:type="dxa"/>
              <w:bottom w:w="90" w:type="dxa"/>
              <w:end w:w="110" w:type="dxa"/>
            </w:tcMar>
          </w:tcPr>
          <w:p>
            <w:pPr>
              <w:spacing w:after="0" w:line="269" w:lineRule="auto"/>
              <w:ind w:left="0" w:right="0" w:firstLine="0"/>
              <w:jc w:val="left"/>
            </w:pPr>
            <w:r>
              <w:rPr>
                <w:rFonts w:ascii="Times New Roman" w:hAnsi="Times New Roman" w:eastAsia="宋体"/>
                <w:color w:val="000000"/>
                <w:sz w:val="18"/>
                <w:lang w:val="zh-CN"/>
              </w:rPr>
              <w:t>系统审视 DDI 深度与图学习评测</w:t>
            </w:r>
          </w:p>
        </w:tc>
        <w:tc>
          <w:tcPr>
            <w:tcW w:type="dxa" w:w="1224"/>
            <w:vAlign w:val="center"/>
            <w:tcMar>
              <w:top w:w="90" w:type="dxa"/>
              <w:start w:w="45" w:type="dxa"/>
              <w:bottom w:w="90" w:type="dxa"/>
              <w:end w:w="45" w:type="dxa"/>
            </w:tcMar>
          </w:tcPr>
          <w:p>
            <w:pPr>
              <w:spacing w:after="0" w:line="269" w:lineRule="auto"/>
              <w:ind w:left="0" w:right="0" w:firstLine="0"/>
              <w:jc w:val="center"/>
            </w:pPr>
            <w:r>
              <w:rPr>
                <w:rFonts w:ascii="Times New Roman" w:hAnsi="Times New Roman" w:eastAsia="宋体"/>
                <w:color w:val="000000"/>
                <w:sz w:val="18"/>
                <w:lang w:val="zh-CN"/>
              </w:rPr>
              <w:t>126</w:t>
            </w:r>
          </w:p>
        </w:tc>
      </w:tr>
    </w:tbl>
    <w:p>
      <w:pPr>
        <w:spacing w:after="40"/>
      </w:pPr>
    </w:p>
    <w:p>
      <w:r>
        <w:rPr>
          <w:rFonts w:ascii="Times New Roman" w:hAnsi="Times New Roman" w:eastAsia="宋体"/>
          <w:color w:val="000000"/>
          <w:sz w:val="22"/>
          <w:lang w:val="zh-CN"/>
        </w:rPr>
        <w:t>这些论文共同说明：团队的影响力并不来自单一模型，而来自围绕“多源数据—网络表示—关系预测”持续十年的方法积累。</w:t>
      </w:r>
    </w:p>
    <w:p>
      <w:pPr>
        <w:pStyle w:val="Heading1"/>
      </w:pPr>
      <w:r>
        <w:rPr>
          <w:rFonts w:ascii="Times New Roman" w:hAnsi="Times New Roman" w:eastAsia="宋体"/>
          <w:color w:val="000000"/>
          <w:sz w:val="32"/>
          <w:lang w:val="zh-CN"/>
        </w:rPr>
        <w:t>6 综合评价</w:t>
      </w:r>
    </w:p>
    <w:p>
      <w:pPr>
        <w:pStyle w:val="Heading2"/>
      </w:pPr>
      <w:r>
        <w:rPr>
          <w:rFonts w:ascii="Times New Roman" w:hAnsi="Times New Roman" w:eastAsia="宋体"/>
          <w:color w:val="000000"/>
          <w:sz w:val="26"/>
          <w:lang w:val="zh-CN"/>
        </w:rPr>
        <w:t>6 1 主要贡献</w:t>
      </w:r>
    </w:p>
    <w:p>
      <w:pPr>
        <w:pStyle w:val="NumberedItem"/>
        <w:ind w:hanging="317"/>
      </w:pPr>
      <w:r>
        <w:rPr>
          <w:rFonts w:ascii="Times New Roman" w:hAnsi="Times New Roman" w:eastAsia="宋体"/>
          <w:color w:val="000000"/>
          <w:sz w:val="21"/>
          <w:lang w:val="zh-CN"/>
        </w:rPr>
        <w:t>1.</w:t>
        <w:tab/>
      </w:r>
      <w:r>
        <w:rPr>
          <w:rFonts w:ascii="Times New Roman" w:hAnsi="Times New Roman" w:eastAsia="宋体"/>
          <w:b/>
          <w:color w:val="000000"/>
          <w:sz w:val="21"/>
          <w:lang w:val="zh-CN"/>
        </w:rPr>
        <w:t>形成了连续的方法演化链。</w:t>
      </w:r>
      <w:r>
        <w:rPr>
          <w:rFonts w:ascii="Times New Roman" w:hAnsi="Times New Roman" w:eastAsia="宋体"/>
          <w:color w:val="000000"/>
          <w:sz w:val="21"/>
          <w:lang w:val="zh-CN"/>
        </w:rPr>
        <w:t xml:space="preserve"> 早期的矩阵分解和邻域传播为后期图表示学习奠定了统一的问题形式，而不是相互孤立的算法尝试。</w:t>
      </w:r>
    </w:p>
    <w:p>
      <w:pPr>
        <w:pStyle w:val="NumberedItem"/>
        <w:ind w:hanging="317"/>
      </w:pPr>
      <w:r>
        <w:rPr>
          <w:rFonts w:ascii="Times New Roman" w:hAnsi="Times New Roman" w:eastAsia="宋体"/>
          <w:color w:val="000000"/>
          <w:sz w:val="21"/>
          <w:lang w:val="zh-CN"/>
        </w:rPr>
        <w:t>2.</w:t>
        <w:tab/>
      </w:r>
      <w:r>
        <w:rPr>
          <w:rFonts w:ascii="Times New Roman" w:hAnsi="Times New Roman" w:eastAsia="宋体"/>
          <w:b/>
          <w:color w:val="000000"/>
          <w:sz w:val="21"/>
          <w:lang w:val="zh-CN"/>
        </w:rPr>
        <w:t>多模态融合贯穿始终。</w:t>
      </w:r>
      <w:r>
        <w:rPr>
          <w:rFonts w:ascii="Times New Roman" w:hAnsi="Times New Roman" w:eastAsia="宋体"/>
          <w:color w:val="000000"/>
          <w:sz w:val="21"/>
          <w:lang w:val="zh-CN"/>
        </w:rPr>
        <w:t xml:space="preserve"> 从化学、生物、表型和网络数据，到序列、结构、知识文本和组学数据，多源互补是多数高影响论文的共同特征。</w:t>
      </w:r>
    </w:p>
    <w:p>
      <w:pPr>
        <w:pStyle w:val="NumberedItem"/>
        <w:ind w:hanging="317"/>
      </w:pPr>
      <w:r>
        <w:rPr>
          <w:rFonts w:ascii="Times New Roman" w:hAnsi="Times New Roman" w:eastAsia="宋体"/>
          <w:color w:val="000000"/>
          <w:sz w:val="21"/>
          <w:lang w:val="zh-CN"/>
        </w:rPr>
        <w:t>3.</w:t>
        <w:tab/>
      </w:r>
      <w:r>
        <w:rPr>
          <w:rFonts w:ascii="Times New Roman" w:hAnsi="Times New Roman" w:eastAsia="宋体"/>
          <w:b/>
          <w:color w:val="000000"/>
          <w:sz w:val="21"/>
          <w:lang w:val="zh-CN"/>
        </w:rPr>
        <w:t>将图学习迁移到广泛的生物医学任务。</w:t>
      </w:r>
      <w:r>
        <w:rPr>
          <w:rFonts w:ascii="Times New Roman" w:hAnsi="Times New Roman" w:eastAsia="宋体"/>
          <w:color w:val="000000"/>
          <w:sz w:val="21"/>
          <w:lang w:val="zh-CN"/>
        </w:rPr>
        <w:t xml:space="preserve"> 药物、疾病、RNA、蛋白质、微生物和传统医学知识均可被统一表示为图上的节点、边与高阶关系。</w:t>
      </w:r>
    </w:p>
    <w:p>
      <w:pPr>
        <w:pStyle w:val="NumberedItem"/>
        <w:ind w:hanging="317"/>
      </w:pPr>
      <w:r>
        <w:rPr>
          <w:rFonts w:ascii="Times New Roman" w:hAnsi="Times New Roman" w:eastAsia="宋体"/>
          <w:color w:val="000000"/>
          <w:sz w:val="21"/>
          <w:lang w:val="zh-CN"/>
        </w:rPr>
        <w:t>4.</w:t>
        <w:tab/>
      </w:r>
      <w:r>
        <w:rPr>
          <w:rFonts w:ascii="Times New Roman" w:hAnsi="Times New Roman" w:eastAsia="宋体"/>
          <w:b/>
          <w:color w:val="000000"/>
          <w:sz w:val="21"/>
          <w:lang w:val="zh-CN"/>
        </w:rPr>
        <w:t>研究前沿迁移速度快。</w:t>
      </w:r>
      <w:r>
        <w:rPr>
          <w:rFonts w:ascii="Times New Roman" w:hAnsi="Times New Roman" w:eastAsia="宋体"/>
          <w:color w:val="000000"/>
          <w:sz w:val="21"/>
          <w:lang w:val="zh-CN"/>
        </w:rPr>
        <w:t xml:space="preserve"> 对比学习、超图、少样本、零样本、因果学习、扩散模型和分子预训练均较快进入具体生物医学任务。</w:t>
      </w:r>
    </w:p>
    <w:p>
      <w:pPr>
        <w:pStyle w:val="NumberedItem"/>
        <w:ind w:hanging="317"/>
      </w:pPr>
      <w:r>
        <w:rPr>
          <w:rFonts w:ascii="Times New Roman" w:hAnsi="Times New Roman" w:eastAsia="宋体"/>
          <w:color w:val="000000"/>
          <w:sz w:val="21"/>
          <w:lang w:val="zh-CN"/>
        </w:rPr>
        <w:t>5.</w:t>
        <w:tab/>
      </w:r>
      <w:r>
        <w:rPr>
          <w:rFonts w:ascii="Times New Roman" w:hAnsi="Times New Roman" w:eastAsia="宋体"/>
          <w:b/>
          <w:color w:val="000000"/>
          <w:sz w:val="21"/>
          <w:lang w:val="zh-CN"/>
        </w:rPr>
        <w:t>兼顾方法、评测与应用。</w:t>
      </w:r>
      <w:r>
        <w:rPr>
          <w:rFonts w:ascii="Times New Roman" w:hAnsi="Times New Roman" w:eastAsia="宋体"/>
          <w:color w:val="000000"/>
          <w:sz w:val="21"/>
          <w:lang w:val="zh-CN"/>
        </w:rPr>
        <w:t xml:space="preserve"> 除提出模型外，也有图嵌入综述、DDI 综合评估、数据库和多组学应用，使研究体系较为完整。</w:t>
      </w:r>
    </w:p>
    <w:p>
      <w:pPr>
        <w:pStyle w:val="Heading2"/>
      </w:pPr>
      <w:r>
        <w:rPr>
          <w:rFonts w:ascii="Times New Roman" w:hAnsi="Times New Roman" w:eastAsia="宋体"/>
          <w:color w:val="000000"/>
          <w:sz w:val="26"/>
          <w:lang w:val="zh-CN"/>
        </w:rPr>
        <w:t>6 2 需要审慎看待的问题</w:t>
      </w:r>
    </w:p>
    <w:p>
      <w:pPr>
        <w:pStyle w:val="NumberedItem"/>
        <w:ind w:hanging="317"/>
      </w:pPr>
      <w:r>
        <w:rPr>
          <w:rFonts w:ascii="Times New Roman" w:hAnsi="Times New Roman" w:eastAsia="宋体"/>
          <w:color w:val="000000"/>
          <w:sz w:val="21"/>
          <w:lang w:val="zh-CN"/>
        </w:rPr>
        <w:t>1.</w:t>
        <w:tab/>
      </w:r>
      <w:r>
        <w:rPr>
          <w:rFonts w:ascii="Times New Roman" w:hAnsi="Times New Roman" w:eastAsia="宋体"/>
          <w:b/>
          <w:color w:val="000000"/>
          <w:sz w:val="21"/>
          <w:lang w:val="zh-CN"/>
        </w:rPr>
        <w:t>随机划分可能高估泛化。</w:t>
      </w:r>
      <w:r>
        <w:rPr>
          <w:rFonts w:ascii="Times New Roman" w:hAnsi="Times New Roman" w:eastAsia="宋体"/>
          <w:color w:val="000000"/>
          <w:sz w:val="21"/>
          <w:lang w:val="zh-CN"/>
        </w:rPr>
        <w:t xml:space="preserve"> 生物医学网络中相似药物、同源蛋白或共享邻域容易跨训练集和测试集泄漏。随机边划分的高分不等同于对新药、新靶点或新关系类型的有效预测。</w:t>
      </w:r>
    </w:p>
    <w:p>
      <w:pPr>
        <w:pStyle w:val="NumberedItem"/>
        <w:ind w:hanging="317"/>
      </w:pPr>
      <w:r>
        <w:rPr>
          <w:rFonts w:ascii="Times New Roman" w:hAnsi="Times New Roman" w:eastAsia="宋体"/>
          <w:color w:val="000000"/>
          <w:sz w:val="21"/>
          <w:lang w:val="zh-CN"/>
        </w:rPr>
        <w:t>2.</w:t>
        <w:tab/>
      </w:r>
      <w:r>
        <w:rPr>
          <w:rFonts w:ascii="Times New Roman" w:hAnsi="Times New Roman" w:eastAsia="宋体"/>
          <w:b/>
          <w:color w:val="000000"/>
          <w:sz w:val="21"/>
          <w:lang w:val="zh-CN"/>
        </w:rPr>
        <w:t>负样本通常不是真正的负例。</w:t>
      </w:r>
      <w:r>
        <w:rPr>
          <w:rFonts w:ascii="Times New Roman" w:hAnsi="Times New Roman" w:eastAsia="宋体"/>
          <w:color w:val="000000"/>
          <w:sz w:val="21"/>
          <w:lang w:val="zh-CN"/>
        </w:rPr>
        <w:t xml:space="preserve"> 未被数据库记录的关系常被当作负样本，但其中可能包含尚未发现的正例，从而影响训练与评价。</w:t>
      </w:r>
    </w:p>
    <w:p>
      <w:pPr>
        <w:pStyle w:val="NumberedItem"/>
        <w:ind w:hanging="317"/>
      </w:pPr>
      <w:r>
        <w:rPr>
          <w:rFonts w:ascii="Times New Roman" w:hAnsi="Times New Roman" w:eastAsia="宋体"/>
          <w:color w:val="000000"/>
          <w:sz w:val="21"/>
          <w:lang w:val="zh-CN"/>
        </w:rPr>
        <w:t>3.</w:t>
        <w:tab/>
      </w:r>
      <w:r>
        <w:rPr>
          <w:rFonts w:ascii="Times New Roman" w:hAnsi="Times New Roman" w:eastAsia="宋体"/>
          <w:b/>
          <w:color w:val="000000"/>
          <w:sz w:val="21"/>
          <w:lang w:val="zh-CN"/>
        </w:rPr>
        <w:t>数据集和评价协议不统一。</w:t>
      </w:r>
      <w:r>
        <w:rPr>
          <w:rFonts w:ascii="Times New Roman" w:hAnsi="Times New Roman" w:eastAsia="宋体"/>
          <w:color w:val="000000"/>
          <w:sz w:val="21"/>
          <w:lang w:val="zh-CN"/>
        </w:rPr>
        <w:t xml:space="preserve"> 不同论文使用不同数据库版本、预处理、负采样比例和指标，模型之间的提升未必可直接比较。</w:t>
      </w:r>
    </w:p>
    <w:p>
      <w:pPr>
        <w:pStyle w:val="NumberedItem"/>
        <w:ind w:hanging="317"/>
      </w:pPr>
      <w:r>
        <w:rPr>
          <w:rFonts w:ascii="Times New Roman" w:hAnsi="Times New Roman" w:eastAsia="宋体"/>
          <w:color w:val="000000"/>
          <w:sz w:val="21"/>
          <w:lang w:val="zh-CN"/>
        </w:rPr>
        <w:t>4.</w:t>
        <w:tab/>
      </w:r>
      <w:r>
        <w:rPr>
          <w:rFonts w:ascii="Times New Roman" w:hAnsi="Times New Roman" w:eastAsia="宋体"/>
          <w:b/>
          <w:color w:val="000000"/>
          <w:sz w:val="21"/>
          <w:lang w:val="zh-CN"/>
        </w:rPr>
        <w:t>外部与前瞻性验证不足。</w:t>
      </w:r>
      <w:r>
        <w:rPr>
          <w:rFonts w:ascii="Times New Roman" w:hAnsi="Times New Roman" w:eastAsia="宋体"/>
          <w:color w:val="000000"/>
          <w:sz w:val="21"/>
          <w:lang w:val="zh-CN"/>
        </w:rPr>
        <w:t xml:space="preserve"> 多数研究以公开数据库和交叉验证为主；若要证明临床或药物研发价值，需要时间切分、跨数据库验证、湿实验和真实世界验证。</w:t>
      </w:r>
    </w:p>
    <w:p>
      <w:pPr>
        <w:pStyle w:val="NumberedItem"/>
        <w:ind w:hanging="317"/>
      </w:pPr>
      <w:r>
        <w:rPr>
          <w:rFonts w:ascii="Times New Roman" w:hAnsi="Times New Roman" w:eastAsia="宋体"/>
          <w:color w:val="000000"/>
          <w:sz w:val="21"/>
          <w:lang w:val="zh-CN"/>
        </w:rPr>
        <w:t>5.</w:t>
        <w:tab/>
      </w:r>
      <w:r>
        <w:rPr>
          <w:rFonts w:ascii="Times New Roman" w:hAnsi="Times New Roman" w:eastAsia="宋体"/>
          <w:b/>
          <w:color w:val="000000"/>
          <w:sz w:val="21"/>
          <w:lang w:val="zh-CN"/>
        </w:rPr>
        <w:t>可解释性不等于因果性。</w:t>
      </w:r>
      <w:r>
        <w:rPr>
          <w:rFonts w:ascii="Times New Roman" w:hAnsi="Times New Roman" w:eastAsia="宋体"/>
          <w:color w:val="000000"/>
          <w:sz w:val="21"/>
          <w:lang w:val="zh-CN"/>
        </w:rPr>
        <w:t xml:space="preserve"> 注意力权重、关键子图或元路径可以提供线索，但不能自动证明生物机制。近期因果元路径工作是积极推进，但仍需实验设计配合。</w:t>
      </w:r>
    </w:p>
    <w:p>
      <w:pPr>
        <w:pStyle w:val="NumberedItem"/>
        <w:ind w:hanging="317"/>
      </w:pPr>
      <w:r>
        <w:rPr>
          <w:rFonts w:ascii="Times New Roman" w:hAnsi="Times New Roman" w:eastAsia="宋体"/>
          <w:color w:val="000000"/>
          <w:sz w:val="21"/>
          <w:lang w:val="zh-CN"/>
        </w:rPr>
        <w:t>6.</w:t>
        <w:tab/>
      </w:r>
      <w:r>
        <w:rPr>
          <w:rFonts w:ascii="Times New Roman" w:hAnsi="Times New Roman" w:eastAsia="宋体"/>
          <w:b/>
          <w:color w:val="000000"/>
          <w:sz w:val="21"/>
          <w:lang w:val="zh-CN"/>
        </w:rPr>
        <w:t>生成模型的评价仍不充分。</w:t>
      </w:r>
      <w:r>
        <w:rPr>
          <w:rFonts w:ascii="Times New Roman" w:hAnsi="Times New Roman" w:eastAsia="宋体"/>
          <w:color w:val="000000"/>
          <w:sz w:val="21"/>
          <w:lang w:val="zh-CN"/>
        </w:rPr>
        <w:t xml:space="preserve"> 新肽或新分子的计算指标需要进一步接受可合成性、毒性、选择性、稳定性和体内外活性检验。</w:t>
      </w:r>
    </w:p>
    <w:p>
      <w:pPr>
        <w:pStyle w:val="NumberedItem"/>
        <w:ind w:hanging="317"/>
      </w:pPr>
      <w:r>
        <w:rPr>
          <w:rFonts w:ascii="Times New Roman" w:hAnsi="Times New Roman" w:eastAsia="宋体"/>
          <w:color w:val="000000"/>
          <w:sz w:val="21"/>
          <w:lang w:val="zh-CN"/>
        </w:rPr>
        <w:t>7.</w:t>
        <w:tab/>
      </w:r>
      <w:r>
        <w:rPr>
          <w:rFonts w:ascii="Times New Roman" w:hAnsi="Times New Roman" w:eastAsia="宋体"/>
          <w:b/>
          <w:color w:val="000000"/>
          <w:sz w:val="21"/>
          <w:lang w:val="zh-CN"/>
        </w:rPr>
        <w:t>多模态模型存在模态缺失问题。</w:t>
      </w:r>
      <w:r>
        <w:rPr>
          <w:rFonts w:ascii="Times New Roman" w:hAnsi="Times New Roman" w:eastAsia="宋体"/>
          <w:color w:val="000000"/>
          <w:sz w:val="21"/>
          <w:lang w:val="zh-CN"/>
        </w:rPr>
        <w:t xml:space="preserve"> 训练时可获得的结构、文本或组学信息，在实际候选分子上可能不存在。2026 年的多模态到单模态知识迁移工作正是在回应这一痛点。</w:t>
      </w:r>
    </w:p>
    <w:p>
      <w:pPr>
        <w:pStyle w:val="Heading1"/>
      </w:pPr>
      <w:r>
        <w:rPr>
          <w:rFonts w:ascii="Times New Roman" w:hAnsi="Times New Roman" w:eastAsia="宋体"/>
          <w:color w:val="000000"/>
          <w:sz w:val="32"/>
          <w:lang w:val="zh-CN"/>
        </w:rPr>
        <w:t>7 对后续选题的启示</w:t>
      </w:r>
    </w:p>
    <w:p>
      <w:r>
        <w:rPr>
          <w:rFonts w:ascii="Times New Roman" w:hAnsi="Times New Roman" w:eastAsia="宋体"/>
          <w:color w:val="000000"/>
          <w:sz w:val="22"/>
          <w:lang w:val="zh-CN"/>
        </w:rPr>
        <w:t>如果以章文教授现有工作为基础开展研究，最有延续性且仍有明显空间的方向包括：</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构建严格的冷启动、时间外推和结构去冗余基准，检验图模型是否真正泛化；</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将不确定性估计与分布外检测加入药物关系和分子性质预测；</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区分相关性解释与可干预的因果机制，并设计可被实验验证的候选路径；</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将蛋白质语言模型、三维几何模型与知识图谱结合，用于抗体、肽和酶设计；</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建立生成—筛选—实验反馈闭环，而不是仅用计算指标评价生成分子；</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研究“训练时多模态、部署时单模态”的鲁棒迁移，减少实际数据缺失带来的性能下降；</w:t>
      </w:r>
    </w:p>
    <w:p>
      <w:pPr>
        <w:pStyle w:val="BulletItem"/>
        <w:ind w:hanging="259"/>
      </w:pPr>
      <w:r>
        <w:rPr>
          <w:rFonts w:ascii="Times New Roman" w:hAnsi="Times New Roman" w:eastAsia="宋体"/>
          <w:color w:val="000000"/>
          <w:sz w:val="21"/>
          <w:lang w:val="zh-CN"/>
        </w:rPr>
        <w:t>•</w:t>
        <w:tab/>
      </w:r>
      <w:r>
        <w:rPr>
          <w:rFonts w:ascii="Times New Roman" w:hAnsi="Times New Roman" w:eastAsia="宋体"/>
          <w:color w:val="000000"/>
          <w:sz w:val="21"/>
          <w:lang w:val="zh-CN"/>
        </w:rPr>
        <w:t>建立统一、可复现的生物医学图学习评测框架，报告数据版本、划分代码、随机种子和统计显著性。</w:t>
      </w:r>
    </w:p>
    <w:p>
      <w:pPr>
        <w:pStyle w:val="Heading1"/>
      </w:pPr>
      <w:r>
        <w:rPr>
          <w:rFonts w:ascii="Times New Roman" w:hAnsi="Times New Roman" w:eastAsia="宋体"/>
          <w:color w:val="000000"/>
          <w:sz w:val="32"/>
          <w:lang w:val="zh-CN"/>
        </w:rPr>
        <w:t>8 建议的代表作阅读顺序</w:t>
      </w:r>
    </w:p>
    <w:p>
      <w:r>
        <w:rPr>
          <w:rFonts w:ascii="Times New Roman" w:hAnsi="Times New Roman" w:eastAsia="宋体"/>
          <w:color w:val="000000"/>
          <w:sz w:val="22"/>
          <w:lang w:val="zh-CN"/>
        </w:rPr>
        <w:t>为了理解这条研究路线，建议按以下顺序阅读，而不是简单按引用数排序：</w:t>
      </w:r>
    </w:p>
    <w:p>
      <w:pPr>
        <w:pStyle w:val="NumberedItem"/>
        <w:ind w:hanging="317"/>
      </w:pPr>
      <w:r>
        <w:rPr>
          <w:rFonts w:ascii="Times New Roman" w:hAnsi="Times New Roman" w:eastAsia="宋体"/>
          <w:color w:val="000000"/>
          <w:sz w:val="21"/>
          <w:lang w:val="zh-CN"/>
        </w:rPr>
        <w:t>1.</w:t>
        <w:tab/>
      </w:r>
      <w:r>
        <w:rPr>
          <w:rFonts w:ascii="Times New Roman" w:hAnsi="Times New Roman" w:eastAsia="宋体"/>
          <w:color w:val="000000"/>
          <w:sz w:val="21"/>
          <w:lang w:val="zh-CN"/>
        </w:rPr>
        <w:t>2017：多源数据整合预测 DDI——理解早期问题定义与特征融合；</w:t>
      </w:r>
    </w:p>
    <w:p>
      <w:pPr>
        <w:pStyle w:val="NumberedItem"/>
        <w:ind w:hanging="317"/>
      </w:pPr>
      <w:r>
        <w:rPr>
          <w:rFonts w:ascii="Times New Roman" w:hAnsi="Times New Roman" w:eastAsia="宋体"/>
          <w:color w:val="000000"/>
          <w:sz w:val="21"/>
          <w:lang w:val="zh-CN"/>
        </w:rPr>
        <w:t>2.</w:t>
        <w:tab/>
      </w:r>
      <w:r>
        <w:rPr>
          <w:rFonts w:ascii="Times New Roman" w:hAnsi="Times New Roman" w:eastAsia="宋体"/>
          <w:color w:val="000000"/>
          <w:sz w:val="21"/>
          <w:lang w:val="zh-CN"/>
        </w:rPr>
        <w:t>2020：多模态深度学习预测 DDI 事件——理解从二分类到多事件预测的转变；</w:t>
      </w:r>
    </w:p>
    <w:p>
      <w:pPr>
        <w:pStyle w:val="NumberedItem"/>
        <w:ind w:hanging="317"/>
      </w:pPr>
      <w:r>
        <w:rPr>
          <w:rFonts w:ascii="Times New Roman" w:hAnsi="Times New Roman" w:eastAsia="宋体"/>
          <w:color w:val="000000"/>
          <w:sz w:val="21"/>
          <w:lang w:val="zh-CN"/>
        </w:rPr>
        <w:t>3.</w:t>
        <w:tab/>
      </w:r>
      <w:r>
        <w:rPr>
          <w:rFonts w:ascii="Times New Roman" w:hAnsi="Times New Roman" w:eastAsia="宋体"/>
          <w:color w:val="000000"/>
          <w:sz w:val="21"/>
          <w:lang w:val="zh-CN"/>
        </w:rPr>
        <w:t>2020：生物医学网络图嵌入综述——建立方法全景；</w:t>
      </w:r>
    </w:p>
    <w:p>
      <w:pPr>
        <w:pStyle w:val="NumberedItem"/>
        <w:ind w:hanging="317"/>
      </w:pPr>
      <w:r>
        <w:rPr>
          <w:rFonts w:ascii="Times New Roman" w:hAnsi="Times New Roman" w:eastAsia="宋体"/>
          <w:color w:val="000000"/>
          <w:sz w:val="21"/>
          <w:lang w:val="zh-CN"/>
        </w:rPr>
        <w:t>4.</w:t>
        <w:tab/>
      </w:r>
      <w:r>
        <w:rPr>
          <w:rFonts w:ascii="Times New Roman" w:hAnsi="Times New Roman" w:eastAsia="宋体"/>
          <w:color w:val="000000"/>
          <w:sz w:val="21"/>
          <w:lang w:val="zh-CN"/>
        </w:rPr>
        <w:t>2021：层注意力 GCN 药物—疾病关联——理解图传播深度与注意力；</w:t>
      </w:r>
    </w:p>
    <w:p>
      <w:pPr>
        <w:pStyle w:val="NumberedItem"/>
        <w:ind w:hanging="317"/>
      </w:pPr>
      <w:r>
        <w:rPr>
          <w:rFonts w:ascii="Times New Roman" w:hAnsi="Times New Roman" w:eastAsia="宋体"/>
          <w:color w:val="000000"/>
          <w:sz w:val="21"/>
          <w:lang w:val="zh-CN"/>
        </w:rPr>
        <w:t>5.</w:t>
        <w:tab/>
      </w:r>
      <w:r>
        <w:rPr>
          <w:rFonts w:ascii="Times New Roman" w:hAnsi="Times New Roman" w:eastAsia="宋体"/>
          <w:color w:val="000000"/>
          <w:sz w:val="21"/>
          <w:lang w:val="zh-CN"/>
        </w:rPr>
        <w:t>2022：MVGCN、GraphCDR 和关系增强超图——理解多视图、对比学习与高阶关系；</w:t>
      </w:r>
    </w:p>
    <w:p>
      <w:pPr>
        <w:pStyle w:val="NumberedItem"/>
        <w:ind w:hanging="317"/>
      </w:pPr>
      <w:r>
        <w:rPr>
          <w:rFonts w:ascii="Times New Roman" w:hAnsi="Times New Roman" w:eastAsia="宋体"/>
          <w:color w:val="000000"/>
          <w:sz w:val="21"/>
          <w:lang w:val="zh-CN"/>
        </w:rPr>
        <w:t>6.</w:t>
        <w:tab/>
      </w:r>
      <w:r>
        <w:rPr>
          <w:rFonts w:ascii="Times New Roman" w:hAnsi="Times New Roman" w:eastAsia="宋体"/>
          <w:color w:val="000000"/>
          <w:sz w:val="21"/>
          <w:lang w:val="zh-CN"/>
        </w:rPr>
        <w:t>2023：DDI 深度学习与图学习综合评估——理解数据划分和评价陷阱；</w:t>
      </w:r>
    </w:p>
    <w:p>
      <w:pPr>
        <w:pStyle w:val="NumberedItem"/>
        <w:ind w:hanging="317"/>
      </w:pPr>
      <w:r>
        <w:rPr>
          <w:rFonts w:ascii="Times New Roman" w:hAnsi="Times New Roman" w:eastAsia="宋体"/>
          <w:color w:val="000000"/>
          <w:sz w:val="21"/>
          <w:lang w:val="zh-CN"/>
        </w:rPr>
        <w:t>7.</w:t>
        <w:tab/>
      </w:r>
      <w:r>
        <w:rPr>
          <w:rFonts w:ascii="Times New Roman" w:hAnsi="Times New Roman" w:eastAsia="宋体"/>
          <w:color w:val="000000"/>
          <w:sz w:val="21"/>
          <w:lang w:val="zh-CN"/>
        </w:rPr>
        <w:t>2024：ZeroDDI 与多模态对比扩散——理解零样本预测和生成式设计；</w:t>
      </w:r>
    </w:p>
    <w:p>
      <w:pPr>
        <w:pStyle w:val="NumberedItem"/>
        <w:ind w:hanging="317"/>
      </w:pPr>
      <w:r>
        <w:rPr>
          <w:rFonts w:ascii="Times New Roman" w:hAnsi="Times New Roman" w:eastAsia="宋体"/>
          <w:color w:val="000000"/>
          <w:sz w:val="21"/>
          <w:lang w:val="zh-CN"/>
        </w:rPr>
        <w:t>8.</w:t>
        <w:tab/>
      </w:r>
      <w:r>
        <w:rPr>
          <w:rFonts w:ascii="Times New Roman" w:hAnsi="Times New Roman" w:eastAsia="宋体"/>
          <w:color w:val="000000"/>
          <w:sz w:val="21"/>
          <w:lang w:val="zh-CN"/>
        </w:rPr>
        <w:t>2026：多模态到单模态知识迁移的分子预训练——理解当前研究前沿。</w:t>
      </w:r>
    </w:p>
    <w:p>
      <w:pPr>
        <w:pStyle w:val="Heading1"/>
      </w:pPr>
      <w:r>
        <w:rPr>
          <w:rFonts w:ascii="Times New Roman" w:hAnsi="Times New Roman" w:eastAsia="宋体"/>
          <w:color w:val="000000"/>
          <w:sz w:val="32"/>
          <w:lang w:val="zh-CN"/>
        </w:rPr>
        <w:t>9 全部 118 条近十年英文成果标题索引</w:t>
      </w:r>
    </w:p>
    <w:p>
      <w:pPr>
        <w:spacing w:before="80" w:after="160"/>
        <w:ind w:left="504" w:right="288" w:firstLine="0"/>
      </w:pPr>
      <w:r>
        <w:rPr>
          <w:rFonts w:ascii="Times New Roman" w:hAnsi="Times New Roman" w:eastAsia="宋体"/>
          <w:i/>
          <w:color w:val="595959"/>
          <w:sz w:val="21"/>
          <w:lang w:val="zh-CN"/>
        </w:rPr>
        <w:t>以下是作者消歧后的候选集，按年份归类。它用于保证综述对整体研究轨迹的覆盖；最终 WoS 收录状态需在机构访问恢复后再核验。</w:t>
      </w:r>
    </w:p>
    <w:p>
      <w:pPr>
        <w:pStyle w:val="Heading2"/>
      </w:pPr>
      <w:r>
        <w:rPr>
          <w:rFonts w:ascii="Times New Roman" w:hAnsi="Times New Roman" w:eastAsia="宋体"/>
          <w:color w:val="000000"/>
          <w:sz w:val="26"/>
          <w:lang w:val="zh-CN"/>
        </w:rPr>
        <w:t>2026 及未标年在线成果 5篇</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Knowledge-driven multimodal mutual learning for cell line-targeted anticancer peptide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TargetNPBind: A Pharmacophore-Guided Dual-Stream Fusion Framework for Natural Product-Target Binding Affinity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Multi-to-uni modal knowledge transfer pre-training for molecular representation learning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Order-Aware Deep Learning for Drug Combination Benefit Prediction in Cancer Cell Lines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Uncertainty-Guided Adaptive Local Adversarial Perturbation for Reliable Molecular Property Prediction（Google Scholar 暂未标年份）</w:t>
      </w:r>
    </w:p>
    <w:p>
      <w:pPr>
        <w:pStyle w:val="Heading2"/>
      </w:pPr>
      <w:r>
        <w:rPr>
          <w:rFonts w:ascii="Times New Roman" w:hAnsi="Times New Roman" w:eastAsia="宋体"/>
          <w:color w:val="000000"/>
          <w:sz w:val="26"/>
          <w:lang w:val="zh-CN"/>
        </w:rPr>
        <w:t>2025 11篇</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Tetrahedron-Net for Medical Image Registration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Geometric Heterogeneous Graph Neural Network for Protein-Ligand Binding Affinity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Guest Editorial: The Cutting-Edge Artificial Intelligence Techniques and Their Applications in Drug Discovery</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Controllable Generation of Pathogen-Specific Antimicrobial Peptides Through Knowledge-Aware Prompt Diffusion Model</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Mammalian conservation of endogenous G-quadruplex reveals their associations with complex traits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PKAG-DDI: Pairwise Knowledge-Augmented Language Model for Drug-Drug Interaction Event Text Generation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Fragment dispersity index analysis of cfDNA fragments reveals chromatin accessibility and enables early cancer detection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DeepInterAware: Deep Interaction Interface-Aware Network for Improving Antigen-Antibody Interaction Prediction from Sequence Data</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Revealing Herb-Symptom Associations and Mechanisms of Action in Protein Networks Using Subgraph Matching Learning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Gnndrp: Graph neural network with multi-task learning for drug response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Overcoming collaboration barriers in quantitative trait loci analysis</w:t>
      </w:r>
    </w:p>
    <w:p>
      <w:pPr>
        <w:pStyle w:val="Heading2"/>
      </w:pPr>
      <w:r>
        <w:rPr>
          <w:rFonts w:ascii="Times New Roman" w:hAnsi="Times New Roman" w:eastAsia="宋体"/>
          <w:color w:val="000000"/>
          <w:sz w:val="26"/>
          <w:lang w:val="zh-CN"/>
        </w:rPr>
        <w:t>2024 16篇</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The application of advanced deep learning in biomedical graph analysis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Multiview representation learning for identification of novel cancer genes and their causative biological mechanisms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AI-driven determination of active compounds and investigation of multi-pharmacological effects of Chrysanthemi Flos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ZeroDDI: A Zero-Shot Drug-Drug Interaction Event Prediction Method with Semantic Enhanced Learning and Dual-Modal Uniform Alignment</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Heterogeneous Causal Metapath Graph Neural Network for Gene-Microbe-Disease Association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Improving paratope and epitope prediction by multi-modal contrastive learning and interaction informativeness estimation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network enhancement method to identify spurious drug-drug interactions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Subgraph-aware graph kernel neural network for link prediction in biological networks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Deepcrbp: improved predicting function of circrna-rbp binding sites with deep feature learning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multi-stream network for retrosynthesis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Multi-Classification Division-Aggregation Framework for Fake News Detection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Improving PTM site prediction by coupling of multi-granularity structure and multi-scale sequence representation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multi-modal contrastive diffusion model for therapeutic peptide generation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comprehensive review of molecular optimization in artificial intelligence-based drug discovery</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Deep learning for drug-drug interaction prediction: A comprehensive review</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miRNA-disease association via graph attention learning and multiplex adaptive modality fusion</w:t>
      </w:r>
    </w:p>
    <w:p>
      <w:pPr>
        <w:pStyle w:val="Heading2"/>
      </w:pPr>
      <w:r>
        <w:rPr>
          <w:rFonts w:ascii="Times New Roman" w:hAnsi="Times New Roman" w:eastAsia="宋体"/>
          <w:color w:val="000000"/>
          <w:sz w:val="26"/>
          <w:lang w:val="zh-CN"/>
        </w:rPr>
        <w:t>2023 11篇</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Aia-unet: Attention in attention for medical image segmentation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Trans-uneter: a new decoder of transunet for medical image segmentation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Ccac: Contrastive learning with channel attention and contour loss for brain image registration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Non-coding RNA identification with pseudo RNA sequences and feature representation learning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HimGNN: a novel hierarchical molecular graph representation learning framework for property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subcomponent-guided deep learning method for interpretable cancer drug response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Multi-view contrastive learning hypergraph neural network for drug-microbe-disease association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Comprehensive evaluation of deep and graph learning on drug-drug interactions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Multi-relational contrastive learning graph neural network for drug-drug interaction event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Evolution-strengthened knowledge graph enables predicting the targetability and druggability of genes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Special Issue on Applications of Artificial Intelligence on Social Media</w:t>
      </w:r>
    </w:p>
    <w:p>
      <w:pPr>
        <w:pStyle w:val="Heading2"/>
      </w:pPr>
      <w:r>
        <w:rPr>
          <w:rFonts w:ascii="Times New Roman" w:hAnsi="Times New Roman" w:eastAsia="宋体"/>
          <w:color w:val="000000"/>
          <w:sz w:val="26"/>
          <w:lang w:val="zh-CN"/>
        </w:rPr>
        <w:t>2022 15篇</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drug transcriptional response similarity using Signed Graph Convolutional Network</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cell line-specific synergistic drug combinations through a relational graph convolutional network with attention mechanism</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Multi-way relation-enhanced hypergraph representation learning for anti-cancer drug synergy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Drlm: A robust drug representation learning method and its applications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Mixed expert model for drug-target interaction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Hierarchical graph representation learning for the prediction of drug-target binding affinity</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DSEATM: drug set enrichment analysis uncovering disease mechanisms by biomedical text mining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heterogeneous network-based method with attentive meta-path extraction for predicting drug-target interactions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Enhancing drug-drug interaction prediction using deep attention neural networks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MVGCN: data integration through multi-view graph convolutional network for predicting links in biomedical bipartite networks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MiRNA-drug resistance association prediction through the attentive multimodal graph convolutional network</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META-DDIE: predicting drug-drug interaction events with few-shot learning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SGNNMD: signed graph neural network for predicting deregulation types of miRNA-disease associations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GraphCDR: a graph neural network method with contrastive learning for cancer drug response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PHIAF: prediction of phage-host interactions with GAN-based data augmentation and sequence-based feature fusion</w:t>
      </w:r>
    </w:p>
    <w:p>
      <w:pPr>
        <w:pStyle w:val="Heading2"/>
      </w:pPr>
      <w:r>
        <w:rPr>
          <w:rFonts w:ascii="Times New Roman" w:hAnsi="Times New Roman" w:eastAsia="宋体"/>
          <w:color w:val="000000"/>
          <w:sz w:val="26"/>
          <w:lang w:val="zh-CN"/>
        </w:rPr>
        <w:t>2021 10篇</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graph-based approach for integrating biological heterogeneous data based on connecting ontology</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robust drug representation learning model for eliminating cell specificity in gene expression profile and its application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drug-miRNA resistance with layer attention graph convolution network and multi channel feature extraction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EPIHC: improving enhancer-promoter interaction prediction by using hybrid features and communicative learning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CSGNN: Contrastive Self-Supervised Graph Neural Network for Molecular Interaction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Multimodal Framework for Improving in Silico Drug Repositioning With the Prior Knowledge From Knowledge Graphs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drug-disease associations through layer attention graph convolutional network</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Acp-da: improving the prediction of anticancer peptides using data augmentation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comprehensive review of computational methods for drug-drug interaction detection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systematic review of computational methods for predicting long noncoding RNAs</w:t>
      </w:r>
    </w:p>
    <w:p>
      <w:pPr>
        <w:pStyle w:val="Heading2"/>
      </w:pPr>
      <w:r>
        <w:rPr>
          <w:rFonts w:ascii="Times New Roman" w:hAnsi="Times New Roman" w:eastAsia="宋体"/>
          <w:color w:val="000000"/>
          <w:sz w:val="26"/>
          <w:lang w:val="zh-CN"/>
        </w:rPr>
        <w:t>2020 10篇</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Long non-coding RNAs through feature ensemble learning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Graph embedding ensemble methods based on the heterogeneous network for lncRNA-miRNA interaction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coding potential of RNA sequences by solving local data imbalance</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Tensor decomposition with relational constraints for predicting multiple types of microRNA-disease associations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multimodal deep learning framework for predicting drug-drug interaction events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drug-drug interactions using multi-modal deep auto-encoders based network embedding and positive-unlabeled learning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ItLnc-BXE: a bagging-XGBoost-ensemble method with comprehensive sequence features for identification of plant lncRNAs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Graph embedding on biomedical networks: methods, applications and evaluations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ncRNA-eQTL: a database to systematically evaluate the effects of SNPs on non-coding RNA expression across cancer types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Graph embedding and ensemble learning for predicting gene-disease associations</w:t>
      </w:r>
    </w:p>
    <w:p>
      <w:pPr>
        <w:pStyle w:val="Heading2"/>
      </w:pPr>
      <w:r>
        <w:rPr>
          <w:rFonts w:ascii="Times New Roman" w:hAnsi="Times New Roman" w:eastAsia="宋体"/>
          <w:color w:val="000000"/>
          <w:sz w:val="26"/>
          <w:lang w:val="zh-CN"/>
        </w:rPr>
        <w:t>2019 14篇</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LncRNA-miRNA interaction prediction through sequence-derived linear neighborhood propagation method with information combination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gene-disease associations from the heterogeneous network using graph embedding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LncRNA-miRNA interaction prediction from the heterogeneous network through graph embedding ensemble learning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Detection of cell types from single-cell RNA-seq data using similarity via kernel preserving learning embedding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LncPred-IEL: a long non-coding RNA prediction method using iterative ensemble learning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Structural network embedding using multi-modal deep auto-encoders for predicting drug-drug interactions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network embedding-based multiple information integration method for the MiRNA-disease association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PredLnc-GFStack: a global sequence feature based on a stacked ensemble learning method for predicting lncRNAs from transcripts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SFLLN: a sparse feature learning ensemble method with linear neighborhood regularization for predicting drug-drug interactions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Efficient network representations learning: An edge-centric perspective</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fast linear neighborhood similarity-based network link inference method to predict microRNA-disease associations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CircRNA-disease associations through linear neighborhood label propagation method</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An ensemble strategy to predict prognosis in ovarian cancer based on gene modules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Recent advances in the machine learning-based drug-target interaction prediction</w:t>
      </w:r>
    </w:p>
    <w:p>
      <w:pPr>
        <w:pStyle w:val="Heading2"/>
      </w:pPr>
      <w:r>
        <w:rPr>
          <w:rFonts w:ascii="Times New Roman" w:hAnsi="Times New Roman" w:eastAsia="宋体"/>
          <w:color w:val="000000"/>
          <w:sz w:val="26"/>
          <w:lang w:val="zh-CN"/>
        </w:rPr>
        <w:t>2018 12篇</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drug-disease associations by using similarity constrained matrix factorization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SFPEL-LPI: sequence-based feature projection ensemble learning for predicting LncRNA-protein interactions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Sequence-derived linear neighborhood propagation method for predicting lncRNA-miRNA interactions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HNGRNMF: Heterogeneous Network-based Graph Regularized Nonnegative Matrix Factorization for predicting events of microbe-disease associations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Prediction of Drug-Disease Associations and Their Effects by Signed Network-Based Nonnegative Matrix Factorization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Sequence-based bacterial small RNAs prediction using ensemble learning strategies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Manifold regularized matrix factorization for drug-drug interaction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drug-disease associations and their therapeutic function based on the drug-disease association bipartite network</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IRWNRLPI: integrating random walk and neighborhood regularized logistic matrix factorization for lncRNA-protein interaction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The bi-direction similarity integration method for predicting microbe-disease associations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Feature-derived graph regularized matrix factorization for predicting drug side effects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The linear neighborhood propagation method for predicting long non-coding RNA–protein interactions</w:t>
      </w:r>
    </w:p>
    <w:p>
      <w:pPr>
        <w:pStyle w:val="Heading2"/>
      </w:pPr>
      <w:r>
        <w:rPr>
          <w:rFonts w:ascii="Times New Roman" w:hAnsi="Times New Roman" w:eastAsia="宋体"/>
          <w:color w:val="000000"/>
          <w:sz w:val="26"/>
          <w:lang w:val="zh-CN"/>
        </w:rPr>
        <w:t>2017 8篇</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potential drug-drug interactions by integrating chemical, biological, phenotypic and network data</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unified frame of predicting side effects of drugs by using linear neighborhood similarity</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human splicing branchpoints by combining sequence-derived features and multi-label learning methods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Drug-target interaction prediction through label propagation with linear neighborhood information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drug-disease associations based on the known association bipartite network</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small RNAs in bacteria via sequence learning ensemble method</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LPI-NRLMF: lncRNA-protein interaction prediction by neighborhood regularized logistic matrix factorization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Quantitative prediction of drug side effects based on drug-related features</w:t>
      </w:r>
    </w:p>
    <w:p>
      <w:pPr>
        <w:pStyle w:val="Heading2"/>
      </w:pPr>
      <w:r>
        <w:rPr>
          <w:rFonts w:ascii="Times New Roman" w:hAnsi="Times New Roman" w:eastAsia="宋体"/>
          <w:color w:val="000000"/>
          <w:sz w:val="26"/>
          <w:lang w:val="zh-CN"/>
        </w:rPr>
        <w:t>2016 6篇</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Predicting potential side effects of drugs by recommender methods and ensemble learning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The prediction of human splicing branchpoints by multi-label learning</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Drug side effect prediction through linear neighborhoods and multiple data source integration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 genetic algorithm-based weighted ensemble method for predicting transposon-derived piRNAs</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Multi-domain manifold learning for drug-target interaction prediction</w:t>
      </w:r>
    </w:p>
    <w:p>
      <w:pPr>
        <w:pStyle w:val="BibliographyItem"/>
        <w:ind w:hanging="259"/>
      </w:pPr>
      <w:r>
        <w:rPr>
          <w:rFonts w:ascii="Times New Roman" w:hAnsi="Times New Roman" w:eastAsia="宋体"/>
          <w:color w:val="000000"/>
          <w:sz w:val="20"/>
          <w:lang w:val="zh-CN"/>
        </w:rPr>
        <w:t>•</w:t>
        <w:tab/>
      </w:r>
      <w:r>
        <w:rPr>
          <w:rFonts w:ascii="Times New Roman" w:hAnsi="Times New Roman" w:eastAsia="宋体"/>
          <w:color w:val="000000"/>
          <w:sz w:val="20"/>
          <w:lang w:val="zh-CN"/>
        </w:rPr>
        <w:t>Accurate prediction of transposon-derived piRNAs by integrating various sequential and physicochemical features</w:t>
      </w:r>
    </w:p>
    <w:p>
      <w:pPr>
        <w:pStyle w:val="Heading1"/>
      </w:pPr>
      <w:r>
        <w:rPr>
          <w:rFonts w:ascii="Times New Roman" w:hAnsi="Times New Roman" w:eastAsia="宋体"/>
          <w:color w:val="000000"/>
          <w:sz w:val="32"/>
          <w:lang w:val="zh-CN"/>
        </w:rPr>
        <w:t>10 可复核来源</w:t>
      </w:r>
    </w:p>
    <w:p>
      <w:pPr>
        <w:pStyle w:val="BulletItem"/>
        <w:ind w:hanging="259"/>
      </w:pPr>
      <w:r>
        <w:rPr>
          <w:rFonts w:ascii="Times New Roman" w:hAnsi="Times New Roman" w:eastAsia="宋体"/>
          <w:color w:val="000000"/>
          <w:sz w:val="21"/>
          <w:lang w:val="zh-CN"/>
        </w:rPr>
        <w:t>•</w:t>
        <w:tab/>
      </w:r>
      <w:hyperlink r:id="rId10">
        <w:r>
          <w:rPr>
            <w:rFonts w:ascii="Times New Roman" w:hAnsi="Times New Roman" w:eastAsia="宋体"/>
            <w:color w:val="0563C1"/>
            <w:u w:val="single"/>
            <w:sz w:val="22"/>
          </w:rPr>
          <w:t>华中农业大学信息学院教师主页</w:t>
        </w:r>
      </w:hyperlink>
    </w:p>
    <w:p>
      <w:pPr>
        <w:pStyle w:val="BulletItem"/>
        <w:ind w:hanging="259"/>
      </w:pPr>
      <w:r>
        <w:rPr>
          <w:rFonts w:ascii="Times New Roman" w:hAnsi="Times New Roman" w:eastAsia="宋体"/>
          <w:color w:val="000000"/>
          <w:sz w:val="21"/>
          <w:lang w:val="zh-CN"/>
        </w:rPr>
        <w:t>•</w:t>
        <w:tab/>
      </w:r>
      <w:hyperlink r:id="rId11">
        <w:r>
          <w:rPr>
            <w:rFonts w:ascii="Times New Roman" w:hAnsi="Times New Roman" w:eastAsia="宋体"/>
            <w:color w:val="0563C1"/>
            <w:u w:val="single"/>
            <w:sz w:val="22"/>
          </w:rPr>
          <w:t>章文教授实验室主页</w:t>
        </w:r>
      </w:hyperlink>
    </w:p>
    <w:p>
      <w:pPr>
        <w:pStyle w:val="BulletItem"/>
        <w:ind w:hanging="259"/>
      </w:pPr>
      <w:r>
        <w:rPr>
          <w:rFonts w:ascii="Times New Roman" w:hAnsi="Times New Roman" w:eastAsia="宋体"/>
          <w:color w:val="000000"/>
          <w:sz w:val="21"/>
          <w:lang w:val="zh-CN"/>
        </w:rPr>
        <w:t>•</w:t>
        <w:tab/>
      </w:r>
      <w:hyperlink r:id="rId12">
        <w:r>
          <w:rPr>
            <w:rFonts w:ascii="Times New Roman" w:hAnsi="Times New Roman" w:eastAsia="宋体"/>
            <w:color w:val="0563C1"/>
            <w:u w:val="single"/>
            <w:sz w:val="22"/>
          </w:rPr>
          <w:t>Google Scholar 个人主页</w:t>
        </w:r>
      </w:hyperlink>
    </w:p>
    <w:p>
      <w:pPr>
        <w:pStyle w:val="BulletItem"/>
        <w:ind w:hanging="259"/>
      </w:pPr>
      <w:r>
        <w:rPr>
          <w:rFonts w:ascii="Times New Roman" w:hAnsi="Times New Roman" w:eastAsia="宋体"/>
          <w:color w:val="000000"/>
          <w:sz w:val="21"/>
          <w:lang w:val="zh-CN"/>
        </w:rPr>
        <w:t>•</w:t>
        <w:tab/>
      </w:r>
      <w:hyperlink r:id="rId13">
        <w:r>
          <w:rPr>
            <w:rFonts w:ascii="Times New Roman" w:hAnsi="Times New Roman" w:eastAsia="宋体"/>
            <w:color w:val="0563C1"/>
            <w:u w:val="single"/>
            <w:sz w:val="22"/>
          </w:rPr>
          <w:t>ORCID：0000-0001-5221-2628</w:t>
        </w:r>
      </w:hyperlink>
    </w:p>
    <w:p>
      <w:pPr>
        <w:pStyle w:val="BulletItem"/>
        <w:ind w:hanging="259"/>
      </w:pPr>
      <w:r>
        <w:rPr>
          <w:rFonts w:ascii="Times New Roman" w:hAnsi="Times New Roman" w:eastAsia="宋体"/>
          <w:color w:val="000000"/>
          <w:sz w:val="21"/>
          <w:lang w:val="zh-CN"/>
        </w:rPr>
        <w:t>•</w:t>
        <w:tab/>
      </w:r>
      <w:hyperlink r:id="rId14">
        <w:r>
          <w:rPr>
            <w:rFonts w:ascii="Times New Roman" w:hAnsi="Times New Roman" w:eastAsia="宋体"/>
            <w:color w:val="0563C1"/>
            <w:u w:val="single"/>
            <w:sz w:val="22"/>
          </w:rPr>
          <w:t>Scopus Author ID：57190273716</w:t>
        </w:r>
      </w:hyperlink>
    </w:p>
    <w:p>
      <w:pPr>
        <w:pStyle w:val="BulletItem"/>
        <w:ind w:hanging="259"/>
      </w:pPr>
      <w:r>
        <w:rPr>
          <w:rFonts w:ascii="Times New Roman" w:hAnsi="Times New Roman" w:eastAsia="宋体"/>
          <w:color w:val="000000"/>
          <w:sz w:val="21"/>
          <w:lang w:val="zh-CN"/>
        </w:rPr>
        <w:t>•</w:t>
        <w:tab/>
      </w:r>
      <w:hyperlink r:id="rId15">
        <w:r>
          <w:rPr>
            <w:rFonts w:ascii="Times New Roman" w:hAnsi="Times New Roman" w:eastAsia="宋体"/>
            <w:color w:val="0563C1"/>
            <w:u w:val="single"/>
            <w:sz w:val="22"/>
          </w:rPr>
          <w:t>华中农业大学图书馆数据库入口</w:t>
        </w:r>
      </w:hyperlink>
    </w:p>
    <w:p>
      <w:pPr>
        <w:pStyle w:val="Heading1"/>
      </w:pPr>
      <w:r>
        <w:rPr>
          <w:rFonts w:ascii="Times New Roman" w:hAnsi="Times New Roman" w:eastAsia="宋体"/>
          <w:color w:val="000000"/>
          <w:sz w:val="32"/>
          <w:lang w:val="zh-CN"/>
        </w:rPr>
        <w:t>11 结论</w:t>
      </w:r>
    </w:p>
    <w:p>
      <w:r>
        <w:rPr>
          <w:rFonts w:ascii="Times New Roman" w:hAnsi="Times New Roman" w:eastAsia="宋体"/>
          <w:color w:val="000000"/>
          <w:sz w:val="22"/>
          <w:lang w:val="zh-CN"/>
        </w:rPr>
        <w:t>章文教授近十年的研究不是若干生物信息学任务的简单集合，而是一条围绕</w:t>
      </w:r>
      <w:r>
        <w:rPr>
          <w:rFonts w:ascii="Times New Roman" w:hAnsi="Times New Roman" w:eastAsia="宋体"/>
          <w:b/>
          <w:color w:val="000000"/>
          <w:sz w:val="22"/>
          <w:lang w:val="zh-CN"/>
        </w:rPr>
        <w:t>生物医学异质数据的表示、融合、预测与生成</w:t>
      </w:r>
      <w:r>
        <w:rPr>
          <w:rFonts w:ascii="Times New Roman" w:hAnsi="Times New Roman" w:eastAsia="宋体"/>
          <w:color w:val="000000"/>
          <w:sz w:val="22"/>
          <w:lang w:val="zh-CN"/>
        </w:rPr>
        <w:t>持续推进的技术路线。早期工作用相似性学习、矩阵分解和标签传播解决稀疏关联预测；中期转向网络嵌入和多模态深度学习；随后以图神经网络、对比学习、知识图谱与超图处理复杂关系；近期进一步进入零样本学习、因果建模、扩散生成和分子预训练。</w:t>
      </w:r>
    </w:p>
    <w:p>
      <w:r>
        <w:rPr>
          <w:rFonts w:ascii="Times New Roman" w:hAnsi="Times New Roman" w:eastAsia="宋体"/>
          <w:color w:val="000000"/>
          <w:sz w:val="22"/>
          <w:lang w:val="zh-CN"/>
        </w:rPr>
        <w:t>其最稳定的优势是把新的机器学习方法迅速落到具体生物医学问题，并在药物关系预测方向形成了较高影响力。下一阶段最值得关注的，不只是继续提高基准数据集上的分数，而是能否通过更严格的分布外评价、可信不确定性、因果验证和湿实验闭环，把模型性能转化为可复现、可解释且具有真实研发价值的发现。</w:t>
      </w:r>
    </w:p>
    <w:sectPr w:rsidR="00FC693F" w:rsidRPr="0006063C" w:rsidSect="00034616">
      <w:footerReference w:type="default" r:id="rId9"/>
      <w:pgSz w:w="12240" w:h="15840"/>
      <w:pgMar w:top="1152" w:right="1224" w:bottom="1296" w:left="1224" w:header="432"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left="0" w:right="0"/>
      <w:jc w:val="center"/>
    </w:pPr>
    <w:r>
      <w:rPr>
        <w:rFonts w:ascii="Times New Roman" w:hAnsi="Times New Roman" w:eastAsia="宋体"/>
        <w:color w:val="595959"/>
        <w:sz w:val="18"/>
        <w:lang w:val="zh-CN"/>
      </w:rPr>
      <w:t xml:space="preserve">第 </w:t>
    </w:r>
    <w:r>
      <w:rPr>
        <w:rFonts w:ascii="Times New Roman" w:hAnsi="Times New Roman" w:eastAsia="宋体"/>
        <w:color w:val="595959"/>
        <w:sz w:val="18"/>
        <w:lang w:val="zh-CN"/>
      </w:rPr>
      <w:fldChar w:fldCharType="begin"/>
      <w:instrText xml:space="preserve">PAGE</w:instrText>
      <w:fldChar w:fldCharType="separate"/>
      <w:t>1</w:t>
      <w:fldChar w:fldCharType="end"/>
    </w:r>
    <w:r>
      <w:rPr>
        <w:rFonts w:ascii="Times New Roman" w:hAnsi="Times New Roman" w:eastAsia="宋体"/>
        <w:color w:val="595959"/>
        <w:sz w:val="18"/>
        <w:lang w:val="zh-CN"/>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8" w:lineRule="auto" w:after="120"/>
      <w:ind w:firstLine="440"/>
    </w:pPr>
    <w:rPr>
      <w:rFonts w:ascii="Times New Roman" w:hAnsi="Times New Roman" w:eastAsia="宋体"/>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icrosoft YaHei" w:hAnsi="Microsoft YaHei"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contextualSpacing/>
    </w:pPr>
    <w:rPr>
      <w:rFonts w:asciiTheme="majorHAnsi" w:eastAsiaTheme="majorEastAsia" w:hAnsiTheme="majorHAnsi" w:cstheme="majorBidi" w:ascii="Microsoft YaHei" w:hAnsi="Microsoft YaHei" w:eastAsia="微软雅黑"/>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Item">
    <w:name w:val="Bullet Item"/>
    <w:pPr>
      <w:spacing w:after="60" w:line="300" w:lineRule="auto"/>
      <w:ind w:left="403" w:hanging="259"/>
    </w:pPr>
    <w:rPr>
      <w:rFonts w:ascii="Times New Roman" w:hAnsi="Times New Roman" w:eastAsia="宋体"/>
      <w:b w:val="0"/>
      <w:color w:val="000000"/>
      <w:sz w:val="21"/>
    </w:rPr>
  </w:style>
  <w:style w:type="paragraph" w:customStyle="1" w:styleId="NumberedItem">
    <w:name w:val="Numbered Item"/>
    <w:pPr>
      <w:spacing w:after="60" w:line="300" w:lineRule="auto"/>
      <w:ind w:left="403" w:hanging="259"/>
    </w:pPr>
    <w:rPr>
      <w:rFonts w:ascii="Times New Roman" w:hAnsi="Times New Roman" w:eastAsia="宋体"/>
      <w:b w:val="0"/>
      <w:color w:val="000000"/>
      <w:sz w:val="21"/>
    </w:rPr>
  </w:style>
  <w:style w:type="paragraph" w:customStyle="1" w:styleId="BibliographyItem">
    <w:name w:val="Bibliography Item"/>
    <w:pPr>
      <w:keepLines/>
      <w:spacing w:after="50" w:line="276" w:lineRule="auto"/>
      <w:ind w:left="403" w:hanging="259"/>
    </w:pPr>
    <w:rPr>
      <w:rFonts w:ascii="Times New Roman" w:hAnsi="Times New Roman" w:eastAsia="宋体"/>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oi.hzau.edu.cn/info/1191/30451.htm" TargetMode="External"/><Relationship Id="rId11" Type="http://schemas.openxmlformats.org/officeDocument/2006/relationships/hyperlink" Target="http://zhangwenlab.cn/" TargetMode="External"/><Relationship Id="rId12" Type="http://schemas.openxmlformats.org/officeDocument/2006/relationships/hyperlink" Target="https://scholar.google.com/citations?user=7gHmn88AAAAJ&amp;hl=zh-CN" TargetMode="External"/><Relationship Id="rId13" Type="http://schemas.openxmlformats.org/officeDocument/2006/relationships/hyperlink" Target="https://orcid.org/0000-0001-5221-2628" TargetMode="External"/><Relationship Id="rId14" Type="http://schemas.openxmlformats.org/officeDocument/2006/relationships/hyperlink" Target="https://www.scopus.com/authid/detail.uri?authorId=57190273716" TargetMode="External"/><Relationship Id="rId15" Type="http://schemas.openxmlformats.org/officeDocument/2006/relationships/hyperlink" Target="https://lib.hza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章文教授近十年英文论文文献综述</dc:title>
  <dc:subject>2016至2026年英文论文研究脉络与综合评价</dc:subject>
  <dc:creator/>
  <cp:keywords>章文, 生物信息学, 图神经网络, 药物发现, 文献综述</cp:keywords>
  <dc:description>generated by python-docx</dc:description>
  <cp:lastModifiedBy/>
  <cp:revision>1</cp:revision>
  <dcterms:created xsi:type="dcterms:W3CDTF">2013-12-23T23:15:00Z</dcterms:created>
  <dcterms:modified xsi:type="dcterms:W3CDTF">2013-12-23T23:15:00Z</dcterms:modified>
  <cp:category/>
</cp:coreProperties>
</file>