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IT-HAMS — Hackathon Submission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563EB"/>
          <w:sz w:val="42"/>
          <w:szCs w:val="42"/>
        </w:rPr>
        <w:t xml:space="preserve">Compliance &amp; Responsible-AI Note</w:t>
      </w:r>
    </w:p>
    <w:p>
      <w:pPr>
        <w:spacing w:after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Safeguards, human-in-the-loop checkpoints, PHI safety, and known risks with mitigations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This note describes the responsible-AI safeguards, human-in-the-loop checkpoints, data-safety measures, and known risks/mitigations for the IT-HAMS submission.</w:t>
      </w:r>
    </w:p>
    <w:p>
      <w:pPr>
        <w:pStyle w:val="Heading1"/>
        <w:spacing w:after="140" w:before="320"/>
      </w:pPr>
      <w:r>
        <w:rPr>
          <w:b/>
          <w:bCs/>
          <w:color w:val="2563EB"/>
        </w:rPr>
        <w:t xml:space="preserve">1. Data Safety — No Real PHI/PII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Every record in the application and sample pack is synthetic: employees, assets, license records, amounts, allocations.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User names in the dataset come from the app's own synthetic directory — the enhancement tool refuses to invent free-text names.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Healthcare client names (GE Healthcare, Cigna, …) are public company names used solely as demo labels; no data about these companies is present.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No PHI fields exist in the schema (no patient, diagnosis, claim or member data).</w:t>
      </w:r>
    </w:p>
    <w:p>
      <w:pPr>
        <w:pStyle w:val="Heading1"/>
        <w:spacing w:after="140" w:before="320"/>
      </w:pPr>
      <w:r>
        <w:rPr>
          <w:b/>
          <w:bCs/>
          <w:color w:val="2563EB"/>
        </w:rPr>
        <w:t xml:space="preserve">2. Human-in-the-Loop Checkpoints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6000"/>
      </w:tblGrid>
      <w:tr>
        <w:trPr>
          <w:tblHeader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Automated step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Human checkpoint before any effect</w:t>
            </w:r>
          </w:p>
        </w:tc>
      </w:tr>
      <w:t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Onboarding agent drafts laptop + headphone allocations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Engineer reviews, can edit via location-scoped dropdowns, and must explicitly Allocate (with confirm dialog) — the agent has no write path to assignments</w:t>
            </w:r>
          </w:p>
        </w:tc>
      </w:tr>
      <w:t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CSV/Excel license import parses and validates rows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Judge/admin sees a preview (valid vs flagged rows with reasons) and must click Import; invalid rows are never written</w:t>
            </w:r>
          </w:p>
        </w:tc>
      </w:tr>
      <w:t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Budget forecast recalculates from price changes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Prices are editable only by users holding licenses.edit; every change stores who/when</w:t>
            </w:r>
          </w:p>
        </w:tc>
      </w:tr>
      <w:t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AI assistant answers questions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Read-only by design — it can query, never mutate</w:t>
            </w:r>
          </w:p>
        </w:tc>
      </w:tr>
    </w:tbl>
    <w:p>
      <w:pPr>
        <w:spacing w:after="140"/>
      </w:pPr>
    </w:p>
    <w:p>
      <w:pPr>
        <w:pStyle w:val="Heading1"/>
        <w:spacing w:after="140" w:before="320"/>
      </w:pPr>
      <w:r>
        <w:rPr>
          <w:b/>
          <w:bCs/>
          <w:color w:val="2563EB"/>
        </w:rPr>
        <w:t xml:space="preserve">3. Access Control &amp; Auditability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Role-based access control: roles → permissions → modules, enforced middleware-side on every route; location scoping restricts inventory visibility.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AI assistant computes per-request permission flags and refuses domains the user cannot open in the sidebar (verified: a user without licenses.view gets an explicit denial).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Audit log records every create/update/delete with actor; the movement ledger records every stock/asset movement; software price edits store updated_by and updated_at.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Session authentication with optional MFA, bcrypt-hashed passwords, CSRF tokens on every POST, 10 MB upload cap.</w:t>
      </w:r>
    </w:p>
    <w:p>
      <w:pPr>
        <w:pStyle w:val="Heading1"/>
        <w:spacing w:after="140" w:before="320"/>
      </w:pPr>
      <w:r>
        <w:rPr>
          <w:b/>
          <w:bCs/>
          <w:color w:val="2563EB"/>
        </w:rPr>
        <w:t xml:space="preserve">4. Responsible-AI Safeguards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Zero fabrication by construction: the assistant is a deterministic intent + entity engine whose every number is a live SQL result; there is no generative free-text pathway.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Honest uncertainty: unknown periods trigger a clarifying question ("Which period do you mean?"); missing data returns "none" rather than an estimate — verified against DB truth.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Transparency: the currency widget labels its rate source (live / cached / fallback); the budget card states which growth model produced the forecast (historical vs utilization).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Guardrails on inputs: questions capped at 500 chars; all rendered output HTML-escaped; entity matching restricted to values that exist in the data.</w:t>
      </w:r>
    </w:p>
    <w:p>
      <w:pPr>
        <w:pStyle w:val="Heading1"/>
        <w:spacing w:after="140" w:before="320"/>
      </w:pPr>
      <w:r>
        <w:rPr>
          <w:b/>
          <w:bCs/>
          <w:color w:val="2563EB"/>
        </w:rPr>
        <w:t xml:space="preserve">5. Known Risks &amp; Mitigations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6000"/>
      </w:tblGrid>
      <w:tr>
        <w:trPr>
          <w:tblHeader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npm xlsx package (0.18.5) carries two unpatched upstream advisories (prototype pollution, ReDoS)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Import is login- + permission-gated with a 10 MB size cap and preview step; documented alternatives: CSV-only mode, or the patched SheetJS CDN build. We chose not to weaken TLS to fetch the CDN build inside the sandbox.</w:t>
            </w:r>
          </w:p>
        </w:tc>
      </w:tr>
      <w:t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Live FX API dependency (open.er-api.com)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30-minute cache + transparent fallback to a configurable rate; UI always labels the source, so users are never misled about freshness.</w:t>
            </w:r>
          </w:p>
        </w:tc>
      </w:tr>
      <w:t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Synthetic financial figures could be mistaken for real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Every artifact (deck, documents) footnotes that figures come from the synthetic demonstration dataset.</w:t>
            </w:r>
          </w:p>
        </w:tc>
      </w:tr>
      <w:t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Deterministic assistant covers ~14 intent families, not open-ended language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Out-of-scope questions return a capabilities card instead of a wrong answer; upgrade path documented (Claude API front-end over the same query engine).</w:t>
            </w:r>
          </w:p>
        </w:tc>
      </w:tr>
      <w:t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Default admin credentials in demo seed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Documented instruction to change the password immediately in any shared environment; MFA available.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Assessment: the submission is safe for judging — fully synthetic data, human approval in front of every consequential write, complete audit trail, and honest, source-labeled analytics.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Compliance &amp; Responsible-AI Note  ·  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  <w:lvl w:ilvl="1" w15:tentative="1">
      <w:start w:val="1"/>
      <w:numFmt w:val="bullet"/>
      <w:lvlText w:val="–"/>
      <w:lvlJc w:val="left"/>
      <w:pPr>
        <w:ind w:left="88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563E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2937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&amp; Responsible-AI Note</dc:title>
  <dc:creator>IT-HAMS Team</dc:creator>
  <cp:lastModifiedBy>Un-named</cp:lastModifiedBy>
  <cp:revision>1</cp:revision>
  <dcterms:created xsi:type="dcterms:W3CDTF">2026-07-15T08:22:30.467Z</dcterms:created>
  <dcterms:modified xsi:type="dcterms:W3CDTF">2026-07-15T08:22:30.467Z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