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2E"/>
          <w:sz w:val="30"/>
        </w:rPr>
        <w:t>GENERAL POWER OF ATTORNEY</w:t>
      </w:r>
    </w:p>
    <w:p>
      <w:pPr>
        <w:jc w:val="center"/>
      </w:pPr>
      <w:r>
        <w:rPr>
          <w:i/>
          <w:color w:val="444444"/>
          <w:sz w:val="20"/>
        </w:rPr>
        <w:t>Algemene Volmacht — for use in the Netherlands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Reference</w:t>
            </w:r>
          </w:p>
        </w:tc>
        <w:tc>
          <w:tcPr>
            <w:tcW w:type="dxa" w:w="2160"/>
          </w:tcPr>
          <w:p>
            <w:r>
              <w:t>POA-2026-NL-6610</w:t>
            </w:r>
          </w:p>
        </w:tc>
        <w:tc>
          <w:tcPr>
            <w:tcW w:type="dxa" w:w="2160"/>
          </w:tcPr>
          <w:p>
            <w:r>
              <w:rPr>
                <w:b/>
              </w:rPr>
              <w:t>Place</w:t>
            </w:r>
          </w:p>
        </w:tc>
        <w:tc>
          <w:tcPr>
            <w:tcW w:type="dxa" w:w="2160"/>
          </w:tcPr>
          <w:p>
            <w:r>
              <w:t>Vienna, Austria</w:t>
            </w:r>
          </w:p>
        </w:tc>
      </w:tr>
      <w:tr>
        <w:tc>
          <w:tcPr>
            <w:tcW w:type="dxa" w:w="2160"/>
          </w:tcPr>
          <w:p>
            <w:r>
              <w:rPr>
                <w:b/>
              </w:rPr>
              <w:t>Date</w:t>
            </w:r>
          </w:p>
        </w:tc>
        <w:tc>
          <w:tcPr>
            <w:tcW w:type="dxa" w:w="2160"/>
          </w:tcPr>
          <w:p>
            <w:r>
              <w:t>24 May 2026</w:t>
            </w:r>
          </w:p>
        </w:tc>
        <w:tc>
          <w:tcPr>
            <w:tcW w:type="dxa" w:w="2160"/>
          </w:tcPr>
          <w:p>
            <w:r>
              <w:rPr>
                <w:b/>
              </w:rPr>
              <w:t>Intended country of use</w:t>
            </w:r>
          </w:p>
        </w:tc>
        <w:tc>
          <w:tcPr>
            <w:tcW w:type="dxa" w:w="2160"/>
          </w:tcPr>
          <w:p>
            <w:r>
              <w:t>Netherlands (NL)</w:t>
            </w:r>
          </w:p>
        </w:tc>
      </w:tr>
    </w:tbl>
    <w:p/>
    <w:p>
      <w:r>
        <w:rPr>
          <w:b/>
          <w:sz w:val="22"/>
        </w:rPr>
        <w:t>1. The Principal (Grantor)</w:t>
      </w:r>
    </w:p>
    <w:p>
      <w:pPr>
        <w:jc w:val="both"/>
      </w:pPr>
      <w:r>
        <w:t>I, the undersigned Frederik de Vries, of Dutch nationality, born on 9 March 1984 in Utrecht, the Netherlands, holder of Dutch passport No. NXB1102233, resident at Praterstrasse 31/8, 1020 Vienna, Austria, e-mail frederik.devries@example.com, acting in my own name and on my own behalf (the “Principal”),</w:t>
      </w:r>
    </w:p>
    <w:p>
      <w:r>
        <w:rPr>
          <w:b/>
          <w:sz w:val="22"/>
        </w:rPr>
        <w:t>2. The Attorney-in-Fact (Grantee)</w:t>
      </w:r>
    </w:p>
    <w:p>
      <w:pPr>
        <w:jc w:val="both"/>
      </w:pPr>
      <w:r>
        <w:t>hereby grant a general power of attorney in favour of Mevrouw Anouk Visser, of Dutch nationality, resident at Keizersgracht 210, 1016 Amsterdam, the Netherlands (the “Attorney”), who is NOT required to appear before the notary.</w:t>
      </w:r>
    </w:p>
    <w:p>
      <w:r>
        <w:rPr>
          <w:b/>
          <w:sz w:val="22"/>
        </w:rPr>
        <w:t>3. Powers granted</w:t>
      </w:r>
    </w:p>
    <w:p>
      <w:pPr>
        <w:jc w:val="both"/>
      </w:pPr>
      <w:r>
        <w:t>The Attorney is authorised to represent the Principal before any Dutch authority, bank, notary or third party in all matters relating to the management of the Principal’s real property in Amsterdam, including the signing of deeds, the operation of bank accounts and the filing of tax returns.</w:t>
      </w:r>
    </w:p>
    <w:p>
      <w:r>
        <w:rPr>
          <w:b/>
          <w:sz w:val="22"/>
        </w:rPr>
        <w:t>4. Governing law, apostille and validity</w:t>
      </w:r>
    </w:p>
    <w:p>
      <w:pPr>
        <w:jc w:val="both"/>
      </w:pPr>
      <w:r>
        <w:t>This instrument is governed by Dutch law as regards its use and Austrian law as regards its execution. The Principal’s signature shall be notarised and legalised by means of an apostille under the Hague Convention of 5 October 1961 so that it is valid before the Dutch authorities. It remains in force until expressly revoked in writing.</w:t>
      </w:r>
    </w:p>
    <w:p/>
    <w:p>
      <w:r>
        <w:t>____________________________________</w:t>
      </w:r>
    </w:p>
    <w:p>
      <w:r>
        <w:rPr>
          <w:sz w:val="18"/>
        </w:rPr>
        <w:t>Frederik de Vries — The Principal</w:t>
      </w:r>
    </w:p>
    <w:p/>
    <w:p>
      <w:r>
        <w:rPr>
          <w:b/>
          <w:sz w:val="22"/>
        </w:rPr>
        <w:t>Notarial acknowledgment</w:t>
      </w:r>
    </w:p>
    <w:p>
      <w:r>
        <w:rPr>
          <w:sz w:val="18"/>
        </w:rPr>
        <w:t>Acknowledged before me by the Principal, identity verified by secure video identification, this ____ day of __________ 2026.  ____________________________________  Notary — seal and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