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72EB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雷达上报目标通信协议：</w:t>
      </w:r>
    </w:p>
    <w:p w14:paraId="2E5E97EB">
      <w:r>
        <w:drawing>
          <wp:inline distT="0" distB="0" distL="114300" distR="114300">
            <wp:extent cx="5267325" cy="3105785"/>
            <wp:effectExtent l="0" t="0" r="571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E5DC3">
      <w:r>
        <w:drawing>
          <wp:inline distT="0" distB="0" distL="114300" distR="114300">
            <wp:extent cx="5265420" cy="2461260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6C446">
      <w:r>
        <w:drawing>
          <wp:inline distT="0" distB="0" distL="114300" distR="114300">
            <wp:extent cx="5270500" cy="153860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B8F53">
      <w:r>
        <w:drawing>
          <wp:inline distT="0" distB="0" distL="114300" distR="114300">
            <wp:extent cx="5273675" cy="5038090"/>
            <wp:effectExtent l="0" t="0" r="1460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03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E42BC"/>
    <w:p w14:paraId="7A1C188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无线电侦测上报目标通信协议：</w:t>
      </w:r>
    </w:p>
    <w:p w14:paraId="74F90EAE">
      <w:r>
        <w:drawing>
          <wp:inline distT="0" distB="0" distL="114300" distR="114300">
            <wp:extent cx="5265420" cy="2914015"/>
            <wp:effectExtent l="0" t="0" r="762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0F49B">
      <w:r>
        <w:drawing>
          <wp:inline distT="0" distB="0" distL="114300" distR="114300">
            <wp:extent cx="5267960" cy="2453640"/>
            <wp:effectExtent l="0" t="0" r="508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3BA75">
      <w:r>
        <w:drawing>
          <wp:inline distT="0" distB="0" distL="114300" distR="114300">
            <wp:extent cx="5271135" cy="1352550"/>
            <wp:effectExtent l="0" t="0" r="1905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50B76">
      <w:r>
        <w:drawing>
          <wp:inline distT="0" distB="0" distL="114300" distR="114300">
            <wp:extent cx="5269865" cy="3487420"/>
            <wp:effectExtent l="0" t="0" r="3175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DB0DB">
      <w:r>
        <w:drawing>
          <wp:inline distT="0" distB="0" distL="114300" distR="114300">
            <wp:extent cx="5271135" cy="3729990"/>
            <wp:effectExtent l="0" t="0" r="1905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E33AC">
      <w:r>
        <w:drawing>
          <wp:inline distT="0" distB="0" distL="114300" distR="114300">
            <wp:extent cx="5271135" cy="1447800"/>
            <wp:effectExtent l="0" t="0" r="190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D0E8D"/>
    <w:p w14:paraId="5544F25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无人机上报目标通信协议：</w:t>
      </w:r>
    </w:p>
    <w:p w14:paraId="4DD68113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见：V1.9.4.1_开发参考文档4.2.1（目标信息），4.2.6（定位信息），4.2.8（毁伤评估信息）。</w:t>
      </w:r>
    </w:p>
    <w:p w14:paraId="1024F2D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光电上报目标通信协议：</w:t>
      </w:r>
    </w:p>
    <w:p w14:paraId="1852E219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正在准备。</w:t>
      </w:r>
    </w:p>
    <w:p w14:paraId="4BF76A65">
      <w:pPr>
        <w:numPr>
          <w:numId w:val="0"/>
        </w:numPr>
        <w:rPr>
          <w:rFonts w:hint="eastAsia"/>
          <w:lang w:val="en-US" w:eastAsia="zh-CN"/>
        </w:rPr>
      </w:pPr>
    </w:p>
    <w:p w14:paraId="4E0A08E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以上协议都是通过UDP进行通信的，不同的ip和端口号。</w:t>
      </w:r>
      <w:bookmarkStart w:id="0" w:name="_GoBack"/>
      <w:bookmarkEnd w:id="0"/>
    </w:p>
    <w:p w14:paraId="38B5033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135FF3"/>
    <w:multiLevelType w:val="singleLevel"/>
    <w:tmpl w:val="85135FF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D83F60"/>
    <w:rsid w:val="20D83F60"/>
    <w:rsid w:val="7F0E3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</Words>
  <Characters>25</Characters>
  <Lines>0</Lines>
  <Paragraphs>0</Paragraphs>
  <TotalTime>4</TotalTime>
  <ScaleCrop>false</ScaleCrop>
  <LinksUpToDate>false</LinksUpToDate>
  <CharactersWithSpaces>25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2025-11-07T01:01:00Z</dcterms:created>
  <dc:creator>DL</dc:creator>
  <cp:lastModifiedBy>DL</cp:lastModifiedBy>
  <dcterms:modified xsi:type="dcterms:W3CDTF">2025-11-07T01:24:59Z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F6CC1E2DA9C14D589C7E3D09A4C079B1_11</vt:lpwstr>
  </property>
  <property fmtid="{D5CDD505-2E9C-101B-9397-08002B2CF9AE}" pid="4" name="KSOTemplateDocerSaveRecord">
    <vt:lpwstr>eyJoZGlkIjoiZGYxMGI0OWMzNGJjNGVkMjVlYjczMmVlYTNmNDg0OTQiLCJ1c2VySWQiOiI0MDE1MTQ5ODkifQ==</vt:lpwstr>
  </property>
</Properties>
</file>