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that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about 8,192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come from public datasets licensed for training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data source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A6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A5).</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At publication the best model resolved 1.96% of issues.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and runtime adapters.</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AI-written traces; human-written sets; own traces; teacher API; SWE-Gym</w:t>
            </w:r>
          </w:p>
        </w:tc>
        <w:tc>
          <w:tcPr>
            <w:tcW w:w="3996" w:type="dxa"/>
          </w:tcPr>
          <w:p>
            <w:pPr>
              <w:pStyle w:val="BodyText"/>
              <w:keepNext/>
              <w:spacing w:before="20" w:after="20"/>
              <w:jc w:val="left"/>
            </w:pPr>
            <w:r>
              <w:rPr>
                <w:sz w:val="20"/>
              </w:rPr>
              <w:t xml:space="preserve">DeepSeek-V4-Pro code traces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(Apache-2.0) and AoPS maths </w:t>
            </w:r>
            <w:fldSimple w:instr=" REF _RefAnneal22 \r \h ">
              <w:r>
                <w:rPr>
                  <w:sz w:val="20"/>
                </w:rPr>
                <w:t xml:space="preserve">[22]</w:t>
              </w:r>
            </w:fldSimple>
            <w:r>
              <w:rPr>
                <w:sz w:val="20"/>
              </w:rPr>
              <w:t xml:space="preserve"> (CC-BY-4.0). Own and OpenCodeReasoning </w:t>
            </w:r>
            <w:fldSimple w:instr=" REF _RefAnneal23 \r \h ">
              <w:r>
                <w:rPr>
                  <w:sz w:val="20"/>
                </w:rPr>
                <w:t xml:space="preserve">[23]</w:t>
              </w:r>
            </w:fldSimple>
            <w:r>
              <w:rPr>
                <w:sz w:val="20"/>
              </w:rPr>
              <w:t xml:space="preserve"> traces only in the first run; human-written sets lack traces; public agent-session steps </w:t>
            </w:r>
            <w:fldSimple w:instr=" REF _RefAnneal24 \r \h ">
              <w:r>
                <w:rPr>
                  <w:sz w:val="20"/>
                </w:rPr>
                <w:t xml:space="preserve">[24]</w:t>
              </w:r>
            </w:fldSimple>
            <w:r>
              <w:rPr>
                <w:sz w:val="20"/>
              </w:rPr>
              <w:t xml:space="preserve"> have redacted tool calls; API-generated rows are not public; SWE-Gym </w:t>
            </w:r>
            <w:fldSimple w:instr=" REF _RefAnneal25 \r \h ">
              <w:r>
                <w:rPr>
                  <w:sz w:val="20"/>
                </w:rPr>
                <w:t xml:space="preserve">[25]</w:t>
              </w:r>
            </w:fldSimple>
            <w:r>
              <w:rPr>
                <w:sz w:val="20"/>
              </w:rPr>
              <w:t xml:space="preserve"> trajectories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improvement to expect and which hyperparameters to test; LongLoRA and RULER define the long-context risk and how to measure it; and SWE-bench shapes the realistic tasks. Anneal's contribution is to combine these at 256k context, on AMD hardware, within 32 GB, and to report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the first real run, round 0 of the loop (Section 3.2), started on 19 October, with scores due on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replaces the estimate by running training steps and recording the peak. The estimator models plain Hugging Face training, but </w:t>
      </w:r>
      <w:r>
        <w:rPr>
          <w:rFonts w:ascii="Consolas" w:hAnsi="Consolas" w:cs="Consolas"/>
          <w:sz w:val="19"/>
        </w:rPr>
        <w:t xml:space="preserve">train_longrun.py</w:t>
      </w:r>
      <w:r>
        <w:t xml:space="preserve"> uses Unsloth </w:t>
      </w:r>
      <w:fldSimple w:instr=" REF _RefAnneal11 \r \h ">
        <w:r>
          <w:t xml:space="preserve">[11]</w:t>
        </w:r>
      </w:fldSimple>
      <w:r>
        <w:t xml:space="preserve">, which changes two large terms (Table 2). Qwen3.8's 248,320-token vocabulary makes the standard loss expensive; Cut Cross-Entropy, which Unsloth adopts, cut Gemma 2's classifier-head training memory from 28 GB to 1 GB </w:t>
      </w:r>
      <w:fldSimple w:instr=" REF _RefAnneal26 \r \h ">
        <w:r>
          <w:t xml:space="preserve">[26]</w:t>
        </w:r>
      </w:fldSimple>
      <w:r>
        <w:t xml:space="preserve">, shrinking this model's loss from about 12.6 GiB to 0.5 GiB.</w:t>
      </w:r>
    </w:p>
    <w:p>
      <w:pPr>
        <w:pStyle w:val="BodyText"/>
      </w:pPr>
      <w:r>
        <w:t xml:space="preserve">Table 2 decided the precision. An 8-bit base fits only if Unsloth's optimisations work on this chip, whereas a 4-bit base fits on either path; ablation A6 measures its cost in quantisation error. Measured on the machine at 8,192 tokens with a rank-16 adapter, the peak was 25.2 GiB, inside the 32 GB allocation.</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(A6)</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would reinforce its biases. No large public set of test-verified traces from an equally strong teacher exists, so loop rows are untested traces from DeepSeek-V4-Pro, level with Qwen3.8-27B on LiveCodeBench (89.8 against 90.3 </w:t>
      </w:r>
      <w:fldSimple w:instr=" REF _RefAnneal27 \r \h ">
        <w:r>
          <w:t xml:space="preserve">[27]</w:t>
        </w:r>
      </w:fldSimple>
      <w:r>
        <w:t xml:space="preserve">, </w:t>
      </w:r>
      <w:fldSimple w:instr=" REF _RefAnneal2 \r \h ">
        <w:r>
          <w:t xml:space="preserve">[2]</w:t>
        </w:r>
      </w:fldSimple>
      <w:r>
        <w:t xml:space="preserve">): 85% Tachibana4 code traces </w:t>
      </w:r>
      <w:fldSimple w:instr=" REF _RefAnneal20 \r \h ">
        <w:r>
          <w:t xml:space="preserve">[20]</w:t>
        </w:r>
      </w:fldSimple>
      <w:r>
        <w:t xml:space="preserve">, 5% a second V4-Pro code set </w:t>
      </w:r>
      <w:fldSimple w:instr=" REF _RefAnneal21 \r \h ">
        <w:r>
          <w:t xml:space="preserve">[21]</w:t>
        </w:r>
      </w:fldSimple>
      <w:r>
        <w:t xml:space="preserve"> and 10% AoPS maths </w:t>
      </w:r>
      <w:fldSimple w:instr=" REF _RefAnneal22 \r \h ">
        <w:r>
          <w:t xml:space="preserve">[22]</w:t>
        </w:r>
      </w:fldSimple>
      <w:r>
        <w:t xml:space="preserve">. A public agent-session set was dropped: 96% of its steps redact tool calls.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rows over 8,192 tokens and removes near-duplicates of evaluation prompts (13-gram or Jaccard overlap). An embedding search on the otherwise idle NPU also flags reworded copies, which n-gram checks miss </w:t>
      </w:r>
      <w:fldSimple w:instr=" REF _RefAnneal28 \r \h ">
        <w:r>
          <w:t xml:space="preserve">[28]</w:t>
        </w:r>
      </w:fldSimple>
      <w:r>
        <w:t xml:space="preserve">; it flagged 33 of 15,276 loop rows without measurably slowing training.</w:t>
      </w:r>
    </w:p>
    <w:p>
      <w:pPr>
        <w:pStyle w:val="BodyText"/>
      </w:pPr>
      <w:r>
        <w:t xml:space="preserve">The first run, round 0, is a comparison run using the model's own rows: 500 base-model answers to OpenCodeInstruct </w:t>
      </w:r>
      <w:fldSimple w:instr=" REF _RefAnneal29 \r \h ">
        <w:r>
          <w:t xml:space="preserve">[29]</w:t>
        </w:r>
      </w:fldSimple>
      <w:r>
        <w:t xml:space="preserve"> prompts that passed their tests, as in ReST-EM </w:t>
      </w:r>
      <w:fldSimple w:instr=" REF _RefAnneal30 \r \h ">
        <w:r>
          <w:t xml:space="preserve">[30]</w:t>
        </w:r>
      </w:fldSimple>
      <w:r>
        <w:t xml:space="preserve">, plus 1,500 OpenCodeReasoning rows, whose DeepSeek-R1 teacher scores only 63.5 on LiveCodeBench </w:t>
      </w:r>
      <w:fldSimple w:instr=" REF _RefAnneal31 \r \h ">
        <w:r>
          <w:t xml:space="preserve">[31]</w:t>
        </w:r>
      </w:fldSimple>
      <w:r>
        <w:t xml:space="preserve">. The base model passed 54% of attempts, but traces hitting the 6,144-token budget (16% of attempts) were rejected, so kept traces are short (median 436 tokens). Model-written code runs in a Windows AppContainer sandbox without network, file or administrator access, which passed 264 escape checks; 97.5% of reference solutions pass inside it.</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best adapter on 1,000 new public rows plus 25% replayed from its earlier rows, re-warming and decaying the learning rate, which in continual pre-training matched retraining on all data </w:t>
      </w:r>
      <w:fldSimple w:instr=" REF _RefAnneal32 \r \h ">
        <w:r>
          <w:t xml:space="preserve">[32]</w:t>
        </w:r>
      </w:fldSimple>
      <w:r>
        <w:t xml:space="preserve">. Each round is scored on a held-out gate, never trained on or reported: 195 decontaminated CodeContests </w:t>
      </w:r>
      <w:fldSimple w:instr=" REF _RefAnneal33 \r \h ">
        <w:r>
          <w:t xml:space="preserve">[33]</w:t>
        </w:r>
      </w:fldSimple>
      <w:r>
        <w:t xml:space="preserve"> validation and test problems with a passing reference, plus 300 OpenCodeInstruct problems. A round is kept only if a one-sided exact sign test against the best adapter gives p ≤ 0.05, its CodeContests part drops at most 5 points, 100 MMLU-Pro </w:t>
      </w:r>
      <w:fldSimple w:instr=" REF _RefAnneal34 \r \h ">
        <w:r>
          <w:t xml:space="preserve">[34]</w:t>
        </w:r>
      </w:fldSimple>
      <w:r>
        <w:t xml:space="preserve"> questions outside computing stay within 5 points of the base, and sample answers are clean. A kept adapter is re-scored with a fresh seed that becomes the new reference. A rejected round's adapter is deleted, its scores kept and its rows rolled into the next attempt, up to 3,000 new rows, because a real 2-point gain passes the gate only 24 to 44% of the time (power calculation). When fresh rows run out, a two-pass round runs before the loop waits for new sets. EvalPlus, scored only on kept adapters, never selects them.</w:t>
      </w:r>
    </w:p>
    <w:p>
      <w:pPr>
        <w:pStyle w:val="BodyText"/>
      </w:pPr>
      <w:r>
        <w:rPr>
          <w:rFonts w:ascii="Consolas" w:hAnsi="Consolas" w:cs="Consolas"/>
          <w:sz w:val="19"/>
        </w:rPr>
        <w:t xml:space="preserve">train_longrun.py</w:t>
      </w:r>
      <w:r>
        <w:t xml:space="preserve"> uses a warmup-stable-decay schedule </w:t>
      </w:r>
      <w:fldSimple w:instr=" REF _RefAnneal35 \r \h ">
        <w:r>
          <w:t xml:space="preserve">[35]</w:t>
        </w:r>
      </w:fldSimple>
      <w:r>
        <w:t xml:space="preserve"> (Listing 1). To survive crashes and updates over months, it saves every 10 steps, resumes when the same command is re-run, and refuses to resume if the training file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keepNext/>
        <w:spacing w:before="120" w:after="0"/>
        <w:ind w:left="284"/>
        <w:jc w:val="left"/>
      </w:pPr>
      <w:r>
        <w:rPr>
          <w:rFonts w:ascii="Consolas" w:hAnsi="Consolas" w:cs="Consolas"/>
          <w:sz w:val="17"/>
        </w:rPr>
        <w:t xml:space="preserve">base_model: unsloth/Qwen3.8-27B-unsloth-bnb-4bit</w:t>
      </w:r>
    </w:p>
    <w:p>
      <w:pPr>
        <w:pStyle w:val="BodyText"/>
        <w:keepNext/>
        <w:spacing w:before="0" w:after="0"/>
        <w:ind w:left="284"/>
        <w:jc w:val="left"/>
      </w:pPr>
      <w:r>
        <w:rPr>
          <w:rFonts w:ascii="Consolas" w:hAnsi="Consolas" w:cs="Consolas"/>
          <w:sz w:val="17"/>
        </w:rPr>
        <w:t xml:space="preserve">seq_len: 8192                  # per example, not the context</w:t>
      </w:r>
    </w:p>
    <w:p>
      <w:pPr>
        <w:pStyle w:val="BodyText"/>
        <w:keepNext/>
        <w:spacing w:before="0" w:after="0"/>
        <w:ind w:left="284"/>
        <w:jc w:val="left"/>
      </w:pPr>
      <w:r>
        <w:rPr>
          <w:rFonts w:ascii="Consolas" w:hAnsi="Consolas" w:cs="Consolas"/>
          <w:sz w:val="17"/>
        </w:rPr>
        <w:t xml:space="preserve">lora_r: 16                     # 64 in a later loop round</w:t>
      </w:r>
    </w:p>
    <w:p>
      <w:pPr>
        <w:pStyle w:val="BodyText"/>
        <w:keepNext/>
        <w:spacing w:before="0" w:after="0"/>
        <w:ind w:left="284"/>
        <w:jc w:val="left"/>
      </w:pPr>
      <w:r>
        <w:rPr>
          <w:rFonts w:ascii="Consolas" w:hAnsi="Consolas" w:cs="Consolas"/>
          <w:sz w:val="17"/>
        </w:rPr>
        <w:t xml:space="preserve">target_modules: [q_proj, k_proj, v_proj, o_proj, gate_proj, up_proj,</w:t>
      </w:r>
    </w:p>
    <w:p>
      <w:pPr>
        <w:pStyle w:val="BodyText"/>
        <w:keepNext/>
        <w:spacing w:before="0" w:after="0"/>
        <w:ind w:left="284"/>
        <w:jc w:val="left"/>
      </w:pPr>
      <w:r>
        <w:rPr>
          <w:rFonts w:ascii="Consolas" w:hAnsi="Consolas" w:cs="Consolas"/>
          <w:sz w:val="17"/>
        </w:rPr>
        <w:t xml:space="preserve">                 down_proj]    # + DeltaNet at rank 64</w:t>
      </w:r>
    </w:p>
    <w:p>
      <w:pPr>
        <w:pStyle w:val="BodyText"/>
        <w:keepNext/>
        <w:spacing w:before="0" w:after="0"/>
        <w:ind w:left="284"/>
        <w:jc w:val="left"/>
      </w:pPr>
      <w:r>
        <w:rPr>
          <w:rFonts w:ascii="Consolas" w:hAnsi="Consolas" w:cs="Consolas"/>
          <w:sz w:val="17"/>
        </w:rPr>
        <w:t xml:space="preserve">schedule: wsd                  # 20 warmup steps, last 20% decays</w:t>
      </w:r>
    </w:p>
    <w:p>
      <w:pPr>
        <w:pStyle w:val="BodyCentre"/>
        <w:keepNext/>
        <w:spacing w:before="120" w:after="60"/>
      </w:pPr>
      <w:r>
        <w:rPr>
          <w:b/>
          <w:sz w:val="20"/>
        </w:rPr>
        <w:t xml:space="preserve">Listing 1.</w:t>
      </w:r>
      <w:r>
        <w:rPr>
          <w:sz w:val="20"/>
        </w:rPr>
        <w:t xml:space="preserve"> Excerpt of the first-run configuration.</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The run trained on 7.39 million tokens at 99.5 tokens per second; validation loss fell from 0.124 to 0.050.</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 is also reported without HumanEval/32, which fails every solution through an EvalPlus 0.3.1 bug, and, for round 0, without three problems flagged in its own rows. A 20-problem calibration chose four parallel requests without multi-token prediction (MTP): 29.2 tokens per second in total, with answers averaging 877 tokens, so one 542-problem pass takes about 4.6 hours. Because parallel output drifts at near-ties, every model uses this one setup.</w:t>
      </w:r>
    </w:p>
    <w:p>
      <w:pPr>
        <w:pStyle w:val="BodyText"/>
      </w:pPr>
      <w:r>
        <w:t xml:space="preserve">The adapter is converted alone to GGUF and loaded over the same base, which avoids a 55 GB merged model and keeps the base weights identical. Trained against NF4 but served over Q4_K_M, the smoke-test adapter gave losses of 0.756 in training and 0.728 in llama.cpp on 779 identical answer tokens, with 96% top-1 agreement, as close as the base model alone,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Speed and memory were measured only at rank 16, and the first run's scores will be the first evidence that training helps. The Windows workarounds (a bundled C compiler, the convolution rewrite, disabled Vulkan kernels) could break on an update, so versions are pinned. With 20 to 50 personal tasks, confidence intervals will be wide. Only 4,561 of Tachibana4's 17,234 rows pass the filters at 8,192 tokens, enough for about five rounds until 16,384-token training is measured.</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of every round; EvalPlus (one seed) for each kept adapter;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In calibration, 2 of 20 answers changed between two runs of the same model, so one seed over 542 problems resolves only a gain of roughly 3 points (an estimate); three seeds narrow this.</w:t>
      </w:r>
    </w:p>
    <w:p>
      <w:pPr>
        <w:pStyle w:val="BodyText"/>
      </w:pPr>
      <w:r>
        <w:rPr>
          <w:b/>
        </w:rPr>
        <w:t xml:space="preserve">Data scaling.</w:t>
      </w:r>
      <w:r>
        <w:t xml:space="preserve"> Published results suggest small, flattening gains: supervised fine-tuning gains are log-linear in data and smaller for stronger models </w:t>
      </w:r>
      <w:fldSimple w:instr=" REF _RefAnneal36 \r \h ">
        <w:r>
          <w:t xml:space="preserve">[36]</w:t>
        </w:r>
      </w:fldSimple>
      <w:r>
        <w:t xml:space="preserve">, and LoRA learns less than full fine-tuning and forgets more the longer it trains </w:t>
      </w:r>
      <w:fldSimple w:instr=" REF _RefAnneal8 \r \h ">
        <w:r>
          <w:t xml:space="preserve">[8]</w:t>
        </w:r>
      </w:fldSimple>
      <w:r>
        <w:t xml:space="preserve">. Round 0, three-quarters from a weaker teacher, may show no clear gain, and many rounds may be rejected; a flat curve is a result, not a failure, and shows how much data is worth the machine time.</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OpenCodeReasoning alone against round 0's mix, A5 long examples or trainable normalisation if a kept adapter fails O4, and A6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also checked against these problems.</w:t>
      </w:r>
    </w:p>
    <w:p>
      <w:pPr>
        <w:pStyle w:val="Heading1"/>
      </w:pPr>
      <w:r>
        <w:t xml:space="preserve">Project Plan</w:t>
      </w:r>
    </w:p>
    <w:p>
      <w:pPr>
        <w:pStyle w:val="BodyFirst"/>
      </w:pPr>
      <w:r>
        <w:t xml:space="preserve">The first real run has trained (Section 3.4), and everything else depends on its scores. Of about 136 usable machine days from November to March, roughly 15 go to ablations and 20 to evaluation; loop rounds use the rest,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(500 own and 1,500 OpenCodeReasoning rows) trained and scored against the base. Build the gate; start the loop.</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Ablations A3 and A4,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A6.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sequelbox, "Tachibana4-DeepSeek-V4-Pro," Hugging Face dataset card, 2026. </w:t>
      </w:r>
      <w:r>
        <w:t xml:space="preserve">[Online]. Available: </w:t>
      </w:r>
      <w:hyperlink r:id="rId41">
        <w:r>
          <w:rPr>
            <w:color w:val="0563C1"/>
            <w:u w:val="single"/>
          </w:rPr>
          <w:t xml:space="preserve">https://huggingface.co/datasets/sequelbox/Tachibana4-DeepSeek-V4-Pro</w:t>
        </w:r>
      </w:hyperlink>
      <w:r>
        <w:t xml:space="preserve"> (accessed Oct. 17, 2026).</w:t>
      </w:r>
      <w:bookmarkEnd w:id="920"/>
    </w:p>
    <w:p>
      <w:pPr>
        <w:pStyle w:val="Reference"/>
        <w:tabs>
          <w:tab w:val="clear" w:pos="426"/>
          <w:tab w:val="num" w:pos="567"/>
        </w:tabs>
        <w:ind w:left="567" w:hanging="567"/>
        <w:jc w:val="left"/>
      </w:pPr>
      <w:bookmarkStart w:id="921" w:name="_RefAnneal21"/>
      <w:r>
        <w:t xml:space="preserve">Banaxi-Tech, "Deepseek-V4-Reasoning-Code-2500," Hugging Face dataset card, 2026. </w:t>
      </w:r>
      <w:r>
        <w:t xml:space="preserve">[Online]. Available: </w:t>
      </w:r>
      <w:hyperlink r:id="rId42">
        <w:r>
          <w:rPr>
            <w:color w:val="0563C1"/>
            <w:u w:val="single"/>
          </w:rPr>
          <w:t xml:space="preserve">https://huggingface.co/datasets/Banaxi-Tech/Deepseek-V4-Reasoning-Code-2500</w:t>
        </w:r>
      </w:hyperlink>
      <w:r>
        <w:t xml:space="preserve"> (accessed Oct. 17, 2026).</w:t>
      </w:r>
      <w:bookmarkEnd w:id="921"/>
    </w:p>
    <w:p>
      <w:pPr>
        <w:pStyle w:val="Reference"/>
        <w:tabs>
          <w:tab w:val="clear" w:pos="426"/>
          <w:tab w:val="num" w:pos="567"/>
        </w:tabs>
        <w:ind w:left="567" w:hanging="567"/>
        <w:jc w:val="left"/>
      </w:pPr>
      <w:bookmarkStart w:id="922" w:name="_RefAnneal22"/>
      <w:r>
        <w:t xml:space="preserve">NVIDIA, "Nemotron-SFT-Math-v4," Hugging Face dataset card, 2026. </w:t>
      </w:r>
      <w:r>
        <w:t xml:space="preserve">[Online]. Available: </w:t>
      </w:r>
      <w:hyperlink r:id="rId43">
        <w:r>
          <w:rPr>
            <w:color w:val="0563C1"/>
            <w:u w:val="single"/>
          </w:rPr>
          <w:t xml:space="preserve">https://huggingface.co/datasets/nvidia/Nemotron-SFT-Math-v4</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4">
        <w:r>
          <w:rPr>
            <w:color w:val="0563C1"/>
            <w:u w:val="single"/>
          </w:rPr>
          <w:t xml:space="preserve">https://arxiv.org/abs/2504.01943</w:t>
        </w:r>
      </w:hyperlink>
      <w:bookmarkEnd w:id="923"/>
    </w:p>
    <w:p>
      <w:pPr>
        <w:pStyle w:val="Reference"/>
        <w:tabs>
          <w:tab w:val="clear" w:pos="426"/>
          <w:tab w:val="num" w:pos="567"/>
        </w:tabs>
        <w:ind w:left="567" w:hanging="567"/>
        <w:jc w:val="left"/>
      </w:pPr>
      <w:bookmarkStart w:id="924" w:name="_RefAnneal24"/>
      <w:r>
        <w:t xml:space="preserve">Public agent-session dataset card, Hugging Face, 2026. </w:t>
      </w:r>
      <w:r>
        <w:t xml:space="preserve">[Online]. Available: </w:t>
      </w:r>
      <w:hyperlink r:id="rId45">
        <w:r>
          <w:rPr>
            <w:color w:val="0563C1"/>
            <w:u w:val="single"/>
          </w:rPr>
          <w:t xml:space="preserve">https://huggingface.co/datasets</w:t>
        </w:r>
      </w:hyperlink>
      <w:r>
        <w:t xml:space="preserve"> (accessed Oct. 17, 2026).</w:t>
      </w:r>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DeepSeek-AI, "DeepSeek-V4-Pro," Hugging Face model card, 2026. </w:t>
      </w:r>
      <w:r>
        <w:t xml:space="preserve">[Online]. Available: </w:t>
      </w:r>
      <w:hyperlink r:id="rId48">
        <w:r>
          <w:rPr>
            <w:color w:val="0563C1"/>
            <w:u w:val="single"/>
          </w:rPr>
          <w:t xml:space="preserve">https://huggingface.co/deepseek-ai/DeepSeek-V4-Pro</w:t>
        </w:r>
      </w:hyperlink>
      <w:r>
        <w:t xml:space="preserve"> (accessed Oct. 17, 2026).</w:t>
      </w:r>
      <w:bookmarkEnd w:id="927"/>
    </w:p>
    <w:p>
      <w:pPr>
        <w:pStyle w:val="Reference"/>
        <w:tabs>
          <w:tab w:val="clear" w:pos="426"/>
          <w:tab w:val="num" w:pos="567"/>
        </w:tabs>
        <w:ind w:left="567" w:hanging="567"/>
        <w:jc w:val="left"/>
      </w:pPr>
      <w:bookmarkStart w:id="928" w:name="_RefAnneal28"/>
      <w:r>
        <w:t xml:space="preserve">S. Yang, W.-L. Chiang, L. Zheng, J. E. Gonzalez, and I. Stoica, "Rethinking benchmark and contamination for language models with rephrased samples," arXiv preprint arXiv:2311.04850, 2023. </w:t>
      </w:r>
      <w:r>
        <w:t xml:space="preserve">[Online]. Available: </w:t>
      </w:r>
      <w:hyperlink r:id="rId49">
        <w:r>
          <w:rPr>
            <w:color w:val="0563C1"/>
            <w:u w:val="single"/>
          </w:rPr>
          <w:t xml:space="preserve">https://arxiv.org/abs/2311.04850</w:t>
        </w:r>
      </w:hyperlink>
      <w:bookmarkEnd w:id="928"/>
    </w:p>
    <w:p>
      <w:pPr>
        <w:pStyle w:val="Reference"/>
        <w:tabs>
          <w:tab w:val="clear" w:pos="426"/>
          <w:tab w:val="num" w:pos="567"/>
        </w:tabs>
        <w:ind w:left="567" w:hanging="567"/>
        <w:jc w:val="left"/>
      </w:pPr>
      <w:bookmarkStart w:id="929" w:name="_RefAnneal29"/>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50">
        <w:r>
          <w:rPr>
            <w:color w:val="0563C1"/>
            <w:u w:val="single"/>
          </w:rPr>
          <w:t xml:space="preserve">https://arxiv.org/abs/2504.04030</w:t>
        </w:r>
      </w:hyperlink>
      <w:bookmarkEnd w:id="929"/>
    </w:p>
    <w:p>
      <w:pPr>
        <w:pStyle w:val="Reference"/>
        <w:tabs>
          <w:tab w:val="clear" w:pos="426"/>
          <w:tab w:val="num" w:pos="567"/>
        </w:tabs>
        <w:ind w:left="567" w:hanging="567"/>
        <w:jc w:val="left"/>
      </w:pPr>
      <w:bookmarkStart w:id="930" w:name="_RefAnneal30"/>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1">
        <w:r>
          <w:rPr>
            <w:color w:val="0563C1"/>
            <w:u w:val="single"/>
          </w:rPr>
          <w:t xml:space="preserve">https://arxiv.org/abs/2312.06585</w:t>
        </w:r>
      </w:hyperlink>
      <w:bookmarkEnd w:id="930"/>
    </w:p>
    <w:p>
      <w:pPr>
        <w:pStyle w:val="Reference"/>
        <w:tabs>
          <w:tab w:val="clear" w:pos="426"/>
          <w:tab w:val="num" w:pos="567"/>
        </w:tabs>
        <w:ind w:left="567" w:hanging="567"/>
        <w:jc w:val="left"/>
      </w:pPr>
      <w:bookmarkStart w:id="931" w:name="_RefAnneal31"/>
      <w:r>
        <w:t xml:space="preserve">DeepSeek-AI, "DeepSeek-R1-0528," Hugging Face model card, 2025. </w:t>
      </w:r>
      <w:r>
        <w:t xml:space="preserve">[Online]. Available: </w:t>
      </w:r>
      <w:hyperlink r:id="rId52">
        <w:r>
          <w:rPr>
            <w:color w:val="0563C1"/>
            <w:u w:val="single"/>
          </w:rPr>
          <w:t xml:space="preserve">https://huggingface.co/deepseek-ai/DeepSeek-R1-0528</w:t>
        </w:r>
      </w:hyperlink>
      <w:r>
        <w:t xml:space="preserve"> (accessed Oct. 17, 2026).</w:t>
      </w:r>
      <w:bookmarkEnd w:id="931"/>
    </w:p>
    <w:p>
      <w:pPr>
        <w:pStyle w:val="Reference"/>
        <w:tabs>
          <w:tab w:val="clear" w:pos="426"/>
          <w:tab w:val="num" w:pos="567"/>
        </w:tabs>
        <w:ind w:left="567" w:hanging="567"/>
        <w:jc w:val="left"/>
      </w:pPr>
      <w:bookmarkStart w:id="932" w:name="_RefAnneal32"/>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3">
        <w:r>
          <w:rPr>
            <w:color w:val="0563C1"/>
            <w:u w:val="single"/>
          </w:rPr>
          <w:t xml:space="preserve">https://arxiv.org/abs/2403.08763</w:t>
        </w:r>
      </w:hyperlink>
      <w:bookmarkEnd w:id="932"/>
    </w:p>
    <w:p>
      <w:pPr>
        <w:pStyle w:val="Reference"/>
        <w:tabs>
          <w:tab w:val="clear" w:pos="426"/>
          <w:tab w:val="num" w:pos="567"/>
        </w:tabs>
        <w:ind w:left="567" w:hanging="567"/>
        <w:jc w:val="left"/>
      </w:pPr>
      <w:bookmarkStart w:id="933" w:name="_RefAnneal33"/>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4">
        <w:r>
          <w:rPr>
            <w:color w:val="0563C1"/>
            <w:u w:val="single"/>
          </w:rPr>
          <w:t xml:space="preserve">https://arxiv.org/abs/2203.07814</w:t>
        </w:r>
      </w:hyperlink>
      <w:bookmarkEnd w:id="933"/>
    </w:p>
    <w:p>
      <w:pPr>
        <w:pStyle w:val="Reference"/>
        <w:tabs>
          <w:tab w:val="clear" w:pos="426"/>
          <w:tab w:val="num" w:pos="567"/>
        </w:tabs>
        <w:ind w:left="567" w:hanging="567"/>
        <w:jc w:val="left"/>
      </w:pPr>
      <w:bookmarkStart w:id="934" w:name="_RefAnneal34"/>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5">
        <w:r>
          <w:rPr>
            <w:color w:val="0563C1"/>
            <w:u w:val="single"/>
          </w:rPr>
          <w:t xml:space="preserve">https://arxiv.org/abs/2406.01574</w:t>
        </w:r>
      </w:hyperlink>
      <w:bookmarkEnd w:id="934"/>
    </w:p>
    <w:p>
      <w:pPr>
        <w:pStyle w:val="Reference"/>
        <w:tabs>
          <w:tab w:val="clear" w:pos="426"/>
          <w:tab w:val="num" w:pos="567"/>
        </w:tabs>
        <w:ind w:left="567" w:hanging="567"/>
        <w:jc w:val="left"/>
      </w:pPr>
      <w:bookmarkStart w:id="935" w:name="_RefAnneal35"/>
      <w:r>
        <w:t xml:space="preserve">A. Hägele, E. Bakouch, A. Kosson, L. Ben Allal, L. Von Werra, and M. Jaggi, "Scaling laws and compute-optimal training beyond fixed training durations," arXiv preprint arXiv:2405.18392, 2024. </w:t>
      </w:r>
      <w:r>
        <w:t xml:space="preserve">[Online]. Available: </w:t>
      </w:r>
      <w:hyperlink r:id="rId56">
        <w:r>
          <w:rPr>
            <w:color w:val="0563C1"/>
            <w:u w:val="single"/>
          </w:rPr>
          <w:t xml:space="preserve">https://arxiv.org/abs/2405.18392</w:t>
        </w:r>
      </w:hyperlink>
      <w:bookmarkEnd w:id="935"/>
    </w:p>
    <w:p>
      <w:pPr>
        <w:pStyle w:val="Reference"/>
        <w:tabs>
          <w:tab w:val="clear" w:pos="426"/>
          <w:tab w:val="num" w:pos="567"/>
        </w:tabs>
        <w:ind w:left="567" w:hanging="567"/>
        <w:jc w:val="left"/>
      </w:pPr>
      <w:bookmarkStart w:id="936" w:name="_RefAnneal36"/>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7">
        <w:r>
          <w:rPr>
            <w:color w:val="0563C1"/>
            <w:u w:val="single"/>
          </w:rPr>
          <w:t xml:space="preserve">https://arxiv.org/abs/2308.01825</w:t>
        </w:r>
      </w:hyperlink>
      <w:bookmarkEnd w:id="936"/>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sequelbox/Tachibana4-DeepSeek-V4-Pro" TargetMode="External"/><Relationship Id="rId42" Type="http://schemas.openxmlformats.org/officeDocument/2006/relationships/hyperlink" Target="https://huggingface.co/datasets/Banaxi-Tech/Deepseek-V4-Reasoning-Code-2500" TargetMode="External"/><Relationship Id="rId43" Type="http://schemas.openxmlformats.org/officeDocument/2006/relationships/hyperlink" Target="https://huggingface.co/datasets/nvidia/Nemotron-SFT-Math-v4" TargetMode="External"/><Relationship Id="rId44" Type="http://schemas.openxmlformats.org/officeDocument/2006/relationships/hyperlink" Target="https://arxiv.org/abs/2504.01943" TargetMode="External"/><Relationship Id="rId45" Type="http://schemas.openxmlformats.org/officeDocument/2006/relationships/hyperlink" Target="https://huggingface.co/datasets"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huggingface.co/deepseek-ai/DeepSeek-V4-Pro" TargetMode="External"/><Relationship Id="rId49" Type="http://schemas.openxmlformats.org/officeDocument/2006/relationships/hyperlink" Target="https://arxiv.org/abs/2311.04850" TargetMode="External"/><Relationship Id="rId50" Type="http://schemas.openxmlformats.org/officeDocument/2006/relationships/hyperlink" Target="https://arxiv.org/abs/2504.04030" TargetMode="External"/><Relationship Id="rId51" Type="http://schemas.openxmlformats.org/officeDocument/2006/relationships/hyperlink" Target="https://arxiv.org/abs/2312.06585" TargetMode="External"/><Relationship Id="rId52" Type="http://schemas.openxmlformats.org/officeDocument/2006/relationships/hyperlink" Target="https://huggingface.co/deepseek-ai/DeepSeek-R1-0528" TargetMode="External"/><Relationship Id="rId53" Type="http://schemas.openxmlformats.org/officeDocument/2006/relationships/hyperlink" Target="https://arxiv.org/abs/2403.08763" TargetMode="External"/><Relationship Id="rId54" Type="http://schemas.openxmlformats.org/officeDocument/2006/relationships/hyperlink" Target="https://arxiv.org/abs/2203.07814" TargetMode="External"/><Relationship Id="rId55" Type="http://schemas.openxmlformats.org/officeDocument/2006/relationships/hyperlink" Target="https://arxiv.org/abs/2406.01574" TargetMode="External"/><Relationship Id="rId56" Type="http://schemas.openxmlformats.org/officeDocument/2006/relationships/hyperlink" Target="https://arxiv.org/abs/2405.18392" TargetMode="External"/><Relationship Id="rId57"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2026-10-20T18:56:46Z</dcterms:modified>
</cp:coreProperties>
</file>