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1,000-row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trace sets; self-generated traces; teacher API; SWE-Gym</w:t>
            </w:r>
          </w:p>
        </w:tc>
        <w:tc>
          <w:tcPr>
            <w:tcW w:w="3996" w:type="dxa"/>
          </w:tcPr>
          <w:p>
            <w:pPr>
              <w:pStyle w:val="BodyText"/>
              <w:keepNext/>
              <w:spacing w:before="20" w:after="20"/>
              <w:jc w:val="left"/>
            </w:pPr>
            <w:r>
              <w:rPr>
                <w:sz w:val="20"/>
              </w:rPr>
              <w:t xml:space="preserve">DeepSeek-V4-Pro code traces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(Apache-2.0) and AoPS maths </w:t>
            </w:r>
            <w:fldSimple w:instr=" REF _RefAnneal22 \r \h ">
              <w:r>
                <w:rPr>
                  <w:sz w:val="20"/>
                </w:rPr>
                <w:t xml:space="preserve">[22]</w:t>
              </w:r>
            </w:fldSimple>
            <w:r>
              <w:rPr>
                <w:sz w:val="20"/>
              </w:rPr>
              <w:t xml:space="preserve"> (CC-BY-4.0); agent-session steps </w:t>
            </w:r>
            <w:fldSimple w:instr=" REF _RefAnneal23 \r \h ">
              <w:r>
                <w:rPr>
                  <w:sz w:val="20"/>
                </w:rPr>
                <w:t xml:space="preserve">[23]</w:t>
              </w:r>
            </w:fldSimple>
            <w:r>
              <w:rPr>
                <w:sz w:val="20"/>
              </w:rPr>
              <w:t xml:space="preserve"> if enough fit. Own and OpenCodeReasoning </w:t>
            </w:r>
            <w:fldSimple w:instr=" REF _RefAnneal24 \r \h ">
              <w:r>
                <w:rPr>
                  <w:sz w:val="20"/>
                </w:rPr>
                <w:t xml:space="preserve">[24]</w:t>
              </w:r>
            </w:fldSimple>
            <w:r>
              <w:rPr>
                <w:sz w:val="20"/>
              </w:rPr>
              <w:t xml:space="preserve"> traces only in the first run; API-generated rows are not public; SWE-Gym </w:t>
            </w:r>
            <w:fldSimple w:instr=" REF _RefAnneal25 \r \h ">
              <w:r>
                <w:rPr>
                  <w:sz w:val="20"/>
                </w:rPr>
                <w:t xml:space="preserve">[25]</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started on 19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6 \r \h ">
        <w:r>
          <w:t xml:space="preserve">[26]</w:t>
        </w:r>
      </w:fldSimple>
      <w:r>
        <w:t xml:space="preserve">, shrinking this model's loss from about 12.6 GiB to 0.5 GiB. Unsloth also offloads gradient checkpoints to host memory.</w:t>
      </w:r>
    </w:p>
    <w:p>
      <w:pPr>
        <w:pStyle w:val="BodyText"/>
      </w:pPr>
      <w:r>
        <w:t xml:space="preserve">Table 2 decided the precision. An 8-bit base fits only if Unsloth's optimisations work on this chip, whereas a 4-bit base fits on either path;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No large public set of test-verified traces from an equally strong teacher exists, so loop rows are untested traces from DeepSeek-V4-Pro, level with Qwen3.8-27B on LiveCodeBench (89.8 against 90.3 </w:t>
      </w:r>
      <w:fldSimple w:instr=" REF _RefAnneal27 \r \h ">
        <w:r>
          <w:t xml:space="preserve">[27]</w:t>
        </w:r>
      </w:fldSimple>
      <w:r>
        <w:t xml:space="preserve">, </w:t>
      </w:r>
      <w:fldSimple w:instr=" REF _RefAnneal2 \r \h ">
        <w:r>
          <w:t xml:space="preserve">[2]</w:t>
        </w:r>
      </w:fldSimple>
      <w:r>
        <w:t xml:space="preserve">): 85% Tachibana4 code traces </w:t>
      </w:r>
      <w:fldSimple w:instr=" REF _RefAnneal20 \r \h ">
        <w:r>
          <w:t xml:space="preserve">[20]</w:t>
        </w:r>
      </w:fldSimple>
      <w:r>
        <w:t xml:space="preserve">, 5% a second V4-Pro code set </w:t>
      </w:r>
      <w:fldSimple w:instr=" REF _RefAnneal21 \r \h ">
        <w:r>
          <w:t xml:space="preserve">[21]</w:t>
        </w:r>
      </w:fldSimple>
      <w:r>
        <w:t xml:space="preserve"> and 10% AoPS maths </w:t>
      </w:r>
      <w:fldSimple w:instr=" REF _RefAnneal22 \r \h ">
        <w:r>
          <w:t xml:space="preserve">[22]</w:t>
        </w:r>
      </w:fldSimple>
      <w:r>
        <w:t xml:space="preserve">. Public agent sessions, split into one row per step, get their own round if 500 steps fit 8,192 tokens.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rather than truncates rows over 8,192 tokens, and removes any sharing a 13-token window with, or above 0.8 Jaccard similarity to, an evaluation prompt.</w:t>
      </w:r>
    </w:p>
    <w:p>
      <w:pPr>
        <w:pStyle w:val="BodyText"/>
      </w:pPr>
      <w:r>
        <w:t xml:space="preserve">The first run, round 0, is a comparison run using the model's own rows: 1,000 base-model answers to OpenCodeInstruct </w:t>
      </w:r>
      <w:fldSimple w:instr=" REF _RefAnneal28 \r \h ">
        <w:r>
          <w:t xml:space="preserve">[28]</w:t>
        </w:r>
      </w:fldSimple>
      <w:r>
        <w:t xml:space="preserve"> prompts that passed their tests, as in ReST-EM </w:t>
      </w:r>
      <w:fldSimple w:instr=" REF _RefAnneal29 \r \h ">
        <w:r>
          <w:t xml:space="preserve">[29]</w:t>
        </w:r>
      </w:fldSimple>
      <w:r>
        <w:t xml:space="preserve">, plus 1,000 OpenCodeReasoning rows, whose DeepSeek-R1 teacher scores only 63.5 on LiveCodeBench </w:t>
      </w:r>
      <w:fldSimple w:instr=" REF _RefAnneal30 \r \h ">
        <w:r>
          <w:t xml:space="preserve">[30]</w:t>
        </w:r>
      </w:fldSimple>
      <w:r>
        <w:t xml:space="preserve">. The base model passed 54% of attempts, but traces hitting the 6,144-token budget (16% of attempts) were rejected, so kept traces are short (median 436 tokens). Model-written code runs, without administrator rights, in a Windows AppContainer with no network or file access, inside a job object limiting processes, memory and time; it passed 264 escape checks, and 97.5% of reference solutions pass inside it.</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last kept adapter on 1,000 new public rows plus 250 replayed from its earlier rows, re-warming and decaying the learning rate, which in continual pre-training matched retraining on all data </w:t>
      </w:r>
      <w:fldSimple w:instr=" REF _RefAnneal31 \r \h ">
        <w:r>
          <w:t xml:space="preserve">[31]</w:t>
        </w:r>
      </w:fldSimple>
      <w:r>
        <w:t xml:space="preserve">. Each round is scored on a held-out gate, never trained on or reported: 195 decontaminated CodeContests </w:t>
      </w:r>
      <w:fldSimple w:instr=" REF _RefAnneal32 \r \h ">
        <w:r>
          <w:t xml:space="preserve">[32]</w:t>
        </w:r>
      </w:fldSimple>
      <w:r>
        <w:t xml:space="preserve"> validation and test problems with a passing reference, plus 300 OpenCodeInstruct problems. A round is kept only if a one-sided exact sign test against the best adapter gives p ≤ 0.05, its CodeContests part drops at most 5 points, 100 MMLU-Pro </w:t>
      </w:r>
      <w:fldSimple w:instr=" REF _RefAnneal33 \r \h ">
        <w:r>
          <w:t xml:space="preserve">[33]</w:t>
        </w:r>
      </w:fldSimple>
      <w:r>
        <w:t xml:space="preserve"> questions outside computing stay within 5 points of the base, and sample answers are clean. A kept adapter is re-scored with a fresh seed that becomes the new reference, so a lucky seed cannot raise the bar. A rejected round's adapter and rows are discarded but its scores kept;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4 \r \h ">
        <w:r>
          <w:t xml:space="preserve">[34]</w:t>
        </w:r>
      </w:fldSimple>
      <w:r>
        <w:t xml:space="preserve"> (Listing 1). To survive crashes and updates over months, it saves every 10 steps, resumes when the same command is re-run, pauses cleanly on a STOP file, and refuses to resume if the training file's SHA-256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grad_accum: 8                  # 8 rows per optimiser step</w:t>
      </w:r>
    </w:p>
    <w:p>
      <w:pPr>
        <w:pStyle w:val="BodyText"/>
        <w:keepNext/>
        <w:spacing w:before="0" w:after="0"/>
        <w:ind w:left="284"/>
        <w:jc w:val="left"/>
      </w:pPr>
      <w:r>
        <w:rPr>
          <w:rFonts w:ascii="Consolas" w:hAnsi="Consolas" w:cs="Consolas"/>
          <w:sz w:val="17"/>
        </w:rPr>
        <w:t xml:space="preserve">lora_r: 16                     # 16 or 64: ablation A1</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DeltaNet projections: A2</w:t>
      </w:r>
    </w:p>
    <w:p>
      <w:pPr>
        <w:pStyle w:val="BodyText"/>
        <w:keepNext/>
        <w:spacing w:before="0" w:after="0"/>
        <w:ind w:left="284"/>
        <w:jc w:val="left"/>
      </w:pPr>
      <w:r>
        <w:rPr>
          <w:rFonts w:ascii="Consolas" w:hAnsi="Consolas" w:cs="Consolas"/>
          <w:sz w:val="17"/>
        </w:rPr>
        <w:t xml:space="preserve">schedule: wsd                  # 20 warmup steps, last 20% decays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which slowed them to 0.94 times: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only at rank 16, and the first run's scores will be the first evidence that training helps. The Windows workarounds (a bundled C compiler, the convolution rewrite, disabled Vulkan kernels) could break on an update, so versions are pinned. With 20 to 50 personal tasks, confidence intervals will be wide. Only an estimated 10 to 25% of Tachibana4 fits 8,192 tokens, enough for a few rounds until 16,384-token training is measured.</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Both systems share every setting, though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1,000-row ablations</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35 \r \h ">
        <w:r>
          <w:t xml:space="preserve">[35]</w:t>
        </w:r>
      </w:fldSimple>
      <w:r>
        <w:t xml:space="preserve">, and LoRA learns less than full fine-tuning and forgets more the longer it trains </w:t>
      </w:r>
      <w:fldSimple w:instr=" REF _RefAnneal8 \r \h ">
        <w:r>
          <w:t xml:space="preserve">[8]</w:t>
        </w:r>
      </w:fldSimple>
      <w:r>
        <w:t xml:space="preserve">. Round 0, half from a weaker teacher, may show no clear gain, and many rounds may be rejected; a flat curve is a result, not a failure, and shows how much data is worth the machine time.</w:t>
      </w:r>
    </w:p>
    <w:p>
      <w:pPr>
        <w:pStyle w:val="BodyText"/>
      </w:pPr>
      <w:r>
        <w:rPr>
          <w:b/>
        </w:rPr>
        <w:t xml:space="preserve">Ablations.</w:t>
      </w:r>
      <w:r>
        <w:t xml:space="preserve"> Planned as separate 1,000-row runs outside the loop, each changes one factor: A1 rank (16, 64); A2 adding the DeltaNet targets; A3 example length (4,096, 8,192); A4 data source: OpenCodeReasoning alone against round 0's mix; A5 long examples or trainable normalisation, only if a kept adapter fails O4;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checked for overlap with these problems as well as the gate and MMLU-Pro.</w:t>
      </w:r>
    </w:p>
    <w:p>
      <w:pPr>
        <w:pStyle w:val="Heading1"/>
      </w:pPr>
      <w:r>
        <w:t xml:space="preserve">Project Plan</w:t>
      </w:r>
    </w:p>
    <w:p>
      <w:pPr>
        <w:pStyle w:val="BodyFirst"/>
      </w:pPr>
      <w:r>
        <w:t xml:space="preserve">Bring-up finished early and the first real run is under way (Section 3.4), so the plan starts with its scores, which everything else depends on.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1,000 own and 1,000 OpenCodeReasoning rows, trained and scored against the base by 21 October. Build the gate; start loop rounds.</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A1 to A4,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sequelbox, "Tachibana4-DeepSeek-V4-Pro," Hugging Face dataset card, 2026. </w:t>
      </w:r>
      <w:r>
        <w:t xml:space="preserve">[Online]. Available: </w:t>
      </w:r>
      <w:hyperlink r:id="rId41">
        <w:r>
          <w:rPr>
            <w:color w:val="0563C1"/>
            <w:u w:val="single"/>
          </w:rPr>
          <w:t xml:space="preserve">https://huggingface.co/datasets/sequelbox/Tachibana4-DeepSeek-V4-Pro</w:t>
        </w:r>
      </w:hyperlink>
      <w:r>
        <w:t xml:space="preserve"> (accessed Oct. 17, 2026).</w:t>
      </w:r>
      <w:bookmarkEnd w:id="920"/>
    </w:p>
    <w:p>
      <w:pPr>
        <w:pStyle w:val="Reference"/>
        <w:tabs>
          <w:tab w:val="clear" w:pos="426"/>
          <w:tab w:val="num" w:pos="567"/>
        </w:tabs>
        <w:ind w:left="567" w:hanging="567"/>
        <w:jc w:val="left"/>
      </w:pPr>
      <w:bookmarkStart w:id="921" w:name="_RefAnneal21"/>
      <w:r>
        <w:t xml:space="preserve">Banaxi-Tech, "Deepseek-V4-Reasoning-Code-2500," Hugging Face dataset card, 2026. </w:t>
      </w:r>
      <w:r>
        <w:t xml:space="preserve">[Online]. Available: </w:t>
      </w:r>
      <w:hyperlink r:id="rId42">
        <w:r>
          <w:rPr>
            <w:color w:val="0563C1"/>
            <w:u w:val="single"/>
          </w:rPr>
          <w:t xml:space="preserve">https://huggingface.co/datasets/Banaxi-Tech/Deepseek-V4-Reasoning-Code-2500</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NVIDIA, "Nemotron-SFT-Math-v4," Hugging Face dataset card, 2026. </w:t>
      </w:r>
      <w:r>
        <w:t xml:space="preserve">[Online]. Available: </w:t>
      </w:r>
      <w:hyperlink r:id="rId43">
        <w:r>
          <w:rPr>
            <w:color w:val="0563C1"/>
            <w:u w:val="single"/>
          </w:rPr>
          <w:t xml:space="preserve">https://huggingface.co/datasets/nvidia/Nemotron-SFT-Math-v4</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Public agent-session dataset card, Hugging Face, 2026. </w:t>
      </w:r>
      <w:r>
        <w:t xml:space="preserve">[Online]. Available: </w:t>
      </w:r>
      <w:hyperlink r:id="rId44">
        <w:r>
          <w:rPr>
            <w:color w:val="0563C1"/>
            <w:u w:val="single"/>
          </w:rPr>
          <w:t xml:space="preserve">https://huggingface.co/datasets</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DeepSeek-AI, "DeepSeek-V4-Pro," Hugging Face model card, 2026. </w:t>
      </w:r>
      <w:r>
        <w:t xml:space="preserve">[Online]. Available: </w:t>
      </w:r>
      <w:hyperlink r:id="rId48">
        <w:r>
          <w:rPr>
            <w:color w:val="0563C1"/>
            <w:u w:val="single"/>
          </w:rPr>
          <w:t xml:space="preserve">https://huggingface.co/deepseek-ai/DeepSeek-V4-Pro</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9">
        <w:r>
          <w:rPr>
            <w:color w:val="0563C1"/>
            <w:u w:val="single"/>
          </w:rPr>
          <w:t xml:space="preserve">https://arxiv.org/abs/2504.04030</w:t>
        </w:r>
      </w:hyperlink>
      <w:bookmarkEnd w:id="928"/>
    </w:p>
    <w:p>
      <w:pPr>
        <w:pStyle w:val="Reference"/>
        <w:tabs>
          <w:tab w:val="clear" w:pos="426"/>
          <w:tab w:val="num" w:pos="567"/>
        </w:tabs>
        <w:ind w:left="567" w:hanging="567"/>
        <w:jc w:val="left"/>
      </w:pPr>
      <w:bookmarkStart w:id="929" w:name="_RefAnneal29"/>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0">
        <w:r>
          <w:rPr>
            <w:color w:val="0563C1"/>
            <w:u w:val="single"/>
          </w:rPr>
          <w:t xml:space="preserve">https://arxiv.org/abs/2312.06585</w:t>
        </w:r>
      </w:hyperlink>
      <w:bookmarkEnd w:id="929"/>
    </w:p>
    <w:p>
      <w:pPr>
        <w:pStyle w:val="Reference"/>
        <w:tabs>
          <w:tab w:val="clear" w:pos="426"/>
          <w:tab w:val="num" w:pos="567"/>
        </w:tabs>
        <w:ind w:left="567" w:hanging="567"/>
        <w:jc w:val="left"/>
      </w:pPr>
      <w:bookmarkStart w:id="930" w:name="_RefAnneal30"/>
      <w:r>
        <w:t xml:space="preserve">DeepSeek-AI, "DeepSeek-R1-0528," Hugging Face model card, 2025. </w:t>
      </w:r>
      <w:r>
        <w:t xml:space="preserve">[Online]. Available: </w:t>
      </w:r>
      <w:hyperlink r:id="rId51">
        <w:r>
          <w:rPr>
            <w:color w:val="0563C1"/>
            <w:u w:val="single"/>
          </w:rPr>
          <w:t xml:space="preserve">https://huggingface.co/deepseek-ai/DeepSeek-R1-0528</w:t>
        </w:r>
      </w:hyperlink>
      <w:r>
        <w:t xml:space="preserve"> (accessed Oct. 17, 2026).</w:t>
      </w:r>
      <w:bookmarkEnd w:id="930"/>
    </w:p>
    <w:p>
      <w:pPr>
        <w:pStyle w:val="Reference"/>
        <w:tabs>
          <w:tab w:val="clear" w:pos="426"/>
          <w:tab w:val="num" w:pos="567"/>
        </w:tabs>
        <w:ind w:left="567" w:hanging="567"/>
        <w:jc w:val="left"/>
      </w:pPr>
      <w:bookmarkStart w:id="931" w:name="_RefAnneal31"/>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2">
        <w:r>
          <w:rPr>
            <w:color w:val="0563C1"/>
            <w:u w:val="single"/>
          </w:rPr>
          <w:t xml:space="preserve">https://arxiv.org/abs/2403.08763</w:t>
        </w:r>
      </w:hyperlink>
      <w:bookmarkEnd w:id="931"/>
    </w:p>
    <w:p>
      <w:pPr>
        <w:pStyle w:val="Reference"/>
        <w:tabs>
          <w:tab w:val="clear" w:pos="426"/>
          <w:tab w:val="num" w:pos="567"/>
        </w:tabs>
        <w:ind w:left="567" w:hanging="567"/>
        <w:jc w:val="left"/>
      </w:pPr>
      <w:bookmarkStart w:id="932" w:name="_RefAnneal32"/>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3">
        <w:r>
          <w:rPr>
            <w:color w:val="0563C1"/>
            <w:u w:val="single"/>
          </w:rPr>
          <w:t xml:space="preserve">https://arxiv.org/abs/2203.07814</w:t>
        </w:r>
      </w:hyperlink>
      <w:bookmarkEnd w:id="932"/>
    </w:p>
    <w:p>
      <w:pPr>
        <w:pStyle w:val="Reference"/>
        <w:tabs>
          <w:tab w:val="clear" w:pos="426"/>
          <w:tab w:val="num" w:pos="567"/>
        </w:tabs>
        <w:ind w:left="567" w:hanging="567"/>
        <w:jc w:val="left"/>
      </w:pPr>
      <w:bookmarkStart w:id="933" w:name="_RefAnneal33"/>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4">
        <w:r>
          <w:rPr>
            <w:color w:val="0563C1"/>
            <w:u w:val="single"/>
          </w:rPr>
          <w:t xml:space="preserve">https://arxiv.org/abs/2406.01574</w:t>
        </w:r>
      </w:hyperlink>
      <w:bookmarkEnd w:id="933"/>
    </w:p>
    <w:p>
      <w:pPr>
        <w:pStyle w:val="Reference"/>
        <w:tabs>
          <w:tab w:val="clear" w:pos="426"/>
          <w:tab w:val="num" w:pos="567"/>
        </w:tabs>
        <w:ind w:left="567" w:hanging="567"/>
        <w:jc w:val="left"/>
      </w:pPr>
      <w:bookmarkStart w:id="934" w:name="_RefAnneal34"/>
      <w:r>
        <w:t xml:space="preserve">A. Hägele, E. Bakouch, A. Kosson, L. Ben Allal, L. Von Werra, and M. Jaggi, "Scaling laws and compute-optimal training beyond fixed training durations," arXiv preprint arXiv:2405.18392, 2024. </w:t>
      </w:r>
      <w:r>
        <w:t xml:space="preserve">[Online]. Available: </w:t>
      </w:r>
      <w:hyperlink r:id="rId55">
        <w:r>
          <w:rPr>
            <w:color w:val="0563C1"/>
            <w:u w:val="single"/>
          </w:rPr>
          <w:t xml:space="preserve">https://arxiv.org/abs/2405.18392</w:t>
        </w:r>
      </w:hyperlink>
      <w:bookmarkEnd w:id="934"/>
    </w:p>
    <w:p>
      <w:pPr>
        <w:pStyle w:val="Reference"/>
        <w:tabs>
          <w:tab w:val="clear" w:pos="426"/>
          <w:tab w:val="num" w:pos="567"/>
        </w:tabs>
        <w:ind w:left="567" w:hanging="567"/>
        <w:jc w:val="left"/>
      </w:pPr>
      <w:bookmarkStart w:id="935" w:name="_RefAnneal35"/>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6">
        <w:r>
          <w:rPr>
            <w:color w:val="0563C1"/>
            <w:u w:val="single"/>
          </w:rPr>
          <w:t xml:space="preserve">https://arxiv.org/abs/2308.01825</w:t>
        </w:r>
      </w:hyperlink>
      <w:bookmarkEnd w:id="935"/>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sequelbox/Tachibana4-DeepSeek-V4-Pro" TargetMode="External"/><Relationship Id="rId42" Type="http://schemas.openxmlformats.org/officeDocument/2006/relationships/hyperlink" Target="https://huggingface.co/datasets/Banaxi-Tech/Deepseek-V4-Reasoning-Code-2500" TargetMode="External"/><Relationship Id="rId43" Type="http://schemas.openxmlformats.org/officeDocument/2006/relationships/hyperlink" Target="https://huggingface.co/datasets/nvidia/Nemotron-SFT-Math-v4" TargetMode="External"/><Relationship Id="rId44" Type="http://schemas.openxmlformats.org/officeDocument/2006/relationships/hyperlink" Target="https://huggingface.co/datasets"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huggingface.co/deepseek-ai/DeepSeek-V4-Pro" TargetMode="External"/><Relationship Id="rId49" Type="http://schemas.openxmlformats.org/officeDocument/2006/relationships/hyperlink" Target="https://arxiv.org/abs/2504.04030" TargetMode="External"/><Relationship Id="rId50" Type="http://schemas.openxmlformats.org/officeDocument/2006/relationships/hyperlink" Target="https://arxiv.org/abs/2312.06585" TargetMode="External"/><Relationship Id="rId51" Type="http://schemas.openxmlformats.org/officeDocument/2006/relationships/hyperlink" Target="https://huggingface.co/deepseek-ai/DeepSeek-R1-0528" TargetMode="External"/><Relationship Id="rId52" Type="http://schemas.openxmlformats.org/officeDocument/2006/relationships/hyperlink" Target="https://arxiv.org/abs/2403.08763" TargetMode="External"/><Relationship Id="rId53" Type="http://schemas.openxmlformats.org/officeDocument/2006/relationships/hyperlink" Target="https://arxiv.org/abs/2203.07814" TargetMode="External"/><Relationship Id="rId54" Type="http://schemas.openxmlformats.org/officeDocument/2006/relationships/hyperlink" Target="https://arxiv.org/abs/2406.01574" TargetMode="External"/><Relationship Id="rId55" Type="http://schemas.openxmlformats.org/officeDocument/2006/relationships/hyperlink" Target="https://arxiv.org/abs/2405.18392" TargetMode="External"/><Relationship Id="rId56"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2026-10-19T18:41:17Z</dcterms:modified>
</cp:coreProperties>
</file>