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that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12,288 tokens,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come from public datasets licensed for training, written by a teacher at least as strong as the base,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12,288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and base precision through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A5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A4).</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and runtime adapters.</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AI-written traces; human-written sets; own traces; teacher API; SWE-Gym</w:t>
            </w:r>
          </w:p>
        </w:tc>
        <w:tc>
          <w:tcPr>
            <w:tcW w:w="3996" w:type="dxa"/>
          </w:tcPr>
          <w:p>
            <w:pPr>
              <w:pStyle w:val="BodyText"/>
              <w:keepNext/>
              <w:spacing w:before="20" w:after="20"/>
              <w:jc w:val="left"/>
            </w:pPr>
            <w:r>
              <w:rPr>
                <w:sz w:val="20"/>
              </w:rPr>
              <w:t xml:space="preserve">Test-passed DeepSeek V4-Flash bug-fix and GLM-5.3 terminal runs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(CC-BY-4.0) and V4-Pro coding answers </w:t>
            </w:r>
            <w:fldSimple w:instr=" REF _RefAnneal22 \r \h ">
              <w:r>
                <w:rPr>
                  <w:sz w:val="20"/>
                </w:rPr>
                <w:t xml:space="preserve">[22]</w:t>
              </w:r>
            </w:fldSimple>
            <w:r>
              <w:rPr>
                <w:sz w:val="20"/>
              </w:rPr>
              <w:t xml:space="preserve">, </w:t>
            </w:r>
            <w:fldSimple w:instr=" REF _RefAnneal23 \r \h ">
              <w:r>
                <w:rPr>
                  <w:sz w:val="20"/>
                </w:rPr>
                <w:t xml:space="preserve">[23]</w:t>
              </w:r>
            </w:fldSimple>
            <w:r>
              <w:rPr>
                <w:sz w:val="20"/>
              </w:rPr>
              <w:t xml:space="preserve"> (Apache-2.0), other languages before Python. Own and OpenCodeReasoning </w:t>
            </w:r>
            <w:fldSimple w:instr=" REF _RefAnneal24 \r \h ">
              <w:r>
                <w:rPr>
                  <w:sz w:val="20"/>
                </w:rPr>
                <w:t xml:space="preserve">[24]</w:t>
              </w:r>
            </w:fldSimple>
            <w:r>
              <w:rPr>
                <w:sz w:val="20"/>
              </w:rPr>
              <w:t xml:space="preserve"> traces only in the first run; human-written sets lack traces; public agent-session sets lack raw reasoning; API-generated rows are not public; SWE-Gym </w:t>
            </w:r>
            <w:fldSimple w:instr=" REF _RefAnneal25 \r \h ">
              <w:r>
                <w:rPr>
                  <w:sz w:val="20"/>
                </w:rPr>
                <w:t xml:space="preserve">[25]</w:t>
              </w:r>
            </w:fldSimple>
            <w:r>
              <w:rPr>
                <w:sz w:val="20"/>
              </w:rPr>
              <w:t xml:space="preserve"> trajectories come from 2024 models weaker than the base.</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expectations, LongLoRA and RULER define the long-context risk, and SWE-bench shapes the realistic tasks. Anneal combines these at 256k context, on AMD hardware, within 32 GB.</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the first real run, round 0 of the loop (Section 3.2), was trained and scored by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measures the peak over real training steps. Unsloth </w:t>
      </w:r>
      <w:fldSimple w:instr=" REF _RefAnneal11 \r \h ">
        <w:r>
          <w:t xml:space="preserve">[11]</w:t>
        </w:r>
      </w:fldSimple>
      <w:r>
        <w:t xml:space="preserve"> changes two large terms (Table 2): Qwen3.8's 248,320-token vocabulary makes the standard loss expensive, and Cut Cross-Entropy, which cut Gemma 2's classifier-head training memory from 28 GB to 1 GB </w:t>
      </w:r>
      <w:fldSimple w:instr=" REF _RefAnneal26 \r \h ">
        <w:r>
          <w:t xml:space="preserve">[26]</w:t>
        </w:r>
      </w:fldSimple>
      <w:r>
        <w:t xml:space="preserve">, shrinks this model's loss from about 12.6 GiB to 0.5 GiB.</w:t>
      </w:r>
    </w:p>
    <w:p>
      <w:pPr>
        <w:pStyle w:val="BodyText"/>
      </w:pPr>
      <w:r>
        <w:t xml:space="preserve">Table 2 decided the precision. An 8-bit base fits only if Unsloth's optimisations work on this chip, whereas a 4-bit base fits on either path; ablation A5 measures its cost in quantisation error. The loop uses the longest rows that fit with a margin (peak within 29 GiB, 6 GB of system memory free): 16,384 tokens crashed, so the cap is 12,288.</w:t>
      </w:r>
    </w:p>
    <w:p>
      <w:pPr>
        <w:pStyle w:val="BodyCentre"/>
        <w:keepNext/>
        <w:spacing w:before="120" w:after="60"/>
      </w:pPr>
      <w:r>
        <w:rPr>
          <w:b/>
          <w:sz w:val="20"/>
        </w:rPr>
        <w:t xml:space="preserve">Table 2.</w:t>
      </w:r>
      <w:r>
        <w:rPr>
          <w:sz w:val="20"/>
        </w:rPr>
        <w:t xml:space="preserve"> GPU memory per step at rank 16: estimated at 4,096 tokens, measured at 8,192 and 12,288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spacing w:before="20" w:after="20"/>
              <w:jc w:val="left"/>
            </w:pPr>
            <w:r>
              <w:rPr>
                <w:sz w:val="20"/>
              </w:rPr>
              <w:t xml:space="preserve">Component</w:t>
            </w:r>
          </w:p>
        </w:tc>
        <w:tc>
          <w:tcPr>
            <w:tcW w:w="2000" w:type="dxa"/>
          </w:tcPr>
          <w:p>
            <w:pPr>
              <w:pStyle w:val="BodyText"/>
              <w:spacing w:before="20" w:after="20"/>
              <w:jc w:val="left"/>
            </w:pPr>
            <w:r>
              <w:rPr>
                <w:sz w:val="20"/>
              </w:rPr>
              <w:t xml:space="preserve">4-bit (chosen)</w:t>
            </w:r>
          </w:p>
        </w:tc>
        <w:tc>
          <w:tcPr>
            <w:tcW w:w="2000" w:type="dxa"/>
          </w:tcPr>
          <w:p>
            <w:pPr>
              <w:pStyle w:val="BodyText"/>
              <w:spacing w:before="20" w:after="20"/>
              <w:jc w:val="left"/>
            </w:pPr>
            <w:r>
              <w:rPr>
                <w:sz w:val="20"/>
              </w:rPr>
              <w:t xml:space="preserve">8-bit (A5)</w:t>
            </w:r>
          </w:p>
        </w:tc>
      </w:tr>
      <w:tr>
        <w:trPr>
          <w:cantSplit/>
        </w:trPr>
        <w:tc>
          <w:tcPr>
            <w:tcW w:w="4296" w:type="dxa"/>
          </w:tcPr>
          <w:p>
            <w:pPr>
              <w:pStyle w:val="BodyText"/>
              <w:spacing w:before="20" w:after="20"/>
              <w:jc w:val="left"/>
            </w:pPr>
            <w:r>
              <w:rPr>
                <w:sz w:val="20"/>
              </w:rPr>
              <w:t xml:space="preserve">Frozen linear layers</w:t>
            </w:r>
          </w:p>
        </w:tc>
        <w:tc>
          <w:tcPr>
            <w:tcW w:w="2000" w:type="dxa"/>
          </w:tcPr>
          <w:p>
            <w:pPr>
              <w:pStyle w:val="BodyText"/>
              <w:spacing w:before="20" w:after="20"/>
              <w:jc w:val="left"/>
            </w:pPr>
            <w:r>
              <w:rPr>
                <w:sz w:val="20"/>
              </w:rPr>
              <w:t xml:space="preserve">11.7</w:t>
            </w:r>
          </w:p>
        </w:tc>
        <w:tc>
          <w:tcPr>
            <w:tcW w:w="2000" w:type="dxa"/>
          </w:tcPr>
          <w:p>
            <w:pPr>
              <w:pStyle w:val="BodyText"/>
              <w:spacing w:before="20" w:after="20"/>
              <w:jc w:val="left"/>
            </w:pPr>
            <w:r>
              <w:rPr>
                <w:sz w:val="20"/>
              </w:rPr>
              <w:t xml:space="preserve">22.7</w:t>
            </w:r>
          </w:p>
        </w:tc>
      </w:tr>
      <w:tr>
        <w:trPr>
          <w:cantSplit/>
        </w:trPr>
        <w:tc>
          <w:tcPr>
            <w:tcW w:w="4296" w:type="dxa"/>
          </w:tcPr>
          <w:p>
            <w:pPr>
              <w:pStyle w:val="BodyText"/>
              <w:spacing w:before="20" w:after="20"/>
              <w:jc w:val="left"/>
            </w:pPr>
            <w:r>
              <w:rPr>
                <w:sz w:val="20"/>
              </w:rPr>
              <w:t xml:space="preserve">Embeddings and output layer</w:t>
            </w:r>
          </w:p>
        </w:tc>
        <w:tc>
          <w:tcPr>
            <w:tcW w:w="2000" w:type="dxa"/>
          </w:tcPr>
          <w:p>
            <w:pPr>
              <w:pStyle w:val="BodyText"/>
              <w:spacing w:before="20" w:after="20"/>
              <w:jc w:val="left"/>
            </w:pPr>
            <w:r>
              <w:rPr>
                <w:sz w:val="20"/>
              </w:rPr>
              <w:t xml:space="preserve">4.7</w:t>
            </w:r>
          </w:p>
        </w:tc>
        <w:tc>
          <w:tcPr>
            <w:tcW w:w="2000" w:type="dxa"/>
          </w:tcPr>
          <w:p>
            <w:pPr>
              <w:pStyle w:val="BodyText"/>
              <w:spacing w:before="20" w:after="20"/>
              <w:jc w:val="left"/>
            </w:pPr>
            <w:r>
              <w:rPr>
                <w:sz w:val="20"/>
              </w:rPr>
              <w:t xml:space="preserve">4.7</w:t>
            </w:r>
          </w:p>
        </w:tc>
      </w:tr>
      <w:tr>
        <w:trPr>
          <w:cantSplit/>
        </w:trPr>
        <w:tc>
          <w:tcPr>
            <w:tcW w:w="4296" w:type="dxa"/>
          </w:tcPr>
          <w:p>
            <w:pPr>
              <w:pStyle w:val="BodyText"/>
              <w:spacing w:before="20" w:after="20"/>
              <w:jc w:val="left"/>
            </w:pPr>
            <w:r>
              <w:rPr>
                <w:sz w:val="20"/>
              </w:rPr>
              <w:t xml:space="preserve">LoRA, gradients, optimiser</w:t>
            </w:r>
          </w:p>
        </w:tc>
        <w:tc>
          <w:tcPr>
            <w:tcW w:w="2000" w:type="dxa"/>
          </w:tcPr>
          <w:p>
            <w:pPr>
              <w:pStyle w:val="BodyText"/>
              <w:spacing w:before="20" w:after="20"/>
              <w:jc w:val="left"/>
            </w:pPr>
            <w:r>
              <w:rPr>
                <w:sz w:val="20"/>
              </w:rPr>
              <w:t xml:space="preserve">0.7</w:t>
            </w:r>
          </w:p>
        </w:tc>
        <w:tc>
          <w:tcPr>
            <w:tcW w:w="2000" w:type="dxa"/>
          </w:tcPr>
          <w:p>
            <w:pPr>
              <w:pStyle w:val="BodyText"/>
              <w:spacing w:before="20" w:after="20"/>
              <w:jc w:val="left"/>
            </w:pPr>
            <w:r>
              <w:rPr>
                <w:sz w:val="20"/>
              </w:rPr>
              <w:t xml:space="preserve">0.7</w:t>
            </w:r>
          </w:p>
        </w:tc>
      </w:tr>
      <w:tr>
        <w:trPr>
          <w:cantSplit/>
        </w:trPr>
        <w:tc>
          <w:tcPr>
            <w:tcW w:w="4296" w:type="dxa"/>
          </w:tcPr>
          <w:p>
            <w:pPr>
              <w:pStyle w:val="BodyText"/>
              <w:spacing w:before="20" w:after="20"/>
              <w:jc w:val="left"/>
            </w:pPr>
            <w:r>
              <w:rPr>
                <w:sz w:val="20"/>
              </w:rPr>
              <w:t xml:space="preserve">Checkpoints (in host memory)</w:t>
            </w:r>
          </w:p>
        </w:tc>
        <w:tc>
          <w:tcPr>
            <w:tcW w:w="2000" w:type="dxa"/>
          </w:tcPr>
          <w:p>
            <w:pPr>
              <w:pStyle w:val="BodyText"/>
              <w:spacing w:before="20" w:after="20"/>
              <w:jc w:val="left"/>
            </w:pPr>
            <w:r>
              <w:rPr>
                <w:sz w:val="20"/>
              </w:rPr>
              <w:t xml:space="preserve">0 (2.5)</w:t>
            </w:r>
          </w:p>
        </w:tc>
        <w:tc>
          <w:tcPr>
            <w:tcW w:w="2000" w:type="dxa"/>
          </w:tcPr>
          <w:p>
            <w:pPr>
              <w:pStyle w:val="BodyText"/>
              <w:spacing w:before="20" w:after="20"/>
              <w:jc w:val="left"/>
            </w:pPr>
            <w:r>
              <w:rPr>
                <w:sz w:val="20"/>
              </w:rPr>
              <w:t xml:space="preserve">0 (2.5)</w:t>
            </w:r>
          </w:p>
        </w:tc>
      </w:tr>
      <w:tr>
        <w:trPr>
          <w:cantSplit/>
        </w:trPr>
        <w:tc>
          <w:tcPr>
            <w:tcW w:w="4296" w:type="dxa"/>
          </w:tcPr>
          <w:p>
            <w:pPr>
              <w:pStyle w:val="BodyText"/>
              <w:spacing w:before="20" w:after="20"/>
              <w:jc w:val="left"/>
            </w:pPr>
            <w:r>
              <w:rPr>
                <w:sz w:val="20"/>
              </w:rPr>
              <w:t xml:space="preserve">Recomputed activations</w:t>
            </w:r>
          </w:p>
        </w:tc>
        <w:tc>
          <w:tcPr>
            <w:tcW w:w="2000" w:type="dxa"/>
          </w:tcPr>
          <w:p>
            <w:pPr>
              <w:pStyle w:val="BodyText"/>
              <w:spacing w:before="20" w:after="20"/>
              <w:jc w:val="left"/>
            </w:pPr>
            <w:r>
              <w:rPr>
                <w:sz w:val="20"/>
              </w:rPr>
              <w:t xml:space="preserve">1.0</w:t>
            </w:r>
          </w:p>
        </w:tc>
        <w:tc>
          <w:tcPr>
            <w:tcW w:w="2000" w:type="dxa"/>
          </w:tcPr>
          <w:p>
            <w:pPr>
              <w:pStyle w:val="BodyText"/>
              <w:spacing w:before="20" w:after="20"/>
              <w:jc w:val="left"/>
            </w:pPr>
            <w:r>
              <w:rPr>
                <w:sz w:val="20"/>
              </w:rPr>
              <w:t xml:space="preserve">1.0</w:t>
            </w:r>
          </w:p>
        </w:tc>
      </w:tr>
      <w:tr>
        <w:trPr>
          <w:cantSplit/>
        </w:trPr>
        <w:tc>
          <w:tcPr>
            <w:tcW w:w="4296" w:type="dxa"/>
          </w:tcPr>
          <w:p>
            <w:pPr>
              <w:pStyle w:val="BodyText"/>
              <w:spacing w:before="20" w:after="20"/>
              <w:jc w:val="left"/>
            </w:pPr>
            <w:r>
              <w:rPr>
                <w:sz w:val="20"/>
              </w:rPr>
              <w:t xml:space="preserve">Loss (fused)</w:t>
            </w:r>
          </w:p>
        </w:tc>
        <w:tc>
          <w:tcPr>
            <w:tcW w:w="2000" w:type="dxa"/>
          </w:tcPr>
          <w:p>
            <w:pPr>
              <w:pStyle w:val="BodyText"/>
              <w:spacing w:before="20" w:after="20"/>
              <w:jc w:val="left"/>
            </w:pPr>
            <w:r>
              <w:rPr>
                <w:sz w:val="20"/>
              </w:rPr>
              <w:t xml:space="preserve">0.5</w:t>
            </w:r>
          </w:p>
        </w:tc>
        <w:tc>
          <w:tcPr>
            <w:tcW w:w="2000" w:type="dxa"/>
          </w:tcPr>
          <w:p>
            <w:pPr>
              <w:pStyle w:val="BodyText"/>
              <w:spacing w:before="20" w:after="20"/>
              <w:jc w:val="left"/>
            </w:pPr>
            <w:r>
              <w:rPr>
                <w:sz w:val="20"/>
              </w:rPr>
              <w:t xml:space="preserve">0.5</w:t>
            </w:r>
          </w:p>
        </w:tc>
      </w:tr>
      <w:tr>
        <w:trPr>
          <w:cantSplit/>
        </w:trPr>
        <w:tc>
          <w:tcPr>
            <w:tcW w:w="4296" w:type="dxa"/>
          </w:tcPr>
          <w:p>
            <w:pPr>
              <w:pStyle w:val="BodyText"/>
              <w:spacing w:before="20" w:after="20"/>
              <w:jc w:val="left"/>
            </w:pPr>
            <w:r>
              <w:rPr>
                <w:sz w:val="20"/>
              </w:rPr>
              <w:t xml:space="preserve">Runtime allowance</w:t>
            </w:r>
          </w:p>
        </w:tc>
        <w:tc>
          <w:tcPr>
            <w:tcW w:w="2000" w:type="dxa"/>
          </w:tcPr>
          <w:p>
            <w:pPr>
              <w:pStyle w:val="BodyText"/>
              <w:spacing w:before="20" w:after="20"/>
              <w:jc w:val="left"/>
            </w:pPr>
            <w:r>
              <w:rPr>
                <w:sz w:val="20"/>
              </w:rPr>
              <w:t xml:space="preserve">2.0</w:t>
            </w:r>
          </w:p>
        </w:tc>
        <w:tc>
          <w:tcPr>
            <w:tcW w:w="2000" w:type="dxa"/>
          </w:tcPr>
          <w:p>
            <w:pPr>
              <w:pStyle w:val="BodyText"/>
              <w:spacing w:before="20" w:after="20"/>
              <w:jc w:val="left"/>
            </w:pPr>
            <w:r>
              <w:rPr>
                <w:sz w:val="20"/>
              </w:rPr>
              <w:t xml:space="preserve">2.0</w:t>
            </w:r>
          </w:p>
        </w:tc>
      </w:tr>
      <w:tr>
        <w:trPr>
          <w:cantSplit/>
        </w:trPr>
        <w:tc>
          <w:tcPr>
            <w:tcW w:w="4296" w:type="dxa"/>
          </w:tcPr>
          <w:p>
            <w:pPr>
              <w:pStyle w:val="BodyText"/>
              <w:spacing w:before="20" w:after="20"/>
              <w:jc w:val="left"/>
            </w:pPr>
            <w:r>
              <w:rPr>
                <w:b/>
                <w:sz w:val="20"/>
              </w:rPr>
              <w:t xml:space="preserve">Total, Unsloth</w:t>
            </w:r>
          </w:p>
        </w:tc>
        <w:tc>
          <w:tcPr>
            <w:tcW w:w="2000" w:type="dxa"/>
          </w:tcPr>
          <w:p>
            <w:pPr>
              <w:pStyle w:val="BodyText"/>
              <w:spacing w:before="20" w:after="20"/>
              <w:jc w:val="left"/>
            </w:pPr>
            <w:r>
              <w:rPr>
                <w:b/>
                <w:sz w:val="20"/>
              </w:rPr>
              <w:t xml:space="preserve">about 21</w:t>
            </w:r>
          </w:p>
        </w:tc>
        <w:tc>
          <w:tcPr>
            <w:tcW w:w="2000" w:type="dxa"/>
          </w:tcPr>
          <w:p>
            <w:pPr>
              <w:pStyle w:val="BodyText"/>
              <w:spacing w:before="20" w:after="20"/>
              <w:jc w:val="left"/>
            </w:pPr>
            <w:r>
              <w:rPr>
                <w:b/>
                <w:sz w:val="20"/>
              </w:rPr>
              <w:t xml:space="preserve">about 32</w:t>
            </w:r>
          </w:p>
        </w:tc>
      </w:tr>
      <w:tr>
        <w:trPr>
          <w:cantSplit/>
        </w:trPr>
        <w:tc>
          <w:tcPr>
            <w:tcW w:w="4296" w:type="dxa"/>
          </w:tcPr>
          <w:p>
            <w:pPr>
              <w:pStyle w:val="BodyText"/>
              <w:spacing w:before="20" w:after="20"/>
              <w:jc w:val="left"/>
            </w:pPr>
            <w:r>
              <w:rPr>
                <w:sz w:val="20"/>
              </w:rPr>
              <w:t xml:space="preserve">Total, plain PEFT</w:t>
            </w:r>
          </w:p>
        </w:tc>
        <w:tc>
          <w:tcPr>
            <w:tcW w:w="2000" w:type="dxa"/>
          </w:tcPr>
          <w:p>
            <w:pPr>
              <w:pStyle w:val="BodyText"/>
              <w:spacing w:before="20" w:after="20"/>
              <w:jc w:val="left"/>
            </w:pPr>
            <w:r>
              <w:rPr>
                <w:sz w:val="20"/>
              </w:rPr>
              <w:t xml:space="preserve">40 to 46</w:t>
            </w:r>
          </w:p>
        </w:tc>
        <w:tc>
          <w:tcPr>
            <w:tcW w:w="2000" w:type="dxa"/>
          </w:tcPr>
          <w:p>
            <w:pPr>
              <w:pStyle w:val="BodyT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r>
        <w:trPr>
          <w:cantSplit/>
        </w:trPr>
        <w:tc>
          <w:tcPr>
            <w:tcW w:w="4296" w:type="dxa"/>
          </w:tcPr>
          <w:p>
            <w:pPr>
              <w:pStyle w:val="BodyText"/>
              <w:spacing w:before="20" w:after="20"/>
              <w:jc w:val="left"/>
            </w:pPr>
            <w:r>
              <w:rPr>
                <w:sz w:val="20"/>
              </w:rPr>
              <w:t xml:space="preserve">Measured peak at 12,288 tokens</w:t>
            </w:r>
          </w:p>
        </w:tc>
        <w:tc>
          <w:tcPr>
            <w:tcW w:w="2000" w:type="dxa"/>
          </w:tcPr>
          <w:p>
            <w:pPr>
              <w:pStyle w:val="BodyText"/>
              <w:spacing w:before="20" w:after="20"/>
              <w:jc w:val="left"/>
            </w:pPr>
            <w:r>
              <w:rPr>
                <w:sz w:val="20"/>
              </w:rPr>
              <w:t xml:space="preserve">27.2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would reinforce its biases. Every row must carry its teacher's real reasoning, and the teacher must match or beat Qwen3.8-27B on the same-harness Vals AI board for that task. Each round takes 45% from test-passed bug-fix runs in TypeScript, Go, JavaScript and other non-Python repositories by DeepSeek V4-Flash-0731 </w:t>
      </w:r>
      <w:fldSimple w:instr=" REF _RefAnneal20 \r \h ">
        <w:r>
          <w:t xml:space="preserve">[20]</w:t>
        </w:r>
      </w:fldSimple>
      <w:r>
        <w:t xml:space="preserve">, which beats the base on LiveCodeBench, SWE-bench Verified and Terminal-Bench (87.3, 88.8 and 67.0 against 84.0, 86.0 and 58.4 </w:t>
      </w:r>
      <w:fldSimple w:instr=" REF _RefAnneal27 \r \h ">
        <w:r>
          <w:t xml:space="preserve">[27]</w:t>
        </w:r>
      </w:fldSimple>
      <w:r>
        <w:t xml:space="preserve">, </w:t>
      </w:r>
      <w:fldSimple w:instr=" REF _RefAnneal28 \r \h ">
        <w:r>
          <w:t xml:space="preserve">[28]</w:t>
        </w:r>
      </w:fldSimple>
      <w:r>
        <w:t xml:space="preserve">, </w:t>
      </w:r>
      <w:fldSimple w:instr=" REF _RefAnneal29 \r \h ">
        <w:r>
          <w:t xml:space="preserve">[29]</w:t>
        </w:r>
      </w:fldSimple>
      <w:r>
        <w:t xml:space="preserve">); 30% from test-passed Linux terminal runs by GLM-5.3 </w:t>
      </w:r>
      <w:fldSimple w:instr=" REF _RefAnneal21 \r \h ">
        <w:r>
          <w:t xml:space="preserve">[21]</w:t>
        </w:r>
      </w:fldSimple>
      <w:r>
        <w:t xml:space="preserve"> (Terminal-Bench 71.5); and 25% from DeepSeek-V4-Pro coding answers </w:t>
      </w:r>
      <w:fldSimple w:instr=" REF _RefAnneal22 \r \h ">
        <w:r>
          <w:t xml:space="preserve">[22]</w:t>
        </w:r>
      </w:fldSimple>
      <w:r>
        <w:t xml:space="preserve">, </w:t>
      </w:r>
      <w:fldSimple w:instr=" REF _RefAnneal23 \r \h ">
        <w:r>
          <w:t xml:space="preserve">[23]</w:t>
        </w:r>
      </w:fldSimple>
      <w:r>
        <w:t xml:space="preserve">, a teacher ahead only on LiveCodeBench (87.5). Rows using Python, and maths </w:t>
      </w:r>
      <w:fldSimple w:instr=" REF _RefAnneal30 \r \h ">
        <w:r>
          <w:t xml:space="preserve">[30]</w:t>
        </w:r>
      </w:fldSimple>
      <w:r>
        <w:t xml:space="preserve">, wait until these run out.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over-length rows and removes near-duplicates of evaluation prompts. An embedding search on the otherwise idle NPU also flags reworded copies, which n-gram checks miss </w:t>
      </w:r>
      <w:fldSimple w:instr=" REF _RefAnneal31 \r \h ">
        <w:r>
          <w:t xml:space="preserve">[31]</w:t>
        </w:r>
      </w:fldSimple>
      <w:r>
        <w:t xml:space="preserve">; in the first pools it flagged 33 of 15,276 rows without measurably slowing training.</w:t>
      </w:r>
    </w:p>
    <w:p>
      <w:pPr>
        <w:pStyle w:val="BodyText"/>
      </w:pPr>
      <w:r>
        <w:t xml:space="preserve">The first run, round 0, is a comparison run using the model's own rows: 500 base-model answers to OpenCodeInstruct </w:t>
      </w:r>
      <w:fldSimple w:instr=" REF _RefAnneal32 \r \h ">
        <w:r>
          <w:t xml:space="preserve">[32]</w:t>
        </w:r>
      </w:fldSimple>
      <w:r>
        <w:t xml:space="preserve"> prompts that passed their tests, as in ReST-EM </w:t>
      </w:r>
      <w:fldSimple w:instr=" REF _RefAnneal33 \r \h ">
        <w:r>
          <w:t xml:space="preserve">[33]</w:t>
        </w:r>
      </w:fldSimple>
      <w:r>
        <w:t xml:space="preserve">, plus 1,500 OpenCodeReasoning rows, whose DeepSeek-R1 teacher scores only 63.5 on LiveCodeBench </w:t>
      </w:r>
      <w:fldSimple w:instr=" REF _RefAnneal34 \r \h ">
        <w:r>
          <w:t xml:space="preserve">[34]</w:t>
        </w:r>
      </w:fldSimple>
      <w:r>
        <w:t xml:space="preserve">. Traces hitting the 6,144-token budget were rejected, so kept traces are short (median 436 tokens). Model-written code runs in a Windows AppContainer sandbox without network, file or administrator access, which passed 264 escape checks.</w:t>
      </w:r>
    </w:p>
    <w:p>
      <w:pPr>
        <w:pStyle w:val="Heading2"/>
      </w:pPr>
      <w:r>
        <w:t xml:space="preserve">Training</w:t>
      </w:r>
    </w:p>
    <w:p>
      <w:pPr>
        <w:pStyle w:val="BodyFirst"/>
      </w:pPr>
      <w:r>
        <w:t xml:space="preserve">Training runs as an unattended keep-if-better loop. Round 1 starts from the base model, never the first-run adapter; each later round continues the best adapter on 1,000 new rows plus 25% replayed from earlier rows, re-warming and decaying the learning rate, which in continual pre-training matched retraining on all data </w:t>
      </w:r>
      <w:fldSimple w:instr=" REF _RefAnneal35 \r \h ">
        <w:r>
          <w:t xml:space="preserve">[35]</w:t>
        </w:r>
      </w:fldSimple>
      <w:r>
        <w:t xml:space="preserve">. Each round is scored on a held-out gate of 495 decontaminated CodeContests </w:t>
      </w:r>
      <w:fldSimple w:instr=" REF _RefAnneal36 \r \h ">
        <w:r>
          <w:t xml:space="preserve">[36]</w:t>
        </w:r>
      </w:fldSimple>
      <w:r>
        <w:t xml:space="preserve"> items, never trained on or reported: write a program in C++, Java, Go, Rust, JavaScript or TypeScript (286), or fix a wrong C++ or Java submission (209), each run on up to 30 tests. A round is kept if a one-sided exact sign test against the best adapter gives p ≤ 0.05, or if its score is no lower and its loss falls on significantly more of 177 held-out bug-fix steps than it rises, since contest items cannot see what bug-fix rows teach. Either way, neither part nor 100 MMLU-Pro </w:t>
      </w:r>
      <w:fldSimple w:instr=" REF _RefAnneal37 \r \h ">
        <w:r>
          <w:t xml:space="preserve">[37]</w:t>
        </w:r>
      </w:fldSimple>
      <w:r>
        <w:t xml:space="preserve"> questions outside computing may drop by over 5 points or significantly, and a fresh-seed re-score becomes the new reference. Unless its loss is clearly lower, a round stops, rejected, after a random third of the items if not ahead of the best; in simulation this cut the test time of non-improving rounds by a third for 5 to 7% fewer real keeps. A rejected round's rows roll into the next attempt, up to 3,000 new rows, because a real 2-point gain passes the gate only 24 to 44% of the time (power calculation, first gate). EvalPlus, scored only on kept adapters, never selects them.</w:t>
      </w:r>
    </w:p>
    <w:p>
      <w:pPr>
        <w:pStyle w:val="BodyText"/>
      </w:pPr>
      <w:r>
        <w:rPr>
          <w:rFonts w:ascii="Consolas" w:hAnsi="Consolas" w:cs="Consolas"/>
          <w:sz w:val="19"/>
        </w:rPr>
        <w:t xml:space="preserve">train_longrun.py</w:t>
      </w:r>
      <w:r>
        <w:t xml:space="preserve"> uses a warmup-stable-decay schedule </w:t>
      </w:r>
      <w:fldSimple w:instr=" REF _RefAnneal38 \r \h ">
        <w:r>
          <w:t xml:space="preserve">[38]</w:t>
        </w:r>
      </w:fldSimple>
      <w:r>
        <w:t xml:space="preserve"> (20 warm-up steps, decay over the last 20%). To survive crashes and updates over months, it saves every 10 steps, resumes when the same command is re-run, and refuses to resume if the training file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pPr>
      <w:r>
        <w:t xml:space="preserve">Small test fixtures caught four silent bugs, all fixed, including a unit-test filter that passed every answer and targets that missed the 48 DeltaNet layers' projections.</w:t>
      </w:r>
    </w:p>
    <w:p>
      <w:pPr>
        <w:pStyle w:val="Heading2"/>
      </w:pPr>
      <w:r>
        <w:t xml:space="preserve">Bring-up and First Run</w:t>
      </w:r>
    </w:p>
    <w:p>
      <w:pPr>
        <w:pStyle w:val="BodyFirst"/>
      </w:pPr>
      <w:r>
        <w:t xml:space="preserve">Bring-up and the first run raised the issues in Table 3. The run trained on 7.40 million tokens at about 100 tokens per second, and held-out loss fell from 0.593 to 0.498, yet scores did not rise. Over all 542 EvalPlus problems with extra tests the base scored 86.2% and the adapter 85.4% (−0.7 points, 95% CI −2.6 to +1.1, p = 0.57); HumanEval+ rose 1.8 points and MBPP+ fell 1.9, neither significant, and leaving out five unreliable or overlapping problems changes nothing. The adapter learned its data without improving, consistent with a teacher weaker than the base, though one answer per problem cannot separate the two sources.</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Calibration chose four parallel requests without multi-token prediction (MTP) for throughput; a 542-problem pass takes 10 to 12 hours.</w:t>
      </w:r>
    </w:p>
    <w:p>
      <w:pPr>
        <w:pStyle w:val="BodyText"/>
      </w:pPr>
      <w:r>
        <w:t xml:space="preserve">The adapter is converted alone to GGUF and loaded over the same base, avoiding a 55 GB merged model. Trained against NF4 but served over Q4_K_M, a smoke-test adapter gave matching losses (0.756 in training, 0.728 in llama.cpp, 96% top-1 agreement),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Speed and memory were measured only at rank 16. One gate pass takes about two days, which limits how many rounds fit. With 20 to 50 personal tasks, confidence intervals will be wide. HumanEval+ and MBPP+ are Python-only, while the loop trains mostly on other languages, so EvalPlus may understate gains that the gate measures. Round 0 showed that a correctly working pipeline can still fail to improve a strong base.</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so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12,288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of every round; EvalPlus (one seed) for each kept adapter; ablations and the paired round</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With one seed, round 0's 95% interval spanned 3.7 points; three seeds narrow it.</w:t>
      </w:r>
    </w:p>
    <w:p>
      <w:pPr>
        <w:pStyle w:val="BodyText"/>
      </w:pPr>
      <w:r>
        <w:rPr>
          <w:b/>
        </w:rPr>
        <w:t xml:space="preserve">Data scaling.</w:t>
      </w:r>
      <w:r>
        <w:t xml:space="preserve"> Published results suggest small, flattening gains: supervised fine-tuning gains are log-linear in data and smaller for stronger models </w:t>
      </w:r>
      <w:fldSimple w:instr=" REF _RefAnneal39 \r \h ">
        <w:r>
          <w:t xml:space="preserve">[39]</w:t>
        </w:r>
      </w:fldSimple>
      <w:r>
        <w:t xml:space="preserve">, and LoRA learns less than full fine-tuning and forgets more the longer it trains </w:t>
      </w:r>
      <w:fldSimple w:instr=" REF _RefAnneal8 \r \h ">
        <w:r>
          <w:t xml:space="preserve">[8]</w:t>
        </w:r>
      </w:fldSimple>
      <w:r>
        <w:t xml:space="preserve">. Round 0, three-quarters from a weaker teacher, showed no clear gain, and many rounds may be rejected; a flat curve is still a result.</w:t>
      </w:r>
    </w:p>
    <w:p>
      <w:pPr>
        <w:pStyle w:val="BodyText"/>
      </w:pPr>
      <w:r>
        <w:rPr>
          <w:b/>
        </w:rPr>
        <w:t xml:space="preserve">Ablations.</w:t>
      </w:r>
      <w:r>
        <w:t xml:space="preserve"> One loop round tests A1 rank and A2 DeltaNet targets together: rank 64 on every projection (435M trainable parameters against 80M), retrained from the base on all kept rows. A paired round retrains a kept adapter's rows from the base, comparing continuing with replay against retraining. Separate 1,000-row runs cover A3 example length (4,096, 8,192), A4 long examples or trainable normalisation if a kept adapter fails O4, and A5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also checked against these problems.</w:t>
      </w:r>
    </w:p>
    <w:p>
      <w:pPr>
        <w:pStyle w:val="Heading1"/>
      </w:pPr>
      <w:r>
        <w:t xml:space="preserve">Project Plan</w:t>
      </w:r>
    </w:p>
    <w:p>
      <w:pPr>
        <w:pStyle w:val="BodyFirst"/>
      </w:pPr>
      <w:r>
        <w:t xml:space="preserve">Round 0 is scored (Section 3.4), and the loop starts from the base model. Of about 136 usable machine days from November to March, roughly 15 go to ablations and 20 to evaluation; loop rounds use the rest.</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trained and scored against the base: no significant change. Six-language gate built; test longer rows; start the loop.</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 A3,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A5.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NVIDIA, "Open-SWE-Traces," Hugging Face dataset card, 2026. </w:t>
      </w:r>
      <w:r>
        <w:t xml:space="preserve">[Online]. Available: </w:t>
      </w:r>
      <w:hyperlink r:id="rId41">
        <w:r>
          <w:rPr>
            <w:color w:val="0563C1"/>
            <w:u w:val="single"/>
          </w:rPr>
          <w:t xml:space="preserve">https://huggingface.co/datasets/nvidia/Open-SWE-Traces</w:t>
        </w:r>
      </w:hyperlink>
      <w:r>
        <w:t xml:space="preserve"> (accessed Oct. 21, 2026).</w:t>
      </w:r>
      <w:bookmarkEnd w:id="920"/>
    </w:p>
    <w:p>
      <w:pPr>
        <w:pStyle w:val="Reference"/>
        <w:tabs>
          <w:tab w:val="clear" w:pos="426"/>
          <w:tab w:val="num" w:pos="567"/>
        </w:tabs>
        <w:ind w:left="567" w:hanging="567"/>
        <w:jc w:val="left"/>
      </w:pPr>
      <w:bookmarkStart w:id="921" w:name="_RefAnneal21"/>
      <w:r>
        <w:t xml:space="preserve">Open Athena, "recursive-task-synthesis-glm-5.3-rollouts," Hugging Face dataset card, 2026. </w:t>
      </w:r>
      <w:r>
        <w:t xml:space="preserve">[Online]. Available: </w:t>
      </w:r>
      <w:hyperlink r:id="rId42">
        <w:r>
          <w:rPr>
            <w:color w:val="0563C1"/>
            <w:u w:val="single"/>
          </w:rPr>
          <w:t xml:space="preserve">https://huggingface.co/datasets/open-athena/recursive-task-synthesis-glm-5.3-rollouts</w:t>
        </w:r>
      </w:hyperlink>
      <w:r>
        <w:t xml:space="preserve"> (accessed Oct. 21, 2026).</w:t>
      </w:r>
      <w:bookmarkEnd w:id="921"/>
    </w:p>
    <w:p>
      <w:pPr>
        <w:pStyle w:val="Reference"/>
        <w:tabs>
          <w:tab w:val="clear" w:pos="426"/>
          <w:tab w:val="num" w:pos="567"/>
        </w:tabs>
        <w:ind w:left="567" w:hanging="567"/>
        <w:jc w:val="left"/>
      </w:pPr>
      <w:bookmarkStart w:id="922" w:name="_RefAnneal22"/>
      <w:r>
        <w:t xml:space="preserve">sequelbox, "Tachibana4-DeepSeek-V4-Pro," Hugging Face dataset card, 2026. </w:t>
      </w:r>
      <w:r>
        <w:t xml:space="preserve">[Online]. Available: </w:t>
      </w:r>
      <w:hyperlink r:id="rId43">
        <w:r>
          <w:rPr>
            <w:color w:val="0563C1"/>
            <w:u w:val="single"/>
          </w:rPr>
          <w:t xml:space="preserve">https://huggingface.co/datasets/sequelbox/Tachibana4-DeepSeek-V4-Pro</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Banaxi-Tech, "Deepseek-V4-Reasoning-Code-2500," Hugging Face dataset card, 2026. </w:t>
      </w:r>
      <w:r>
        <w:t xml:space="preserve">[Online]. Available: </w:t>
      </w:r>
      <w:hyperlink r:id="rId44">
        <w:r>
          <w:rPr>
            <w:color w:val="0563C1"/>
            <w:u w:val="single"/>
          </w:rPr>
          <w:t xml:space="preserve">https://huggingface.co/datasets/Banaxi-Tech/Deepseek-V4-Reasoning-Code-2500</w:t>
        </w:r>
      </w:hyperlink>
      <w:r>
        <w:t xml:space="preserve"> (accessed Oct. 17, 2026).</w:t>
      </w:r>
      <w:bookmarkEnd w:id="923"/>
    </w:p>
    <w:p>
      <w:pPr>
        <w:pStyle w:val="Reference"/>
        <w:tabs>
          <w:tab w:val="clear" w:pos="426"/>
          <w:tab w:val="num" w:pos="567"/>
        </w:tabs>
        <w:ind w:left="567" w:hanging="567"/>
        <w:jc w:val="left"/>
      </w:pPr>
      <w:bookmarkStart w:id="924" w:name="_RefAnneal24"/>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5">
        <w:r>
          <w:rPr>
            <w:color w:val="0563C1"/>
            <w:u w:val="single"/>
          </w:rPr>
          <w:t xml:space="preserve">https://arxiv.org/abs/2504.01943</w:t>
        </w:r>
      </w:hyperlink>
      <w:bookmarkEnd w:id="924"/>
    </w:p>
    <w:p>
      <w:pPr>
        <w:pStyle w:val="Reference"/>
        <w:tabs>
          <w:tab w:val="clear" w:pos="426"/>
          <w:tab w:val="num" w:pos="567"/>
        </w:tabs>
        <w:ind w:left="567" w:hanging="567"/>
        <w:jc w:val="left"/>
      </w:pPr>
      <w:bookmarkStart w:id="925" w:name="_RefAnneal25"/>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6">
        <w:r>
          <w:rPr>
            <w:color w:val="0563C1"/>
            <w:u w:val="single"/>
          </w:rPr>
          <w:t xml:space="preserve">https://proceedings.mlr.press/v267/pan25g.html</w:t>
        </w:r>
      </w:hyperlink>
      <w:bookmarkEnd w:id="925"/>
    </w:p>
    <w:p>
      <w:pPr>
        <w:pStyle w:val="Reference"/>
        <w:tabs>
          <w:tab w:val="clear" w:pos="426"/>
          <w:tab w:val="num" w:pos="567"/>
        </w:tabs>
        <w:ind w:left="567" w:hanging="567"/>
        <w:jc w:val="left"/>
      </w:pPr>
      <w:bookmarkStart w:id="926" w:name="_RefAnneal26"/>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7">
        <w:r>
          <w:rPr>
            <w:color w:val="0563C1"/>
            <w:u w:val="single"/>
          </w:rPr>
          <w:t xml:space="preserve">https://arxiv.org/abs/2411.09009</w:t>
        </w:r>
      </w:hyperlink>
      <w:bookmarkEnd w:id="926"/>
    </w:p>
    <w:p>
      <w:pPr>
        <w:pStyle w:val="Reference"/>
        <w:tabs>
          <w:tab w:val="clear" w:pos="426"/>
          <w:tab w:val="num" w:pos="567"/>
        </w:tabs>
        <w:ind w:left="567" w:hanging="567"/>
        <w:jc w:val="left"/>
      </w:pPr>
      <w:bookmarkStart w:id="927" w:name="_RefAnneal27"/>
      <w:r>
        <w:t xml:space="preserve">Vals AI, "LiveCodeBench leaderboard," 2026. </w:t>
      </w:r>
      <w:r>
        <w:t xml:space="preserve">[Online]. Available: </w:t>
      </w:r>
      <w:hyperlink r:id="rId48">
        <w:r>
          <w:rPr>
            <w:color w:val="0563C1"/>
            <w:u w:val="single"/>
          </w:rPr>
          <w:t xml:space="preserve">https://www.vals.ai/benchmarks/lcb</w:t>
        </w:r>
      </w:hyperlink>
      <w:r>
        <w:t xml:space="preserve"> (accessed Oct. 21, 2026).</w:t>
      </w:r>
      <w:bookmarkEnd w:id="927"/>
    </w:p>
    <w:p>
      <w:pPr>
        <w:pStyle w:val="Reference"/>
        <w:tabs>
          <w:tab w:val="clear" w:pos="426"/>
          <w:tab w:val="num" w:pos="567"/>
        </w:tabs>
        <w:ind w:left="567" w:hanging="567"/>
        <w:jc w:val="left"/>
      </w:pPr>
      <w:bookmarkStart w:id="928" w:name="_RefAnneal28"/>
      <w:r>
        <w:t xml:space="preserve">Vals AI, "SWE-bench Verified leaderboard," 2026. </w:t>
      </w:r>
      <w:r>
        <w:t xml:space="preserve">[Online]. Available: </w:t>
      </w:r>
      <w:hyperlink r:id="rId49">
        <w:r>
          <w:rPr>
            <w:color w:val="0563C1"/>
            <w:u w:val="single"/>
          </w:rPr>
          <w:t xml:space="preserve">https://www.vals.ai/benchmarks/swebench</w:t>
        </w:r>
      </w:hyperlink>
      <w:r>
        <w:t xml:space="preserve"> (accessed Oct. 21, 2026).</w:t>
      </w:r>
      <w:bookmarkEnd w:id="928"/>
    </w:p>
    <w:p>
      <w:pPr>
        <w:pStyle w:val="Reference"/>
        <w:tabs>
          <w:tab w:val="clear" w:pos="426"/>
          <w:tab w:val="num" w:pos="567"/>
        </w:tabs>
        <w:ind w:left="567" w:hanging="567"/>
        <w:jc w:val="left"/>
      </w:pPr>
      <w:bookmarkStart w:id="929" w:name="_RefAnneal29"/>
      <w:r>
        <w:t xml:space="preserve">Vals AI, "Terminal-Bench 2.1 leaderboard," 2026. </w:t>
      </w:r>
      <w:r>
        <w:t xml:space="preserve">[Online]. Available: </w:t>
      </w:r>
      <w:hyperlink r:id="rId50">
        <w:r>
          <w:rPr>
            <w:color w:val="0563C1"/>
            <w:u w:val="single"/>
          </w:rPr>
          <w:t xml:space="preserve">https://www.vals.ai/benchmarks/terminal-bench-2-1</w:t>
        </w:r>
      </w:hyperlink>
      <w:r>
        <w:t xml:space="preserve"> (accessed Oct. 21, 2026).</w:t>
      </w:r>
      <w:bookmarkEnd w:id="929"/>
    </w:p>
    <w:p>
      <w:pPr>
        <w:pStyle w:val="Reference"/>
        <w:tabs>
          <w:tab w:val="clear" w:pos="426"/>
          <w:tab w:val="num" w:pos="567"/>
        </w:tabs>
        <w:ind w:left="567" w:hanging="567"/>
        <w:jc w:val="left"/>
      </w:pPr>
      <w:bookmarkStart w:id="930" w:name="_RefAnneal30"/>
      <w:r>
        <w:t xml:space="preserve">NVIDIA, "Nemotron-SFT-Math-v4," Hugging Face dataset card, 2026. </w:t>
      </w:r>
      <w:r>
        <w:t xml:space="preserve">[Online]. Available: </w:t>
      </w:r>
      <w:hyperlink r:id="rId51">
        <w:r>
          <w:rPr>
            <w:color w:val="0563C1"/>
            <w:u w:val="single"/>
          </w:rPr>
          <w:t xml:space="preserve">https://huggingface.co/datasets/nvidia/Nemotron-SFT-Math-v4</w:t>
        </w:r>
      </w:hyperlink>
      <w:r>
        <w:t xml:space="preserve"> (accessed Oct. 17, 2026).</w:t>
      </w:r>
      <w:bookmarkEnd w:id="930"/>
    </w:p>
    <w:p>
      <w:pPr>
        <w:pStyle w:val="Reference"/>
        <w:tabs>
          <w:tab w:val="clear" w:pos="426"/>
          <w:tab w:val="num" w:pos="567"/>
        </w:tabs>
        <w:ind w:left="567" w:hanging="567"/>
        <w:jc w:val="left"/>
      </w:pPr>
      <w:bookmarkStart w:id="931" w:name="_RefAnneal31"/>
      <w:r>
        <w:t xml:space="preserve">S. Yang, W.-L. Chiang, L. Zheng, J. E. Gonzalez, and I. Stoica, "Rethinking benchmark and contamination for language models with rephrased samples," arXiv preprint arXiv:2311.04850, 2023. </w:t>
      </w:r>
      <w:r>
        <w:t xml:space="preserve">[Online]. Available: </w:t>
      </w:r>
      <w:hyperlink r:id="rId52">
        <w:r>
          <w:rPr>
            <w:color w:val="0563C1"/>
            <w:u w:val="single"/>
          </w:rPr>
          <w:t xml:space="preserve">https://arxiv.org/abs/2311.04850</w:t>
        </w:r>
      </w:hyperlink>
      <w:bookmarkEnd w:id="931"/>
    </w:p>
    <w:p>
      <w:pPr>
        <w:pStyle w:val="Reference"/>
        <w:tabs>
          <w:tab w:val="clear" w:pos="426"/>
          <w:tab w:val="num" w:pos="567"/>
        </w:tabs>
        <w:ind w:left="567" w:hanging="567"/>
        <w:jc w:val="left"/>
      </w:pPr>
      <w:bookmarkStart w:id="932" w:name="_RefAnneal32"/>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53">
        <w:r>
          <w:rPr>
            <w:color w:val="0563C1"/>
            <w:u w:val="single"/>
          </w:rPr>
          <w:t xml:space="preserve">https://arxiv.org/abs/2504.04030</w:t>
        </w:r>
      </w:hyperlink>
      <w:bookmarkEnd w:id="932"/>
    </w:p>
    <w:p>
      <w:pPr>
        <w:pStyle w:val="Reference"/>
        <w:tabs>
          <w:tab w:val="clear" w:pos="426"/>
          <w:tab w:val="num" w:pos="567"/>
        </w:tabs>
        <w:ind w:left="567" w:hanging="567"/>
        <w:jc w:val="left"/>
      </w:pPr>
      <w:bookmarkStart w:id="933" w:name="_RefAnneal33"/>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4">
        <w:r>
          <w:rPr>
            <w:color w:val="0563C1"/>
            <w:u w:val="single"/>
          </w:rPr>
          <w:t xml:space="preserve">https://arxiv.org/abs/2312.06585</w:t>
        </w:r>
      </w:hyperlink>
      <w:bookmarkEnd w:id="933"/>
    </w:p>
    <w:p>
      <w:pPr>
        <w:pStyle w:val="Reference"/>
        <w:tabs>
          <w:tab w:val="clear" w:pos="426"/>
          <w:tab w:val="num" w:pos="567"/>
        </w:tabs>
        <w:ind w:left="567" w:hanging="567"/>
        <w:jc w:val="left"/>
      </w:pPr>
      <w:bookmarkStart w:id="934" w:name="_RefAnneal34"/>
      <w:r>
        <w:t xml:space="preserve">DeepSeek-AI, "DeepSeek-R1-0528," Hugging Face model card, 2025. </w:t>
      </w:r>
      <w:r>
        <w:t xml:space="preserve">[Online]. Available: </w:t>
      </w:r>
      <w:hyperlink r:id="rId55">
        <w:r>
          <w:rPr>
            <w:color w:val="0563C1"/>
            <w:u w:val="single"/>
          </w:rPr>
          <w:t xml:space="preserve">https://huggingface.co/deepseek-ai/DeepSeek-R1-0528</w:t>
        </w:r>
      </w:hyperlink>
      <w:r>
        <w:t xml:space="preserve"> (accessed Oct. 17, 2026).</w:t>
      </w:r>
      <w:bookmarkEnd w:id="934"/>
    </w:p>
    <w:p>
      <w:pPr>
        <w:pStyle w:val="Reference"/>
        <w:tabs>
          <w:tab w:val="clear" w:pos="426"/>
          <w:tab w:val="num" w:pos="567"/>
        </w:tabs>
        <w:ind w:left="567" w:hanging="567"/>
        <w:jc w:val="left"/>
      </w:pPr>
      <w:bookmarkStart w:id="935" w:name="_RefAnneal35"/>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6">
        <w:r>
          <w:rPr>
            <w:color w:val="0563C1"/>
            <w:u w:val="single"/>
          </w:rPr>
          <w:t xml:space="preserve">https://arxiv.org/abs/2403.08763</w:t>
        </w:r>
      </w:hyperlink>
      <w:bookmarkEnd w:id="935"/>
    </w:p>
    <w:p>
      <w:pPr>
        <w:pStyle w:val="Reference"/>
        <w:tabs>
          <w:tab w:val="clear" w:pos="426"/>
          <w:tab w:val="num" w:pos="567"/>
        </w:tabs>
        <w:ind w:left="567" w:hanging="567"/>
        <w:jc w:val="left"/>
      </w:pPr>
      <w:bookmarkStart w:id="936" w:name="_RefAnneal36"/>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7">
        <w:r>
          <w:rPr>
            <w:color w:val="0563C1"/>
            <w:u w:val="single"/>
          </w:rPr>
          <w:t xml:space="preserve">https://arxiv.org/abs/2203.07814</w:t>
        </w:r>
      </w:hyperlink>
      <w:bookmarkEnd w:id="936"/>
    </w:p>
    <w:p>
      <w:pPr>
        <w:pStyle w:val="Reference"/>
        <w:tabs>
          <w:tab w:val="clear" w:pos="426"/>
          <w:tab w:val="num" w:pos="567"/>
        </w:tabs>
        <w:ind w:left="567" w:hanging="567"/>
        <w:jc w:val="left"/>
      </w:pPr>
      <w:bookmarkStart w:id="937" w:name="_RefAnneal37"/>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8">
        <w:r>
          <w:rPr>
            <w:color w:val="0563C1"/>
            <w:u w:val="single"/>
          </w:rPr>
          <w:t xml:space="preserve">https://arxiv.org/abs/2406.01574</w:t>
        </w:r>
      </w:hyperlink>
      <w:bookmarkEnd w:id="937"/>
    </w:p>
    <w:p>
      <w:pPr>
        <w:pStyle w:val="Reference"/>
        <w:tabs>
          <w:tab w:val="clear" w:pos="426"/>
          <w:tab w:val="num" w:pos="567"/>
        </w:tabs>
        <w:ind w:left="567" w:hanging="567"/>
        <w:jc w:val="left"/>
      </w:pPr>
      <w:bookmarkStart w:id="938" w:name="_RefAnneal38"/>
      <w:r>
        <w:t xml:space="preserve">A. Hägele, E. Bakouch, A. Kosson, L. Ben Allal, L. Von Werra, and M. Jaggi, "Scaling laws and compute-optimal training beyond fixed training durations," arXiv preprint arXiv:2405.18392, 2024. </w:t>
      </w:r>
      <w:r>
        <w:t xml:space="preserve">[Online]. Available: </w:t>
      </w:r>
      <w:hyperlink r:id="rId59">
        <w:r>
          <w:rPr>
            <w:color w:val="0563C1"/>
            <w:u w:val="single"/>
          </w:rPr>
          <w:t xml:space="preserve">https://arxiv.org/abs/2405.18392</w:t>
        </w:r>
      </w:hyperlink>
      <w:bookmarkEnd w:id="938"/>
    </w:p>
    <w:p>
      <w:pPr>
        <w:pStyle w:val="Reference"/>
        <w:tabs>
          <w:tab w:val="clear" w:pos="426"/>
          <w:tab w:val="num" w:pos="567"/>
        </w:tabs>
        <w:ind w:left="567" w:hanging="567"/>
        <w:jc w:val="left"/>
      </w:pPr>
      <w:bookmarkStart w:id="939" w:name="_RefAnneal39"/>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60">
        <w:r>
          <w:rPr>
            <w:color w:val="0563C1"/>
            <w:u w:val="single"/>
          </w:rPr>
          <w:t xml:space="preserve">https://arxiv.org/abs/2308.01825</w:t>
        </w:r>
      </w:hyperlink>
      <w:bookmarkEnd w:id="939"/>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nvidia/Open-SWE-Traces" TargetMode="External"/><Relationship Id="rId42" Type="http://schemas.openxmlformats.org/officeDocument/2006/relationships/hyperlink" Target="https://huggingface.co/datasets/open-athena/recursive-task-synthesis-glm-5.3-rollouts" TargetMode="External"/><Relationship Id="rId43" Type="http://schemas.openxmlformats.org/officeDocument/2006/relationships/hyperlink" Target="https://huggingface.co/datasets/sequelbox/Tachibana4-DeepSeek-V4-Pro" TargetMode="External"/><Relationship Id="rId44" Type="http://schemas.openxmlformats.org/officeDocument/2006/relationships/hyperlink" Target="https://huggingface.co/datasets/Banaxi-Tech/Deepseek-V4-Reasoning-Code-2500" TargetMode="External"/><Relationship Id="rId45" Type="http://schemas.openxmlformats.org/officeDocument/2006/relationships/hyperlink" Target="https://arxiv.org/abs/2504.01943" TargetMode="External"/><Relationship Id="rId46" Type="http://schemas.openxmlformats.org/officeDocument/2006/relationships/hyperlink" Target="https://proceedings.mlr.press/v267/pan25g.html" TargetMode="External"/><Relationship Id="rId47" Type="http://schemas.openxmlformats.org/officeDocument/2006/relationships/hyperlink" Target="https://arxiv.org/abs/2411.09009" TargetMode="External"/><Relationship Id="rId48" Type="http://schemas.openxmlformats.org/officeDocument/2006/relationships/hyperlink" Target="https://www.vals.ai/benchmarks/lcb" TargetMode="External"/><Relationship Id="rId49" Type="http://schemas.openxmlformats.org/officeDocument/2006/relationships/hyperlink" Target="https://www.vals.ai/benchmarks/swebench" TargetMode="External"/><Relationship Id="rId50" Type="http://schemas.openxmlformats.org/officeDocument/2006/relationships/hyperlink" Target="https://www.vals.ai/benchmarks/terminal-bench-2-1" TargetMode="External"/><Relationship Id="rId51" Type="http://schemas.openxmlformats.org/officeDocument/2006/relationships/hyperlink" Target="https://huggingface.co/datasets/nvidia/Nemotron-SFT-Math-v4" TargetMode="External"/><Relationship Id="rId52" Type="http://schemas.openxmlformats.org/officeDocument/2006/relationships/hyperlink" Target="https://arxiv.org/abs/2311.04850" TargetMode="External"/><Relationship Id="rId53" Type="http://schemas.openxmlformats.org/officeDocument/2006/relationships/hyperlink" Target="https://arxiv.org/abs/2504.04030" TargetMode="External"/><Relationship Id="rId54" Type="http://schemas.openxmlformats.org/officeDocument/2006/relationships/hyperlink" Target="https://arxiv.org/abs/2312.06585" TargetMode="External"/><Relationship Id="rId55" Type="http://schemas.openxmlformats.org/officeDocument/2006/relationships/hyperlink" Target="https://huggingface.co/deepseek-ai/DeepSeek-R1-0528" TargetMode="External"/><Relationship Id="rId56" Type="http://schemas.openxmlformats.org/officeDocument/2006/relationships/hyperlink" Target="https://arxiv.org/abs/2403.08763" TargetMode="External"/><Relationship Id="rId57" Type="http://schemas.openxmlformats.org/officeDocument/2006/relationships/hyperlink" Target="https://arxiv.org/abs/2203.07814" TargetMode="External"/><Relationship Id="rId58" Type="http://schemas.openxmlformats.org/officeDocument/2006/relationships/hyperlink" Target="https://arxiv.org/abs/2406.01574" TargetMode="External"/><Relationship Id="rId59" Type="http://schemas.openxmlformats.org/officeDocument/2006/relationships/hyperlink" Target="https://arxiv.org/abs/2405.18392" TargetMode="External"/><Relationship Id="rId60"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2026-10-21T19:01:07Z</dcterms:modified>
</cp:coreProperties>
</file>