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sets with and without traces; self-generated traces; SWE-Gym</w:t>
            </w:r>
          </w:p>
        </w:tc>
        <w:tc>
          <w:tcPr>
            <w:tcW w:w="3996" w:type="dxa"/>
          </w:tcPr>
          <w:p>
            <w:pPr>
              <w:pStyle w:val="BodyText"/>
              <w:keepNext/>
              <w:spacing w:before="20" w:after="20"/>
              <w:jc w:val="left"/>
            </w:pPr>
            <w:r>
              <w:rPr>
                <w:sz w:val="20"/>
              </w:rPr>
              <w:t xml:space="preserve">OpenCodeReasoning </w:t>
            </w:r>
            <w:fldSimple w:instr=" REF _RefAnneal20 \r \h ">
              <w:r>
                <w:rPr>
                  <w:sz w:val="20"/>
                </w:rPr>
                <w:t xml:space="preserve">[20]</w:t>
              </w:r>
            </w:fldSimple>
            <w:r>
              <w:rPr>
                <w:sz w:val="20"/>
              </w:rPr>
              <w:t xml:space="preserve"> (CC-BY-4.0) and, if enough fit, public agent-session steps </w:t>
            </w:r>
            <w:fldSimple w:instr=" REF _RefAnneal21 \r \h ">
              <w:r>
                <w:rPr>
                  <w:sz w:val="20"/>
                </w:rPr>
                <w:t xml:space="preserve">[21]</w:t>
              </w:r>
            </w:fldSimple>
            <w:r>
              <w:rPr>
                <w:sz w:val="20"/>
              </w:rPr>
              <w:t xml:space="preserve"> (Apache-2.0), both with reasoning traces. Self-generated traces only in the first run; sets lacking traces or answers rejected; SWE-Gym </w:t>
            </w:r>
            <w:fldSimple w:instr=" REF _RefAnneal22 \r \h ">
              <w:r>
                <w:rPr>
                  <w:sz w:val="20"/>
                </w:rPr>
                <w:t xml:space="preserve">[22]</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and the first real run, round 0 of the improvement loop (Section 3.3),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3 \r \h ">
        <w:r>
          <w:t xml:space="preserve">[23]</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loop round 1, every adapter trains only on public datasets with reasoning traces and training licences, never on rows the base model generated, since self-training reinforces the model's own biases. OpenCodeReasoning gives up to three traces per question, but its teacher, DeepSeek-R1, scores 63.5 on LiveCodeBench (August 2024 to May 2025) </w:t>
      </w:r>
      <w:fldSimple w:instr=" REF _RefAnneal24 \r \h ">
        <w:r>
          <w:t xml:space="preserve">[24]</w:t>
        </w:r>
      </w:fldSimple>
      <w:r>
        <w:t xml:space="preserve"> against 90.3 reported for Qwen3.8-27B on v6 </w:t>
      </w:r>
      <w:fldSimple w:instr=" REF _RefAnneal2 \r \h ">
        <w:r>
          <w:t xml:space="preserve">[2]</w:t>
        </w:r>
      </w:fldSimple>
      <w:r>
        <w:t xml:space="preserve">, so stronger teachers are sought. A public set's long agent sessions are split into one row per assistant step and used only if at least 500 steps fit 8,192 tokens with real tool names.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 gate or evaluation prompt.</w:t>
      </w:r>
    </w:p>
    <w:p>
      <w:pPr>
        <w:pStyle w:val="BodyText"/>
      </w:pPr>
      <w:r>
        <w:t xml:space="preserve">The first run is a comparison between the model's own rows and public data: 1,000 base-model answers to OpenCodeInstruct </w:t>
      </w:r>
      <w:fldSimple w:instr=" REF _RefAnneal25 \r \h ">
        <w:r>
          <w:t xml:space="preserve">[25]</w:t>
        </w:r>
      </w:fldSimple>
      <w:r>
        <w:t xml:space="preserve"> prompts that passed their tests, as in ReST-EM </w:t>
      </w:r>
      <w:fldSimple w:instr=" REF _RefAnneal26 \r \h ">
        <w:r>
          <w:t xml:space="preserve">[26]</w:t>
        </w:r>
      </w:fldSimple>
      <w:r>
        <w:t xml:space="preserve">, plus 1,000 OpenCodeReasoning rows. The base model passed 54% of attempts, about 27 kept rows an hour, but traces hitting the 6,144-token budget (16% of attempts) were rejected, so kept traces are short (median 436 tokens). Model-written code runs in a sandbox needing no administrator rights, a Windows AppContainer without network or file access inside a job object that limits processes, memory and time; it passed 264 escape checks, and 97.5% of reference solutions pass inside it.</w:t>
      </w:r>
    </w:p>
    <w:p>
      <w:pPr>
        <w:pStyle w:val="Heading2"/>
      </w:pPr>
      <w:r>
        <w:t xml:space="preserve">Training</w:t>
      </w:r>
    </w:p>
    <w:p>
      <w:pPr>
        <w:pStyle w:val="BodyFirst"/>
      </w:pPr>
      <w:r>
        <w:t xml:space="preserve">Training runs as an unattended keep-if-better loop. Each round trains on fresh public rows, from the base model in round 1 and from the best kept adapter after that, and is scored on a held-out gate that is never trained on or reported: CodeContests </w:t>
      </w:r>
      <w:fldSimple w:instr=" REF _RefAnneal27 \r \h ">
        <w:r>
          <w:t xml:space="preserve">[27]</w:t>
        </w:r>
      </w:fldSimple>
      <w:r>
        <w:t xml:space="preserve"> validation and test problems whose reference passes in the sandbox, plus 300 held-out OpenCodeInstruct problems. A round is kept only if its gate score beats the best so far with a one-sided sign test at p ≤ 0.05, and neither the CodeContests part nor a 100-question MMLU-Pro </w:t>
      </w:r>
      <w:fldSimple w:instr=" REF _RefAnneal28 \r \h ">
        <w:r>
          <w:t xml:space="preserve">[28]</w:t>
        </w:r>
      </w:fldSimple>
      <w:r>
        <w:t xml:space="preserve"> non-coding check worsens beyond a set tolerance. Rejected adapters are deleted but their scores kept; EvalPlus is scored only on kept adapters, so the reported benchmark never selects them.</w:t>
      </w:r>
    </w:p>
    <w:p>
      <w:pPr>
        <w:pStyle w:val="BodyText"/>
      </w:pPr>
      <w:r>
        <w:rPr>
          <w:rFonts w:ascii="Consolas" w:hAnsi="Consolas" w:cs="Consolas"/>
          <w:sz w:val="19"/>
        </w:rPr>
        <w:t xml:space="preserve">train_longrun.py</w:t>
      </w:r>
      <w:r>
        <w:t xml:space="preserve"> uses a warmup-stable-decay schedule </w:t>
      </w:r>
      <w:fldSimple w:instr=" REF _RefAnneal29 \r \h ">
        <w:r>
          <w:t xml:space="preserve">[29]</w:t>
        </w:r>
      </w:fldSimple>
      <w:r>
        <w:t xml:space="preserve"> (Listing 1). To survive crashes and updates over months, it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16                     # 16 or 64: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DeltaNet projections: A2</w:t>
      </w:r>
    </w:p>
    <w:p>
      <w:pPr>
        <w:pStyle w:val="BodyText"/>
        <w:keepNext/>
        <w:spacing w:before="0" w:after="0"/>
        <w:ind w:left="284"/>
        <w:jc w:val="left"/>
      </w:pPr>
      <w:r>
        <w:rPr>
          <w:rFonts w:ascii="Consolas" w:hAnsi="Consolas" w:cs="Consolas"/>
          <w:sz w:val="17"/>
        </w:rPr>
        <w:t xml:space="preserve">schedule: wsd                  # 20 warmup steps, last 20% decays</w:t>
      </w:r>
    </w:p>
    <w:p>
      <w:pPr>
        <w:pStyle w:val="BodyText"/>
        <w:keepNext/>
        <w:spacing w:before="0" w:after="0"/>
        <w:ind w:left="284"/>
        <w:jc w:val="left"/>
      </w:pPr>
      <w:r>
        <w:rPr>
          <w:rFonts w:ascii="Consolas" w:hAnsi="Consolas" w:cs="Consolas"/>
          <w:sz w:val="17"/>
        </w:rPr>
        <w:t xml:space="preserve">save_steps: 10                 # every 80 rows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included the template's system prompt, which the model never predicts;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only at rank 16, and the first run's scores will be the first evidence that training helps. The Windows workarounds (a bundled C compiler, the convolution rewrite, disabled Vulkan kernels) could break on an update, so versions are pinned, and slower prompt processing lengthens the 256k-token evaluations. With 20 to 50 personal tasks, confidence intervals will be wide.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30 \r \h ">
        <w:r>
          <w:t xml:space="preserve">[30]</w:t>
        </w:r>
      </w:fldSimple>
      <w:r>
        <w:t xml:space="preserve">, and LoRA learns less than full fine-tuning and forgets more the longer it trains </w:t>
      </w:r>
      <w:fldSimple w:instr=" REF _RefAnneal8 \r \h ">
        <w:r>
          <w:t xml:space="preserve">[8]</w:t>
        </w:r>
      </w:fldSimple>
      <w:r>
        <w:t xml:space="preserve">. Round 0, half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Run on 1,000 public rows between loop rounds, each changes one factor: A1 rank (16, 64); A2 adding the DeltaNet targets; A3 example length (4,096, 8,192); A4 data source: OpenCodeReasoning alone against round 0's mix; A5 long examples or trainable normalisation, only if a kept adapter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every training prompt source predates that date, so these problems are clean by date. Training rows are also checked against the gate and MMLU-Pro questions.</w:t>
      </w:r>
    </w:p>
    <w:p>
      <w:pPr>
        <w:pStyle w:val="Heading1"/>
      </w:pPr>
      <w:r>
        <w:t xml:space="preserve">Project Plan</w:t>
      </w:r>
    </w:p>
    <w:p>
      <w:pPr>
        <w:pStyle w:val="BodyFirst"/>
      </w:pPr>
      <w:r>
        <w:t xml:space="preserve">Bring-up finished early and the first real run is under way (Section 3.4), so the plan starts with its scores, which everything else depends on.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1,000 own and 1,000 OpenCodeReasoning rows, trained and scored against the base by 21 October. Build the gate; start loop rounds.</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between loop rounds.</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rounds with the best ablation settings and each new public set.</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a larger adapter trains much slower than measured, rounds use fewer rows, and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1">
        <w:r>
          <w:rPr>
            <w:color w:val="0563C1"/>
            <w:u w:val="single"/>
          </w:rPr>
          <w:t xml:space="preserve">https://arxiv.org/abs/2504.01943</w:t>
        </w:r>
      </w:hyperlink>
      <w:bookmarkEnd w:id="920"/>
    </w:p>
    <w:p>
      <w:pPr>
        <w:pStyle w:val="Reference"/>
        <w:tabs>
          <w:tab w:val="clear" w:pos="426"/>
          <w:tab w:val="num" w:pos="567"/>
        </w:tabs>
        <w:ind w:left="567" w:hanging="567"/>
        <w:jc w:val="left"/>
      </w:pPr>
      <w:bookmarkStart w:id="921" w:name="_RefAnneal21"/>
      <w:r>
        <w:t xml:space="preserve">Public agent-session dataset card, Hugging Face, 2026. </w:t>
      </w:r>
      <w:r>
        <w:t xml:space="preserve">[Online]. Available: </w:t>
      </w:r>
      <w:hyperlink r:id="rId42">
        <w:r>
          <w:rPr>
            <w:color w:val="0563C1"/>
            <w:u w:val="single"/>
          </w:rPr>
          <w:t xml:space="preserve">https://huggingface.co/datasets</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3">
        <w:r>
          <w:rPr>
            <w:color w:val="0563C1"/>
            <w:u w:val="single"/>
          </w:rPr>
          <w:t xml:space="preserve">https://proceedings.mlr.press/v267/pan25g.html</w:t>
        </w:r>
      </w:hyperlink>
      <w:bookmarkEnd w:id="922"/>
    </w:p>
    <w:p>
      <w:pPr>
        <w:pStyle w:val="Reference"/>
        <w:tabs>
          <w:tab w:val="clear" w:pos="426"/>
          <w:tab w:val="num" w:pos="567"/>
        </w:tabs>
        <w:ind w:left="567" w:hanging="567"/>
        <w:jc w:val="left"/>
      </w:pPr>
      <w:bookmarkStart w:id="923" w:name="_RefAnneal23"/>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4">
        <w:r>
          <w:rPr>
            <w:color w:val="0563C1"/>
            <w:u w:val="single"/>
          </w:rPr>
          <w:t xml:space="preserve">https://arxiv.org/abs/2411.09009</w:t>
        </w:r>
      </w:hyperlink>
      <w:bookmarkEnd w:id="923"/>
    </w:p>
    <w:p>
      <w:pPr>
        <w:pStyle w:val="Reference"/>
        <w:tabs>
          <w:tab w:val="clear" w:pos="426"/>
          <w:tab w:val="num" w:pos="567"/>
        </w:tabs>
        <w:ind w:left="567" w:hanging="567"/>
        <w:jc w:val="left"/>
      </w:pPr>
      <w:bookmarkStart w:id="924" w:name="_RefAnneal24"/>
      <w:r>
        <w:t xml:space="preserve">DeepSeek-AI, "DeepSeek-R1-0528," Hugging Face model card, 2025. </w:t>
      </w:r>
      <w:r>
        <w:t xml:space="preserve">[Online]. Available: </w:t>
      </w:r>
      <w:hyperlink r:id="rId45">
        <w:r>
          <w:rPr>
            <w:color w:val="0563C1"/>
            <w:u w:val="single"/>
          </w:rPr>
          <w:t xml:space="preserve">https://huggingface.co/deepseek-ai/DeepSeek-R1-0528</w:t>
        </w:r>
      </w:hyperlink>
      <w:r>
        <w:t xml:space="preserve"> (accessed Oct. 17, 2026).</w:t>
      </w:r>
      <w:bookmarkEnd w:id="924"/>
    </w:p>
    <w:p>
      <w:pPr>
        <w:pStyle w:val="Reference"/>
        <w:tabs>
          <w:tab w:val="clear" w:pos="426"/>
          <w:tab w:val="num" w:pos="567"/>
        </w:tabs>
        <w:ind w:left="567" w:hanging="567"/>
        <w:jc w:val="left"/>
      </w:pPr>
      <w:bookmarkStart w:id="925" w:name="_RefAnneal25"/>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6">
        <w:r>
          <w:rPr>
            <w:color w:val="0563C1"/>
            <w:u w:val="single"/>
          </w:rPr>
          <w:t xml:space="preserve">https://arxiv.org/abs/2504.04030</w:t>
        </w:r>
      </w:hyperlink>
      <w:bookmarkEnd w:id="925"/>
    </w:p>
    <w:p>
      <w:pPr>
        <w:pStyle w:val="Reference"/>
        <w:tabs>
          <w:tab w:val="clear" w:pos="426"/>
          <w:tab w:val="num" w:pos="567"/>
        </w:tabs>
        <w:ind w:left="567" w:hanging="567"/>
        <w:jc w:val="left"/>
      </w:pPr>
      <w:bookmarkStart w:id="926" w:name="_RefAnneal26"/>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47">
        <w:r>
          <w:rPr>
            <w:color w:val="0563C1"/>
            <w:u w:val="single"/>
          </w:rPr>
          <w:t xml:space="preserve">https://arxiv.org/abs/2312.06585</w:t>
        </w:r>
      </w:hyperlink>
      <w:bookmarkEnd w:id="926"/>
    </w:p>
    <w:p>
      <w:pPr>
        <w:pStyle w:val="Reference"/>
        <w:tabs>
          <w:tab w:val="clear" w:pos="426"/>
          <w:tab w:val="num" w:pos="567"/>
        </w:tabs>
        <w:ind w:left="567" w:hanging="567"/>
        <w:jc w:val="left"/>
      </w:pPr>
      <w:bookmarkStart w:id="927" w:name="_RefAnneal2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48">
        <w:r>
          <w:rPr>
            <w:color w:val="0563C1"/>
            <w:u w:val="single"/>
          </w:rPr>
          <w:t xml:space="preserve">https://arxiv.org/abs/2203.07814</w:t>
        </w:r>
      </w:hyperlink>
      <w:bookmarkEnd w:id="927"/>
    </w:p>
    <w:p>
      <w:pPr>
        <w:pStyle w:val="Reference"/>
        <w:tabs>
          <w:tab w:val="clear" w:pos="426"/>
          <w:tab w:val="num" w:pos="567"/>
        </w:tabs>
        <w:ind w:left="567" w:hanging="567"/>
        <w:jc w:val="left"/>
      </w:pPr>
      <w:bookmarkStart w:id="928" w:name="_RefAnneal2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49">
        <w:r>
          <w:rPr>
            <w:color w:val="0563C1"/>
            <w:u w:val="single"/>
          </w:rPr>
          <w:t xml:space="preserve">https://arxiv.org/abs/2406.01574</w:t>
        </w:r>
      </w:hyperlink>
      <w:bookmarkEnd w:id="928"/>
    </w:p>
    <w:p>
      <w:pPr>
        <w:pStyle w:val="Reference"/>
        <w:tabs>
          <w:tab w:val="clear" w:pos="426"/>
          <w:tab w:val="num" w:pos="567"/>
        </w:tabs>
        <w:ind w:left="567" w:hanging="567"/>
        <w:jc w:val="left"/>
      </w:pPr>
      <w:bookmarkStart w:id="929" w:name="_RefAnneal29"/>
      <w:r>
        <w:t xml:space="preserve">A. Hägele, E. Bakouch, A. Kosson, L. Ben Allal, L. Von Werra, and M. Jaggi, "Scaling laws and compute-optimal training beyond fixed training durations," arXiv preprint arXiv:2405.18392, 2024. </w:t>
      </w:r>
      <w:r>
        <w:t xml:space="preserve">[Online]. Available: </w:t>
      </w:r>
      <w:hyperlink r:id="rId50">
        <w:r>
          <w:rPr>
            <w:color w:val="0563C1"/>
            <w:u w:val="single"/>
          </w:rPr>
          <w:t xml:space="preserve">https://arxiv.org/abs/2405.18392</w:t>
        </w:r>
      </w:hyperlink>
      <w:bookmarkEnd w:id="929"/>
    </w:p>
    <w:p>
      <w:pPr>
        <w:pStyle w:val="Reference"/>
        <w:tabs>
          <w:tab w:val="clear" w:pos="426"/>
          <w:tab w:val="num" w:pos="567"/>
        </w:tabs>
        <w:ind w:left="567" w:hanging="567"/>
        <w:jc w:val="left"/>
      </w:pPr>
      <w:bookmarkStart w:id="930" w:name="_RefAnneal3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1">
        <w:r>
          <w:rPr>
            <w:color w:val="0563C1"/>
            <w:u w:val="single"/>
          </w:rPr>
          <w:t xml:space="preserve">https://arxiv.org/abs/2308.01825</w:t>
        </w:r>
      </w:hyperlink>
      <w:bookmarkEnd w:id="930"/>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arxiv.org/abs/2504.01943" TargetMode="External"/><Relationship Id="rId42" Type="http://schemas.openxmlformats.org/officeDocument/2006/relationships/hyperlink" Target="https://huggingface.co/datasets" TargetMode="External"/><Relationship Id="rId43" Type="http://schemas.openxmlformats.org/officeDocument/2006/relationships/hyperlink" Target="https://proceedings.mlr.press/v267/pan25g.html" TargetMode="External"/><Relationship Id="rId44" Type="http://schemas.openxmlformats.org/officeDocument/2006/relationships/hyperlink" Target="https://arxiv.org/abs/2411.09009" TargetMode="External"/><Relationship Id="rId45" Type="http://schemas.openxmlformats.org/officeDocument/2006/relationships/hyperlink" Target="https://huggingface.co/deepseek-ai/DeepSeek-R1-0528" TargetMode="External"/><Relationship Id="rId46" Type="http://schemas.openxmlformats.org/officeDocument/2006/relationships/hyperlink" Target="https://arxiv.org/abs/2504.04030" TargetMode="External"/><Relationship Id="rId47" Type="http://schemas.openxmlformats.org/officeDocument/2006/relationships/hyperlink" Target="https://arxiv.org/abs/2312.06585" TargetMode="External"/><Relationship Id="rId48" Type="http://schemas.openxmlformats.org/officeDocument/2006/relationships/hyperlink" Target="https://arxiv.org/abs/2203.07814" TargetMode="External"/><Relationship Id="rId49" Type="http://schemas.openxmlformats.org/officeDocument/2006/relationships/hyperlink" Target="https://arxiv.org/abs/2406.01574" TargetMode="External"/><Relationship Id="rId50" Type="http://schemas.openxmlformats.org/officeDocument/2006/relationships/hyperlink" Target="https://arxiv.org/abs/2405.18392" TargetMode="External"/><Relationship Id="rId51"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2026-10-19T15:06:33Z</dcterms:modified>
</cp:coreProperties>
</file>